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11D6AA" w14:textId="77777777" w:rsidR="00A247D5" w:rsidRPr="00787ED7" w:rsidRDefault="00A247D5" w:rsidP="00A247D5">
      <w:pPr>
        <w:pStyle w:val="MDPI12title"/>
        <w:rPr>
          <w:color w:val="000000" w:themeColor="text1"/>
        </w:rPr>
      </w:pPr>
      <w:bookmarkStart w:id="0" w:name="_Hlk32594962"/>
      <w:r w:rsidRPr="00787ED7">
        <w:rPr>
          <w:color w:val="000000" w:themeColor="text1"/>
        </w:rPr>
        <w:t>S</w:t>
      </w:r>
      <w:r w:rsidRPr="00787ED7">
        <w:rPr>
          <w:rFonts w:eastAsiaTheme="minorEastAsia"/>
          <w:color w:val="000000" w:themeColor="text1"/>
          <w:lang w:eastAsia="zh-CN"/>
        </w:rPr>
        <w:t>u</w:t>
      </w:r>
      <w:r w:rsidRPr="00787ED7">
        <w:rPr>
          <w:color w:val="000000" w:themeColor="text1"/>
        </w:rPr>
        <w:t>pplementary Materials</w:t>
      </w:r>
    </w:p>
    <w:p w14:paraId="402F6230" w14:textId="77777777" w:rsidR="0069715F" w:rsidRPr="00787ED7" w:rsidRDefault="0069715F" w:rsidP="0069715F">
      <w:pPr>
        <w:pStyle w:val="MDPI12title"/>
        <w:rPr>
          <w:color w:val="auto"/>
        </w:rPr>
      </w:pPr>
      <w:r w:rsidRPr="00787ED7">
        <w:rPr>
          <w:color w:val="auto"/>
        </w:rPr>
        <w:t>A Microfluidic Biosensor Based on Magnetic Nanoparticle Separation, Quantum Dots Labeling and MnO</w:t>
      </w:r>
      <w:r w:rsidRPr="00787ED7">
        <w:rPr>
          <w:color w:val="auto"/>
          <w:vertAlign w:val="subscript"/>
        </w:rPr>
        <w:t>2</w:t>
      </w:r>
      <w:r w:rsidRPr="00787ED7">
        <w:rPr>
          <w:color w:val="auto"/>
        </w:rPr>
        <w:t xml:space="preserve"> Nanoflower Amplification for Rapid and Sensitive Detection of </w:t>
      </w:r>
      <w:bookmarkStart w:id="1" w:name="OLE_LINK5"/>
      <w:bookmarkStart w:id="2" w:name="_Hlk34054849"/>
      <w:r w:rsidRPr="00787ED7">
        <w:rPr>
          <w:i/>
          <w:iCs/>
          <w:color w:val="auto"/>
        </w:rPr>
        <w:t>Salmonella</w:t>
      </w:r>
      <w:bookmarkEnd w:id="1"/>
      <w:r w:rsidRPr="00787ED7">
        <w:rPr>
          <w:color w:val="auto"/>
        </w:rPr>
        <w:t xml:space="preserve"> Typhimurium</w:t>
      </w:r>
      <w:bookmarkEnd w:id="2"/>
    </w:p>
    <w:p w14:paraId="74D6A98B" w14:textId="77777777" w:rsidR="0069715F" w:rsidRPr="00787ED7" w:rsidRDefault="0069715F" w:rsidP="0069715F">
      <w:pPr>
        <w:pStyle w:val="MDPI13authornames"/>
        <w:rPr>
          <w:color w:val="auto"/>
        </w:rPr>
      </w:pPr>
      <w:r w:rsidRPr="00787ED7">
        <w:rPr>
          <w:color w:val="auto"/>
        </w:rPr>
        <w:t xml:space="preserve">Li Hao </w:t>
      </w:r>
      <w:r w:rsidRPr="00787ED7">
        <w:rPr>
          <w:color w:val="auto"/>
          <w:vertAlign w:val="superscript"/>
        </w:rPr>
        <w:t>1,</w:t>
      </w:r>
      <w:r w:rsidRPr="00787ED7">
        <w:rPr>
          <w:color w:val="auto"/>
        </w:rPr>
        <w:t xml:space="preserve"> Li Xue </w:t>
      </w:r>
      <w:r w:rsidRPr="00787ED7">
        <w:rPr>
          <w:color w:val="auto"/>
          <w:vertAlign w:val="superscript"/>
        </w:rPr>
        <w:t>2</w:t>
      </w:r>
      <w:r w:rsidRPr="00787ED7">
        <w:rPr>
          <w:color w:val="auto"/>
        </w:rPr>
        <w:t xml:space="preserve">, Fengchun Huang </w:t>
      </w:r>
      <w:r w:rsidRPr="00787ED7">
        <w:rPr>
          <w:color w:val="auto"/>
          <w:vertAlign w:val="superscript"/>
        </w:rPr>
        <w:t>2</w:t>
      </w:r>
      <w:r w:rsidRPr="00787ED7">
        <w:rPr>
          <w:color w:val="auto"/>
        </w:rPr>
        <w:t xml:space="preserve">, Gaozhe Cai </w:t>
      </w:r>
      <w:r w:rsidRPr="00787ED7">
        <w:rPr>
          <w:color w:val="auto"/>
          <w:vertAlign w:val="superscript"/>
        </w:rPr>
        <w:t>2</w:t>
      </w:r>
      <w:r w:rsidRPr="00787ED7">
        <w:rPr>
          <w:color w:val="auto"/>
        </w:rPr>
        <w:t xml:space="preserve">, Wuzhen Qi </w:t>
      </w:r>
      <w:r w:rsidRPr="00787ED7">
        <w:rPr>
          <w:color w:val="auto"/>
          <w:vertAlign w:val="superscript"/>
        </w:rPr>
        <w:t>1</w:t>
      </w:r>
      <w:r w:rsidRPr="00787ED7">
        <w:rPr>
          <w:color w:val="auto"/>
        </w:rPr>
        <w:t xml:space="preserve">, Miao Zhang </w:t>
      </w:r>
      <w:r w:rsidRPr="00787ED7">
        <w:rPr>
          <w:color w:val="auto"/>
          <w:vertAlign w:val="superscript"/>
        </w:rPr>
        <w:t>2</w:t>
      </w:r>
      <w:r w:rsidRPr="00787ED7">
        <w:rPr>
          <w:color w:val="auto"/>
        </w:rPr>
        <w:t xml:space="preserve">, Qing’an Han </w:t>
      </w:r>
      <w:r w:rsidRPr="00787ED7">
        <w:rPr>
          <w:color w:val="auto"/>
          <w:vertAlign w:val="superscript"/>
        </w:rPr>
        <w:t>3</w:t>
      </w:r>
      <w:r w:rsidRPr="00787ED7">
        <w:rPr>
          <w:color w:val="auto"/>
        </w:rPr>
        <w:t xml:space="preserve">, Zengli Wang </w:t>
      </w:r>
      <w:r w:rsidRPr="00787ED7">
        <w:rPr>
          <w:color w:val="auto"/>
          <w:vertAlign w:val="superscript"/>
        </w:rPr>
        <w:t>3</w:t>
      </w:r>
      <w:r w:rsidRPr="00787ED7">
        <w:rPr>
          <w:color w:val="auto"/>
        </w:rPr>
        <w:t xml:space="preserve"> </w:t>
      </w:r>
      <w:r w:rsidRPr="00787ED7">
        <w:rPr>
          <w:rFonts w:eastAsiaTheme="minorEastAsia"/>
          <w:color w:val="auto"/>
          <w:lang w:eastAsia="zh-CN"/>
        </w:rPr>
        <w:t xml:space="preserve">and </w:t>
      </w:r>
      <w:r w:rsidRPr="00787ED7">
        <w:rPr>
          <w:color w:val="auto"/>
        </w:rPr>
        <w:t xml:space="preserve">Jianhan Lin </w:t>
      </w:r>
      <w:r w:rsidRPr="00787ED7">
        <w:rPr>
          <w:color w:val="auto"/>
          <w:vertAlign w:val="superscript"/>
        </w:rPr>
        <w:t>1,2,</w:t>
      </w:r>
      <w:r w:rsidRPr="00787ED7">
        <w:rPr>
          <w:color w:val="auto"/>
        </w:rPr>
        <w:t>*</w:t>
      </w:r>
    </w:p>
    <w:p w14:paraId="6A333F17" w14:textId="77777777" w:rsidR="0069715F" w:rsidRPr="00787ED7" w:rsidRDefault="0069715F" w:rsidP="0069715F">
      <w:pPr>
        <w:pStyle w:val="MDPI16affiliation"/>
        <w:rPr>
          <w:color w:val="auto"/>
        </w:rPr>
      </w:pPr>
      <w:r w:rsidRPr="00787ED7">
        <w:rPr>
          <w:color w:val="auto"/>
          <w:vertAlign w:val="superscript"/>
        </w:rPr>
        <w:t>1</w:t>
      </w:r>
      <w:r w:rsidRPr="00787ED7">
        <w:rPr>
          <w:color w:val="auto"/>
        </w:rPr>
        <w:tab/>
        <w:t xml:space="preserve">Key Laboratory of Agricultural Information Acquisition Technology, Ministry of Agriculture and Rural Affairs, China Agricultural University, Beijing 100083, China; </w:t>
      </w:r>
      <w:hyperlink r:id="rId7" w:history="1">
        <w:r w:rsidRPr="00787ED7">
          <w:rPr>
            <w:rStyle w:val="Hyperlink"/>
            <w:color w:val="auto"/>
            <w:u w:val="none"/>
          </w:rPr>
          <w:t>haoli123@cau.edu.cn</w:t>
        </w:r>
      </w:hyperlink>
      <w:r w:rsidRPr="00787ED7">
        <w:rPr>
          <w:color w:val="auto"/>
        </w:rPr>
        <w:t xml:space="preserve"> (L.H.); </w:t>
      </w:r>
      <w:hyperlink r:id="rId8" w:history="1">
        <w:r w:rsidRPr="00787ED7">
          <w:rPr>
            <w:rStyle w:val="Hyperlink"/>
            <w:color w:val="auto"/>
            <w:u w:val="none"/>
          </w:rPr>
          <w:t>wuzhen.qi@cau.edu.cn</w:t>
        </w:r>
      </w:hyperlink>
      <w:r w:rsidRPr="00787ED7">
        <w:rPr>
          <w:color w:val="auto"/>
        </w:rPr>
        <w:t xml:space="preserve"> (W.Q.)</w:t>
      </w:r>
    </w:p>
    <w:p w14:paraId="4B085076" w14:textId="77777777" w:rsidR="0069715F" w:rsidRPr="00787ED7" w:rsidRDefault="0069715F" w:rsidP="0069715F">
      <w:pPr>
        <w:pStyle w:val="MDPI16affiliation"/>
        <w:rPr>
          <w:color w:val="auto"/>
        </w:rPr>
      </w:pPr>
      <w:bookmarkStart w:id="3" w:name="OLE_LINK3"/>
      <w:bookmarkStart w:id="4" w:name="OLE_LINK4"/>
      <w:r w:rsidRPr="00787ED7">
        <w:rPr>
          <w:color w:val="auto"/>
          <w:szCs w:val="20"/>
          <w:vertAlign w:val="superscript"/>
        </w:rPr>
        <w:t>2</w:t>
      </w:r>
      <w:r w:rsidRPr="00787ED7">
        <w:rPr>
          <w:color w:val="auto"/>
          <w:szCs w:val="20"/>
        </w:rPr>
        <w:tab/>
      </w:r>
      <w:bookmarkEnd w:id="3"/>
      <w:bookmarkEnd w:id="4"/>
      <w:r w:rsidRPr="00787ED7">
        <w:rPr>
          <w:color w:val="auto"/>
        </w:rPr>
        <w:t>Key Laboratory of Modern Precision Agriculture System Integration Research, Ministry of Education, China Agricultural University, Beijing 100083, China</w:t>
      </w:r>
      <w:r w:rsidRPr="00787ED7">
        <w:rPr>
          <w:rFonts w:eastAsia="等线"/>
          <w:color w:val="auto"/>
          <w:lang w:eastAsia="zh-CN"/>
        </w:rPr>
        <w:t>;</w:t>
      </w:r>
      <w:r w:rsidRPr="00787ED7">
        <w:rPr>
          <w:color w:val="auto"/>
        </w:rPr>
        <w:t xml:space="preserve"> </w:t>
      </w:r>
      <w:hyperlink r:id="rId9" w:history="1">
        <w:r w:rsidRPr="00787ED7">
          <w:rPr>
            <w:rStyle w:val="Hyperlink"/>
            <w:color w:val="auto"/>
            <w:u w:val="none"/>
          </w:rPr>
          <w:t xml:space="preserve">li_xue@cau.edu.cn </w:t>
        </w:r>
        <w:r w:rsidRPr="00787ED7">
          <w:rPr>
            <w:color w:val="auto"/>
          </w:rPr>
          <w:t>(L.X.)</w:t>
        </w:r>
      </w:hyperlink>
      <w:r w:rsidRPr="00787ED7">
        <w:rPr>
          <w:color w:val="auto"/>
        </w:rPr>
        <w:t xml:space="preserve">; </w:t>
      </w:r>
      <w:hyperlink r:id="rId10" w:history="1">
        <w:r w:rsidRPr="00787ED7">
          <w:rPr>
            <w:rStyle w:val="Hyperlink"/>
            <w:color w:val="auto"/>
            <w:u w:val="none"/>
          </w:rPr>
          <w:t xml:space="preserve">fengchunhuang@cau.edu.cn </w:t>
        </w:r>
        <w:r w:rsidRPr="00787ED7">
          <w:rPr>
            <w:color w:val="auto"/>
          </w:rPr>
          <w:t>(F.H.)</w:t>
        </w:r>
      </w:hyperlink>
      <w:r w:rsidRPr="00787ED7">
        <w:rPr>
          <w:color w:val="auto"/>
        </w:rPr>
        <w:t xml:space="preserve">; </w:t>
      </w:r>
      <w:r w:rsidRPr="00787ED7">
        <w:rPr>
          <w:rStyle w:val="Hyperlink"/>
          <w:color w:val="auto"/>
          <w:u w:val="none"/>
        </w:rPr>
        <w:t>gaozhe@cau.edu.cn</w:t>
      </w:r>
      <w:r w:rsidRPr="00787ED7">
        <w:rPr>
          <w:color w:val="auto"/>
        </w:rPr>
        <w:t xml:space="preserve"> (G.C.)</w:t>
      </w:r>
      <w:r w:rsidRPr="00787ED7">
        <w:rPr>
          <w:rFonts w:eastAsia="宋体" w:cs="宋体"/>
          <w:color w:val="auto"/>
          <w:lang w:eastAsia="zh-CN"/>
        </w:rPr>
        <w:t xml:space="preserve">; </w:t>
      </w:r>
      <w:hyperlink r:id="rId11" w:history="1">
        <w:r w:rsidRPr="00787ED7">
          <w:rPr>
            <w:rStyle w:val="Hyperlink"/>
            <w:color w:val="auto"/>
            <w:u w:val="none"/>
          </w:rPr>
          <w:t>zhangmiao@cau.edu.cn (M.Z.)</w:t>
        </w:r>
      </w:hyperlink>
    </w:p>
    <w:p w14:paraId="1903A96B" w14:textId="77777777" w:rsidR="0069715F" w:rsidRPr="00787ED7" w:rsidRDefault="0069715F" w:rsidP="0069715F">
      <w:pPr>
        <w:pStyle w:val="MDPI16affiliation"/>
        <w:rPr>
          <w:color w:val="auto"/>
          <w:lang w:eastAsia="zh-CN"/>
        </w:rPr>
      </w:pPr>
      <w:r w:rsidRPr="00787ED7">
        <w:rPr>
          <w:color w:val="auto"/>
          <w:szCs w:val="20"/>
          <w:vertAlign w:val="superscript"/>
        </w:rPr>
        <w:t>3</w:t>
      </w:r>
      <w:r w:rsidRPr="00787ED7">
        <w:rPr>
          <w:color w:val="auto"/>
          <w:szCs w:val="20"/>
        </w:rPr>
        <w:tab/>
        <w:t xml:space="preserve">Veterinary Laboratory, </w:t>
      </w:r>
      <w:r w:rsidRPr="00787ED7">
        <w:rPr>
          <w:color w:val="auto"/>
        </w:rPr>
        <w:t xml:space="preserve">Hebei Animal Disease Control Center, Shijiazhuang 050035, China; </w:t>
      </w:r>
      <w:hyperlink r:id="rId12" w:history="1">
        <w:r w:rsidRPr="00787ED7">
          <w:rPr>
            <w:rStyle w:val="Hyperlink"/>
            <w:color w:val="auto"/>
            <w:u w:val="none"/>
          </w:rPr>
          <w:t>hanqingan2004@sina.com (Q.H.)</w:t>
        </w:r>
      </w:hyperlink>
      <w:r w:rsidRPr="00787ED7">
        <w:rPr>
          <w:rFonts w:eastAsia="宋体" w:cs="宋体"/>
          <w:color w:val="auto"/>
          <w:lang w:eastAsia="zh-CN"/>
        </w:rPr>
        <w:t xml:space="preserve">; </w:t>
      </w:r>
      <w:hyperlink r:id="rId13" w:history="1">
        <w:r w:rsidRPr="00787ED7">
          <w:rPr>
            <w:rStyle w:val="Hyperlink"/>
            <w:color w:val="auto"/>
            <w:u w:val="none"/>
          </w:rPr>
          <w:t>wangzlh891220@163.com</w:t>
        </w:r>
      </w:hyperlink>
      <w:r w:rsidRPr="00787ED7">
        <w:rPr>
          <w:rStyle w:val="Hyperlink"/>
          <w:color w:val="auto"/>
          <w:u w:val="none"/>
        </w:rPr>
        <w:t xml:space="preserve"> </w:t>
      </w:r>
      <w:r w:rsidRPr="00787ED7">
        <w:rPr>
          <w:color w:val="auto"/>
        </w:rPr>
        <w:t>(Z.W.)</w:t>
      </w:r>
    </w:p>
    <w:p w14:paraId="3C872C96" w14:textId="77777777" w:rsidR="0069715F" w:rsidRPr="00787ED7" w:rsidRDefault="0069715F" w:rsidP="0069715F">
      <w:pPr>
        <w:pStyle w:val="MDPI16affiliation"/>
        <w:rPr>
          <w:color w:val="auto"/>
        </w:rPr>
      </w:pPr>
      <w:r w:rsidRPr="00787ED7">
        <w:rPr>
          <w:b/>
          <w:color w:val="auto"/>
        </w:rPr>
        <w:t>*</w:t>
      </w:r>
      <w:r w:rsidRPr="00787ED7">
        <w:rPr>
          <w:color w:val="auto"/>
        </w:rPr>
        <w:tab/>
        <w:t>Correspondence: jianhan@cau.edu.cn, Tel.: +86-10-6273-7599</w:t>
      </w:r>
    </w:p>
    <w:p w14:paraId="0F9AFC2B" w14:textId="7F8E0D28" w:rsidR="00A247D5" w:rsidRPr="00787ED7" w:rsidRDefault="00A247D5" w:rsidP="00A247D5">
      <w:pPr>
        <w:pStyle w:val="MDPI14history"/>
        <w:jc w:val="both"/>
        <w:rPr>
          <w:color w:val="000000" w:themeColor="text1"/>
        </w:rPr>
      </w:pPr>
      <w:r w:rsidRPr="00787ED7">
        <w:rPr>
          <w:color w:val="000000" w:themeColor="text1"/>
        </w:rPr>
        <w:t xml:space="preserve">Received: 15 February 2020; Accepted: </w:t>
      </w:r>
      <w:r w:rsidR="0086033C" w:rsidRPr="00787ED7">
        <w:t>05 March 2020</w:t>
      </w:r>
      <w:r w:rsidRPr="00787ED7">
        <w:rPr>
          <w:color w:val="000000" w:themeColor="text1"/>
        </w:rPr>
        <w:t>; Published: date</w:t>
      </w:r>
    </w:p>
    <w:p w14:paraId="47C8C76D" w14:textId="77777777" w:rsidR="00801A4C" w:rsidRPr="00787ED7" w:rsidRDefault="00801A4C" w:rsidP="00801A4C">
      <w:pPr>
        <w:pStyle w:val="MDPI21heading1"/>
      </w:pPr>
      <w:r w:rsidRPr="00787ED7">
        <w:t>1. Preparation of the bacteria</w:t>
      </w:r>
    </w:p>
    <w:bookmarkEnd w:id="0"/>
    <w:p w14:paraId="7C977736" w14:textId="783FCDA2" w:rsidR="00801A4C" w:rsidRPr="00787ED7" w:rsidRDefault="00801A4C" w:rsidP="00801A4C">
      <w:pPr>
        <w:pStyle w:val="MDPI31text"/>
      </w:pPr>
      <w:r w:rsidRPr="00787ED7">
        <w:t xml:space="preserve">In this study, </w:t>
      </w:r>
      <w:bookmarkStart w:id="5" w:name="OLE_LINK22"/>
      <w:bookmarkStart w:id="6" w:name="OLE_LINK23"/>
      <w:bookmarkStart w:id="7" w:name="OLE_LINK82"/>
      <w:bookmarkStart w:id="8" w:name="OLE_LINK83"/>
      <w:r w:rsidRPr="00787ED7">
        <w:rPr>
          <w:i/>
        </w:rPr>
        <w:t>Salmonella</w:t>
      </w:r>
      <w:r w:rsidRPr="00787ED7">
        <w:t xml:space="preserve"> </w:t>
      </w:r>
      <w:bookmarkEnd w:id="5"/>
      <w:bookmarkEnd w:id="6"/>
      <w:r w:rsidRPr="00787ED7">
        <w:t xml:space="preserve">Typhimurium </w:t>
      </w:r>
      <w:bookmarkEnd w:id="7"/>
      <w:bookmarkEnd w:id="8"/>
      <w:r w:rsidRPr="00787ED7">
        <w:t xml:space="preserve">(ATCC 14028) was used as target bacteria, </w:t>
      </w:r>
      <w:r w:rsidRPr="00787ED7">
        <w:rPr>
          <w:i/>
        </w:rPr>
        <w:t>E. coli</w:t>
      </w:r>
      <w:r w:rsidRPr="00787ED7">
        <w:t xml:space="preserve"> O157:H7 (ATCC 43888),</w:t>
      </w:r>
      <w:r w:rsidRPr="00787ED7">
        <w:rPr>
          <w:i/>
        </w:rPr>
        <w:t xml:space="preserve"> Listeria monocytogenes </w:t>
      </w:r>
      <w:r w:rsidRPr="00787ED7">
        <w:t xml:space="preserve">(ATCC13932), </w:t>
      </w:r>
      <w:r w:rsidRPr="00787ED7">
        <w:rPr>
          <w:i/>
        </w:rPr>
        <w:t>Staphylococcus</w:t>
      </w:r>
      <w:r w:rsidRPr="00787ED7">
        <w:t xml:space="preserve"> aureus (CICC10001), </w:t>
      </w:r>
      <w:r w:rsidRPr="00787ED7">
        <w:rPr>
          <w:i/>
        </w:rPr>
        <w:t>Bacillus cereus</w:t>
      </w:r>
      <w:r w:rsidRPr="00787ED7">
        <w:t xml:space="preserve"> (CICC10041) and </w:t>
      </w:r>
      <w:r w:rsidRPr="00787ED7">
        <w:rPr>
          <w:i/>
        </w:rPr>
        <w:t>Vibrio cholera</w:t>
      </w:r>
      <w:r w:rsidRPr="00787ED7">
        <w:t xml:space="preserve"> (CICC23795) from China Center of Industrial Culture Collection (CICC) were used as the non-target bacteria for evaluating the specificity of the proposed biosensor. All bacteria were stored at </w:t>
      </w:r>
      <w:r w:rsidR="00A247D5" w:rsidRPr="00787ED7">
        <w:t>−</w:t>
      </w:r>
      <w:r w:rsidRPr="00787ED7">
        <w:t>20</w:t>
      </w:r>
      <w:r w:rsidR="00787ED7" w:rsidRPr="00787ED7">
        <w:rPr>
          <w:rFonts w:eastAsia="宋体" w:cs="宋体"/>
          <w:lang w:eastAsia="zh-CN"/>
        </w:rPr>
        <w:t xml:space="preserve"> </w:t>
      </w:r>
      <w:r w:rsidR="00787ED7" w:rsidRPr="00787ED7">
        <w:rPr>
          <w:rFonts w:eastAsia="宋体" w:cs="宋体"/>
          <w:lang w:eastAsia="zh-CN"/>
        </w:rPr>
        <w:t>°C</w:t>
      </w:r>
      <w:r w:rsidRPr="00787ED7">
        <w:t xml:space="preserve"> with 15% glycerol, which were first revived in Luria-Bertani (LB) medium at 37 °C with shaking at 180 rpm for 12 hours respectively. Then, they were serially 10-fold diluted with the sterile PBS to obtain concentrations from 10</w:t>
      </w:r>
      <w:r w:rsidRPr="00787ED7">
        <w:rPr>
          <w:vertAlign w:val="superscript"/>
        </w:rPr>
        <w:t>1</w:t>
      </w:r>
      <w:r w:rsidRPr="00787ED7">
        <w:t xml:space="preserve"> to 10</w:t>
      </w:r>
      <w:r w:rsidRPr="00787ED7">
        <w:rPr>
          <w:vertAlign w:val="superscript"/>
        </w:rPr>
        <w:t>6</w:t>
      </w:r>
      <w:r w:rsidRPr="00787ED7">
        <w:t xml:space="preserve"> CFU/mL.</w:t>
      </w:r>
    </w:p>
    <w:p w14:paraId="59C551EB" w14:textId="77777777" w:rsidR="00801A4C" w:rsidRPr="00787ED7" w:rsidRDefault="00801A4C" w:rsidP="00801A4C">
      <w:pPr>
        <w:pStyle w:val="MDPI21heading1"/>
      </w:pPr>
      <w:r w:rsidRPr="00787ED7">
        <w:t xml:space="preserve">2. </w:t>
      </w:r>
      <w:r w:rsidRPr="00787ED7">
        <w:rPr>
          <w:szCs w:val="24"/>
        </w:rPr>
        <w:t>Preparation</w:t>
      </w:r>
      <w:r w:rsidRPr="00787ED7">
        <w:t xml:space="preserve"> of the </w:t>
      </w:r>
      <w:bookmarkStart w:id="9" w:name="_Hlk32595004"/>
      <w:r w:rsidRPr="00787ED7">
        <w:t>MnO</w:t>
      </w:r>
      <w:r w:rsidRPr="00787ED7">
        <w:rPr>
          <w:vertAlign w:val="subscript"/>
        </w:rPr>
        <w:t>2</w:t>
      </w:r>
      <w:r w:rsidRPr="00787ED7">
        <w:t xml:space="preserve"> NFs</w:t>
      </w:r>
      <w:bookmarkEnd w:id="9"/>
    </w:p>
    <w:p w14:paraId="01E49598" w14:textId="775D540D" w:rsidR="00801A4C" w:rsidRPr="00787ED7" w:rsidRDefault="00801A4C" w:rsidP="00801A4C">
      <w:pPr>
        <w:pStyle w:val="MDPI31text"/>
      </w:pPr>
      <w:r w:rsidRPr="00787ED7">
        <w:t>Briefly, 100 mL 0.1 mol/L of KMnO</w:t>
      </w:r>
      <w:r w:rsidRPr="00787ED7">
        <w:rPr>
          <w:vertAlign w:val="subscript"/>
        </w:rPr>
        <w:t>4</w:t>
      </w:r>
      <w:r w:rsidRPr="00787ED7">
        <w:t xml:space="preserve"> solution and 0.0261 g of polyvinyl pyrrolidone (PVP) were dissolved in 10 mL of distilled water under vigorous stirring, then HCl (100 mL, 0.2 M) was added into the mixture when the temperature rose to 90</w:t>
      </w:r>
      <w:r w:rsidR="00787ED7" w:rsidRPr="00787ED7">
        <w:rPr>
          <w:rFonts w:eastAsia="宋体" w:cs="宋体"/>
          <w:lang w:eastAsia="zh-CN"/>
        </w:rPr>
        <w:t xml:space="preserve"> °C</w:t>
      </w:r>
      <w:r w:rsidRPr="00787ED7">
        <w:t>. The precipitates were synthesized and cooled to room temperature after reacting for 1 h. Then, the precipitates were washed with distilled water for several times and dissolved in deionized water. The MnO</w:t>
      </w:r>
      <w:r w:rsidRPr="00787ED7">
        <w:rPr>
          <w:vertAlign w:val="subscript"/>
        </w:rPr>
        <w:t>2</w:t>
      </w:r>
      <w:r w:rsidRPr="00787ED7">
        <w:t xml:space="preserve"> NFs were stored at 4</w:t>
      </w:r>
      <w:r w:rsidR="00A247D5" w:rsidRPr="00787ED7">
        <w:t xml:space="preserve"> </w:t>
      </w:r>
      <w:r w:rsidR="00787ED7" w:rsidRPr="00787ED7">
        <w:rPr>
          <w:rFonts w:eastAsia="宋体" w:cs="宋体"/>
          <w:lang w:eastAsia="zh-CN"/>
        </w:rPr>
        <w:t>°C</w:t>
      </w:r>
      <w:r w:rsidRPr="00787ED7">
        <w:t xml:space="preserve"> for further use.</w:t>
      </w:r>
    </w:p>
    <w:p w14:paraId="394B86F1" w14:textId="77777777" w:rsidR="00801A4C" w:rsidRPr="00787ED7" w:rsidRDefault="00801A4C" w:rsidP="00801A4C">
      <w:pPr>
        <w:pStyle w:val="MDPI21heading1"/>
      </w:pPr>
      <w:r w:rsidRPr="00787ED7">
        <w:t>3. Preparation of the MnO</w:t>
      </w:r>
      <w:r w:rsidRPr="00787ED7">
        <w:rPr>
          <w:vertAlign w:val="subscript"/>
        </w:rPr>
        <w:t>2</w:t>
      </w:r>
      <w:r w:rsidRPr="00787ED7">
        <w:t xml:space="preserve"> NFs</w:t>
      </w:r>
    </w:p>
    <w:p w14:paraId="2184912A" w14:textId="4203DE2F" w:rsidR="00801A4C" w:rsidRPr="00787ED7" w:rsidRDefault="00801A4C" w:rsidP="00801A4C">
      <w:pPr>
        <w:pStyle w:val="MDPI31text"/>
      </w:pPr>
      <w:r w:rsidRPr="00787ED7">
        <w:t xml:space="preserve">Different amounts of </w:t>
      </w:r>
      <w:r w:rsidR="00F450E6" w:rsidRPr="00787ED7">
        <w:t>quantum dots (QDs)</w:t>
      </w:r>
      <w:r w:rsidRPr="00787ED7">
        <w:t xml:space="preserve"> were used to synthesize the MnO</w:t>
      </w:r>
      <w:r w:rsidRPr="00787ED7">
        <w:rPr>
          <w:vertAlign w:val="subscript"/>
        </w:rPr>
        <w:t>2</w:t>
      </w:r>
      <w:r w:rsidRPr="00787ED7">
        <w:t xml:space="preserve">-QD NFs. The QDs were released by the same </w:t>
      </w:r>
      <w:r w:rsidR="00F450E6" w:rsidRPr="00787ED7">
        <w:t>glutathione (GSH)</w:t>
      </w:r>
      <w:r w:rsidRPr="00787ED7">
        <w:t xml:space="preserve"> and measured to optimize the amount of QDs. As shown in </w:t>
      </w:r>
      <w:r w:rsidR="00A247D5" w:rsidRPr="00787ED7">
        <w:t xml:space="preserve">Figure </w:t>
      </w:r>
      <w:r w:rsidRPr="00787ED7">
        <w:t>S2a, the mean fluorescent intensity of the released QDs increases from about 300 counts to about 800 counts when the amount of QDs changes from 0 to 50 pmol. Further increase on the amount to 70 pmol does not result in obvious increase on the intensity. Thus, the optimal amount of 50 pmol for the QDs was used to synthesize the MnO</w:t>
      </w:r>
      <w:r w:rsidRPr="00787ED7">
        <w:rPr>
          <w:vertAlign w:val="subscript"/>
        </w:rPr>
        <w:t>2</w:t>
      </w:r>
      <w:r w:rsidRPr="00787ED7">
        <w:t>-QD NFs in this study.</w:t>
      </w:r>
    </w:p>
    <w:p w14:paraId="75C1B8EB" w14:textId="2EFEA717" w:rsidR="00801A4C" w:rsidRPr="00787ED7" w:rsidRDefault="00801A4C" w:rsidP="00801A4C">
      <w:pPr>
        <w:pStyle w:val="MDPI31text"/>
      </w:pPr>
      <w:r w:rsidRPr="00787ED7">
        <w:t>Different amounts (MnO</w:t>
      </w:r>
      <w:r w:rsidRPr="00787ED7">
        <w:rPr>
          <w:vertAlign w:val="subscript"/>
        </w:rPr>
        <w:t>2</w:t>
      </w:r>
      <w:r w:rsidRPr="00787ED7">
        <w:t xml:space="preserve"> NFs: from 0.02 mg to 0.06 mg) of the MnO</w:t>
      </w:r>
      <w:r w:rsidRPr="00787ED7">
        <w:rPr>
          <w:vertAlign w:val="subscript"/>
        </w:rPr>
        <w:t>2</w:t>
      </w:r>
      <w:r w:rsidRPr="00787ED7">
        <w:t xml:space="preserve">-QD-pAb NFs were used to detect the target bacteria with the concentration of 1.0 </w:t>
      </w:r>
      <w:r w:rsidR="00787ED7">
        <w:t>×</w:t>
      </w:r>
      <w:bookmarkStart w:id="10" w:name="_GoBack"/>
      <w:bookmarkEnd w:id="10"/>
      <w:r w:rsidRPr="00787ED7">
        <w:t xml:space="preserve"> 10</w:t>
      </w:r>
      <w:r w:rsidRPr="00787ED7">
        <w:rPr>
          <w:vertAlign w:val="superscript"/>
        </w:rPr>
        <w:t>5</w:t>
      </w:r>
      <w:r w:rsidRPr="00787ED7">
        <w:t xml:space="preserve"> CFU/mL at the optimal conditions and the fluorescent intensity of the released QDs was measured at the characteristic wavelength of 661 nm. As shown in </w:t>
      </w:r>
      <w:r w:rsidR="00A247D5" w:rsidRPr="00787ED7">
        <w:t xml:space="preserve">Figure </w:t>
      </w:r>
      <w:r w:rsidRPr="00787ED7">
        <w:t xml:space="preserve">S2b, the mean fluorescent intensity increases from about 200 counts to about </w:t>
      </w:r>
      <w:r w:rsidRPr="00787ED7">
        <w:lastRenderedPageBreak/>
        <w:t>560 counts when the amount of the MnO</w:t>
      </w:r>
      <w:r w:rsidRPr="00787ED7">
        <w:rPr>
          <w:vertAlign w:val="subscript"/>
        </w:rPr>
        <w:t>2</w:t>
      </w:r>
      <w:r w:rsidRPr="00787ED7">
        <w:t>-QD-pAb NFs changes from 0 μg to 50 μg, and the intensity remains at the same level when the amount further increases to 60 μg. Thus, the optimal amount of 50 μg for the MnO</w:t>
      </w:r>
      <w:r w:rsidRPr="00787ED7">
        <w:rPr>
          <w:vertAlign w:val="subscript"/>
        </w:rPr>
        <w:t>2</w:t>
      </w:r>
      <w:r w:rsidRPr="00787ED7">
        <w:t xml:space="preserve">-QD-pAb NFs was used in this study. </w:t>
      </w:r>
    </w:p>
    <w:p w14:paraId="23E00636" w14:textId="77777777" w:rsidR="00801A4C" w:rsidRPr="00787ED7" w:rsidRDefault="00801A4C" w:rsidP="00801A4C">
      <w:pPr>
        <w:pStyle w:val="MDPI31text"/>
        <w:spacing w:after="240"/>
      </w:pPr>
      <w:r w:rsidRPr="00787ED7">
        <w:t>The MnO</w:t>
      </w:r>
      <w:r w:rsidRPr="00787ED7">
        <w:rPr>
          <w:vertAlign w:val="subscript"/>
        </w:rPr>
        <w:t>2</w:t>
      </w:r>
      <w:r w:rsidRPr="00787ED7">
        <w:t xml:space="preserve">-QD-pAb NFs and the mixture of the immune MNPs and the target bacteria at the concentration of 1.0 </w:t>
      </w:r>
      <w:r w:rsidR="00A247D5" w:rsidRPr="00787ED7">
        <w:t>×</w:t>
      </w:r>
      <w:r w:rsidRPr="00787ED7">
        <w:t xml:space="preserve"> 10</w:t>
      </w:r>
      <w:r w:rsidRPr="00787ED7">
        <w:rPr>
          <w:vertAlign w:val="superscript"/>
        </w:rPr>
        <w:t>5</w:t>
      </w:r>
      <w:r w:rsidRPr="00787ED7">
        <w:t xml:space="preserve"> CFU/mL were injected into the microfluidic chip with different flow rates from 20 μL/min to 40 μL/min at the optimal conditions. As shown in </w:t>
      </w:r>
      <w:r w:rsidR="00A247D5" w:rsidRPr="00787ED7">
        <w:t xml:space="preserve">Figure </w:t>
      </w:r>
      <w:r w:rsidRPr="00787ED7">
        <w:t>S2c, the mean fluorescent intensity increases from about 400 counts to about 670 counts when the flow rate decreases from to 40 μL/min to 25 μL/min and does not increase obviously when the flow rate further decreases to 20 μL/min. Thus, the optimal flow rate of 25 μL/min was used in this study.</w:t>
      </w:r>
    </w:p>
    <w:p w14:paraId="645AFC63" w14:textId="77777777" w:rsidR="00801A4C" w:rsidRPr="00787ED7" w:rsidRDefault="00801A4C" w:rsidP="00801A4C">
      <w:pPr>
        <w:pStyle w:val="MDPI52figure"/>
        <w:rPr>
          <w:sz w:val="28"/>
          <w:szCs w:val="28"/>
        </w:rPr>
      </w:pPr>
      <w:r w:rsidRPr="00787ED7">
        <w:rPr>
          <w:noProof/>
          <w:lang w:eastAsia="zh-CN" w:bidi="ar-SA"/>
        </w:rPr>
        <w:drawing>
          <wp:inline distT="0" distB="0" distL="0" distR="0" wp14:anchorId="3160297E" wp14:editId="5124A4A8">
            <wp:extent cx="4600575" cy="2409825"/>
            <wp:effectExtent l="0" t="0" r="0" b="0"/>
            <wp:docPr id="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4">
                      <a:extLst>
                        <a:ext uri="{28A0092B-C50C-407E-A947-70E740481C1C}">
                          <a14:useLocalDpi xmlns:a14="http://schemas.microsoft.com/office/drawing/2010/main" val="0"/>
                        </a:ext>
                      </a:extLst>
                    </a:blip>
                    <a:srcRect t="23898" r="-2357" b="25922"/>
                    <a:stretch>
                      <a:fillRect/>
                    </a:stretch>
                  </pic:blipFill>
                  <pic:spPr bwMode="auto">
                    <a:xfrm>
                      <a:off x="0" y="0"/>
                      <a:ext cx="4600575" cy="2409825"/>
                    </a:xfrm>
                    <a:prstGeom prst="rect">
                      <a:avLst/>
                    </a:prstGeom>
                    <a:noFill/>
                    <a:ln>
                      <a:noFill/>
                    </a:ln>
                  </pic:spPr>
                </pic:pic>
              </a:graphicData>
            </a:graphic>
          </wp:inline>
        </w:drawing>
      </w:r>
    </w:p>
    <w:p w14:paraId="119159B4" w14:textId="77777777" w:rsidR="00801A4C" w:rsidRPr="00787ED7" w:rsidRDefault="00801A4C" w:rsidP="00801A4C">
      <w:pPr>
        <w:pStyle w:val="MDPI51figurecaption"/>
        <w:jc w:val="center"/>
      </w:pPr>
      <w:r w:rsidRPr="00787ED7">
        <w:rPr>
          <w:rFonts w:eastAsia="宋体"/>
          <w:b/>
        </w:rPr>
        <w:t xml:space="preserve">Figure S1. </w:t>
      </w:r>
      <w:bookmarkStart w:id="11" w:name="_Hlk32594831"/>
      <w:r w:rsidRPr="00787ED7">
        <w:rPr>
          <w:rFonts w:eastAsia="宋体"/>
        </w:rPr>
        <w:t xml:space="preserve">The fluorescence of the released </w:t>
      </w:r>
      <w:r w:rsidR="00A247D5" w:rsidRPr="00787ED7">
        <w:t>quantum dots (QDs)</w:t>
      </w:r>
      <w:r w:rsidRPr="00787ED7">
        <w:rPr>
          <w:rFonts w:eastAsia="宋体"/>
        </w:rPr>
        <w:t xml:space="preserve"> on 2-fold dilutions of the MnO</w:t>
      </w:r>
      <w:r w:rsidRPr="00787ED7">
        <w:rPr>
          <w:rFonts w:eastAsia="宋体"/>
          <w:vertAlign w:val="subscript"/>
        </w:rPr>
        <w:t>2</w:t>
      </w:r>
      <w:r w:rsidRPr="00787ED7">
        <w:rPr>
          <w:rFonts w:eastAsia="宋体"/>
        </w:rPr>
        <w:t>-QD NFs.</w:t>
      </w:r>
    </w:p>
    <w:bookmarkEnd w:id="11"/>
    <w:p w14:paraId="102B0BE9" w14:textId="77777777" w:rsidR="00801A4C" w:rsidRPr="00787ED7" w:rsidRDefault="00801A4C" w:rsidP="00801A4C">
      <w:pPr>
        <w:pStyle w:val="MDPI52figure"/>
        <w:rPr>
          <w:rFonts w:eastAsia="宋体"/>
        </w:rPr>
      </w:pPr>
      <w:r w:rsidRPr="00787ED7">
        <w:rPr>
          <w:noProof/>
          <w:lang w:eastAsia="zh-CN" w:bidi="ar-SA"/>
        </w:rPr>
        <w:drawing>
          <wp:inline distT="0" distB="0" distL="0" distR="0" wp14:anchorId="05CDB1BA" wp14:editId="3F27E73D">
            <wp:extent cx="4246880" cy="2381250"/>
            <wp:effectExtent l="0" t="0" r="0" b="0"/>
            <wp:docPr id="1" name="图表 60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E74A1FD" w14:textId="77777777" w:rsidR="00801A4C" w:rsidRPr="00787ED7" w:rsidRDefault="00801A4C" w:rsidP="00801A4C">
      <w:pPr>
        <w:spacing w:line="276" w:lineRule="auto"/>
        <w:jc w:val="center"/>
        <w:rPr>
          <w:rFonts w:ascii="Palatino Linotype" w:hAnsi="Palatino Linotype"/>
          <w:sz w:val="20"/>
          <w:szCs w:val="24"/>
        </w:rPr>
      </w:pPr>
      <w:r w:rsidRPr="00787ED7">
        <w:rPr>
          <w:rFonts w:ascii="Palatino Linotype" w:hAnsi="Palatino Linotype"/>
          <w:sz w:val="20"/>
          <w:szCs w:val="24"/>
        </w:rPr>
        <w:t>(</w:t>
      </w:r>
      <w:r w:rsidRPr="00787ED7">
        <w:rPr>
          <w:rFonts w:ascii="Palatino Linotype" w:hAnsi="Palatino Linotype"/>
          <w:b/>
          <w:sz w:val="20"/>
          <w:szCs w:val="24"/>
        </w:rPr>
        <w:t>a</w:t>
      </w:r>
      <w:r w:rsidRPr="00787ED7">
        <w:rPr>
          <w:rFonts w:ascii="Palatino Linotype" w:hAnsi="Palatino Linotype"/>
          <w:sz w:val="20"/>
          <w:szCs w:val="24"/>
        </w:rPr>
        <w:t>)</w:t>
      </w:r>
    </w:p>
    <w:p w14:paraId="3B775787" w14:textId="77777777" w:rsidR="00801A4C" w:rsidRPr="00787ED7" w:rsidRDefault="00801A4C" w:rsidP="00801A4C">
      <w:pPr>
        <w:pStyle w:val="ListParagraph"/>
        <w:spacing w:after="0" w:line="480" w:lineRule="auto"/>
        <w:ind w:firstLineChars="0" w:firstLine="0"/>
        <w:jc w:val="center"/>
        <w:rPr>
          <w:rFonts w:ascii="Palatino Linotype" w:eastAsia="宋体" w:hAnsi="Palatino Linotype"/>
          <w:b/>
          <w:sz w:val="24"/>
        </w:rPr>
      </w:pPr>
      <w:r w:rsidRPr="00787ED7">
        <w:rPr>
          <w:rFonts w:ascii="Palatino Linotype" w:hAnsi="Palatino Linotype"/>
          <w:noProof/>
        </w:rPr>
        <w:lastRenderedPageBreak/>
        <w:drawing>
          <wp:inline distT="0" distB="0" distL="0" distR="0" wp14:anchorId="78DEF19D" wp14:editId="1BE807CD">
            <wp:extent cx="4267200" cy="2102485"/>
            <wp:effectExtent l="0" t="0" r="0" b="0"/>
            <wp:docPr id="11" name="图表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C65B01B" w14:textId="77777777" w:rsidR="00801A4C" w:rsidRPr="00787ED7" w:rsidRDefault="00801A4C" w:rsidP="00801A4C">
      <w:pPr>
        <w:spacing w:line="276" w:lineRule="auto"/>
        <w:jc w:val="center"/>
        <w:rPr>
          <w:rFonts w:ascii="Palatino Linotype" w:hAnsi="Palatino Linotype"/>
          <w:sz w:val="20"/>
          <w:szCs w:val="24"/>
        </w:rPr>
      </w:pPr>
      <w:r w:rsidRPr="00787ED7">
        <w:rPr>
          <w:rFonts w:ascii="Palatino Linotype" w:hAnsi="Palatino Linotype"/>
          <w:sz w:val="20"/>
          <w:szCs w:val="24"/>
        </w:rPr>
        <w:t>(</w:t>
      </w:r>
      <w:r w:rsidRPr="00787ED7">
        <w:rPr>
          <w:rFonts w:ascii="Palatino Linotype" w:hAnsi="Palatino Linotype"/>
          <w:b/>
          <w:sz w:val="20"/>
          <w:szCs w:val="24"/>
        </w:rPr>
        <w:t>b</w:t>
      </w:r>
      <w:r w:rsidRPr="00787ED7">
        <w:rPr>
          <w:rFonts w:ascii="Palatino Linotype" w:hAnsi="Palatino Linotype"/>
          <w:sz w:val="20"/>
          <w:szCs w:val="24"/>
        </w:rPr>
        <w:t>)</w:t>
      </w:r>
    </w:p>
    <w:p w14:paraId="1421E263" w14:textId="77777777" w:rsidR="00801A4C" w:rsidRPr="00787ED7" w:rsidRDefault="00801A4C" w:rsidP="00801A4C">
      <w:pPr>
        <w:pStyle w:val="MDPI52figure"/>
        <w:rPr>
          <w:rFonts w:eastAsia="宋体"/>
        </w:rPr>
      </w:pPr>
      <w:r w:rsidRPr="00787ED7">
        <w:rPr>
          <w:noProof/>
          <w:lang w:eastAsia="zh-CN" w:bidi="ar-SA"/>
        </w:rPr>
        <w:drawing>
          <wp:inline distT="0" distB="0" distL="0" distR="0" wp14:anchorId="2F800F60" wp14:editId="5EDAAFCA">
            <wp:extent cx="3970655" cy="2140585"/>
            <wp:effectExtent l="0" t="0" r="0" b="0"/>
            <wp:docPr id="10" name="图表 60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2F6BD10" w14:textId="77777777" w:rsidR="00801A4C" w:rsidRPr="00787ED7" w:rsidRDefault="00801A4C" w:rsidP="00801A4C">
      <w:pPr>
        <w:spacing w:line="276" w:lineRule="auto"/>
        <w:jc w:val="center"/>
        <w:rPr>
          <w:rFonts w:ascii="Palatino Linotype" w:hAnsi="Palatino Linotype"/>
          <w:sz w:val="20"/>
          <w:szCs w:val="24"/>
        </w:rPr>
      </w:pPr>
      <w:r w:rsidRPr="00787ED7">
        <w:rPr>
          <w:rFonts w:ascii="Palatino Linotype" w:hAnsi="Palatino Linotype"/>
          <w:sz w:val="20"/>
          <w:szCs w:val="24"/>
        </w:rPr>
        <w:t>(</w:t>
      </w:r>
      <w:r w:rsidRPr="00787ED7">
        <w:rPr>
          <w:rFonts w:ascii="Palatino Linotype" w:hAnsi="Palatino Linotype"/>
          <w:b/>
          <w:sz w:val="20"/>
          <w:szCs w:val="24"/>
        </w:rPr>
        <w:t>c</w:t>
      </w:r>
      <w:r w:rsidRPr="00787ED7">
        <w:rPr>
          <w:rFonts w:ascii="Palatino Linotype" w:hAnsi="Palatino Linotype"/>
          <w:sz w:val="20"/>
          <w:szCs w:val="24"/>
        </w:rPr>
        <w:t>)</w:t>
      </w:r>
    </w:p>
    <w:p w14:paraId="7EC00B7D" w14:textId="77777777" w:rsidR="00801A4C" w:rsidRPr="00787ED7" w:rsidRDefault="00801A4C" w:rsidP="00801A4C">
      <w:pPr>
        <w:pStyle w:val="MDPI51figurecaption"/>
        <w:rPr>
          <w:rFonts w:eastAsia="宋体"/>
          <w:szCs w:val="24"/>
        </w:rPr>
      </w:pPr>
      <w:r w:rsidRPr="00787ED7">
        <w:rPr>
          <w:rFonts w:eastAsia="宋体"/>
          <w:b/>
        </w:rPr>
        <w:t xml:space="preserve">Figure S2. </w:t>
      </w:r>
      <w:bookmarkStart w:id="12" w:name="_Hlk32594875"/>
      <w:r w:rsidRPr="00787ED7">
        <w:rPr>
          <w:rFonts w:eastAsia="宋体"/>
        </w:rPr>
        <w:t>(</w:t>
      </w:r>
      <w:r w:rsidRPr="00787ED7">
        <w:rPr>
          <w:rFonts w:eastAsia="宋体"/>
          <w:b/>
        </w:rPr>
        <w:t>a</w:t>
      </w:r>
      <w:r w:rsidRPr="00787ED7">
        <w:rPr>
          <w:rFonts w:eastAsia="宋体"/>
        </w:rPr>
        <w:t>) Optimization of the amount of the QDs; (</w:t>
      </w:r>
      <w:r w:rsidRPr="00787ED7">
        <w:rPr>
          <w:rFonts w:eastAsia="宋体"/>
          <w:b/>
        </w:rPr>
        <w:t>b</w:t>
      </w:r>
      <w:r w:rsidRPr="00787ED7">
        <w:rPr>
          <w:rFonts w:eastAsia="宋体"/>
        </w:rPr>
        <w:t>) Optimization of the amount of the MnO</w:t>
      </w:r>
      <w:r w:rsidRPr="00787ED7">
        <w:rPr>
          <w:rFonts w:eastAsia="宋体"/>
          <w:vertAlign w:val="subscript"/>
        </w:rPr>
        <w:t>2</w:t>
      </w:r>
      <w:r w:rsidRPr="00787ED7">
        <w:rPr>
          <w:rFonts w:eastAsia="宋体"/>
        </w:rPr>
        <w:t>-QD-pAb NFs</w:t>
      </w:r>
      <w:r w:rsidRPr="00787ED7">
        <w:rPr>
          <w:rFonts w:eastAsia="宋体"/>
          <w:color w:val="000000" w:themeColor="text1"/>
        </w:rPr>
        <w:t>; (</w:t>
      </w:r>
      <w:r w:rsidRPr="00787ED7">
        <w:rPr>
          <w:rFonts w:eastAsia="宋体"/>
          <w:b/>
          <w:color w:val="000000" w:themeColor="text1"/>
        </w:rPr>
        <w:t>c</w:t>
      </w:r>
      <w:r w:rsidRPr="00787ED7">
        <w:rPr>
          <w:rFonts w:eastAsia="宋体"/>
        </w:rPr>
        <w:t xml:space="preserve">) </w:t>
      </w:r>
      <w:r w:rsidRPr="00787ED7">
        <w:rPr>
          <w:rFonts w:eastAsia="宋体"/>
          <w:szCs w:val="24"/>
        </w:rPr>
        <w:t>Optimization of the flow rate.</w:t>
      </w:r>
    </w:p>
    <w:bookmarkEnd w:id="12"/>
    <w:p w14:paraId="2885C434" w14:textId="77777777" w:rsidR="00801A4C" w:rsidRPr="00787ED7" w:rsidRDefault="00801A4C" w:rsidP="00801A4C">
      <w:pPr>
        <w:pStyle w:val="MDPI52figure"/>
      </w:pPr>
      <w:r w:rsidRPr="00787ED7">
        <w:rPr>
          <w:noProof/>
          <w:lang w:eastAsia="zh-CN" w:bidi="ar-SA"/>
        </w:rPr>
        <w:drawing>
          <wp:inline distT="0" distB="0" distL="0" distR="0" wp14:anchorId="0696B107" wp14:editId="5E120872">
            <wp:extent cx="4324350" cy="1714500"/>
            <wp:effectExtent l="0" t="0" r="0" b="0"/>
            <wp:docPr id="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4350" cy="1714500"/>
                    </a:xfrm>
                    <a:prstGeom prst="rect">
                      <a:avLst/>
                    </a:prstGeom>
                    <a:noFill/>
                    <a:ln>
                      <a:noFill/>
                    </a:ln>
                  </pic:spPr>
                </pic:pic>
              </a:graphicData>
            </a:graphic>
          </wp:inline>
        </w:drawing>
      </w:r>
    </w:p>
    <w:p w14:paraId="2EC4DA3B" w14:textId="77777777" w:rsidR="00801A4C" w:rsidRPr="00787ED7" w:rsidRDefault="00801A4C" w:rsidP="00801A4C">
      <w:pPr>
        <w:pStyle w:val="ListParagraph"/>
        <w:snapToGrid w:val="0"/>
        <w:spacing w:after="0" w:line="240" w:lineRule="auto"/>
        <w:ind w:firstLineChars="0" w:firstLine="0"/>
        <w:jc w:val="center"/>
        <w:rPr>
          <w:rFonts w:ascii="Palatino Linotype" w:hAnsi="Palatino Linotype"/>
          <w:color w:val="000000"/>
          <w:szCs w:val="28"/>
        </w:rPr>
      </w:pPr>
      <w:r w:rsidRPr="00787ED7">
        <w:rPr>
          <w:rFonts w:ascii="Palatino Linotype" w:hAnsi="Palatino Linotype"/>
          <w:color w:val="000000"/>
          <w:szCs w:val="28"/>
        </w:rPr>
        <w:t>(</w:t>
      </w:r>
      <w:r w:rsidRPr="00787ED7">
        <w:rPr>
          <w:rFonts w:ascii="Palatino Linotype" w:hAnsi="Palatino Linotype"/>
          <w:b/>
          <w:color w:val="000000"/>
          <w:szCs w:val="28"/>
        </w:rPr>
        <w:t>a</w:t>
      </w:r>
      <w:r w:rsidRPr="00787ED7">
        <w:rPr>
          <w:rFonts w:ascii="Palatino Linotype" w:hAnsi="Palatino Linotype"/>
          <w:color w:val="000000"/>
          <w:szCs w:val="28"/>
        </w:rPr>
        <w:t>)</w:t>
      </w:r>
    </w:p>
    <w:p w14:paraId="50F4CD05" w14:textId="77777777" w:rsidR="00801A4C" w:rsidRPr="00787ED7" w:rsidRDefault="00801A4C" w:rsidP="00801A4C">
      <w:pPr>
        <w:pStyle w:val="MDPI52figure"/>
      </w:pPr>
      <w:r w:rsidRPr="00787ED7">
        <w:rPr>
          <w:noProof/>
          <w:lang w:eastAsia="zh-CN" w:bidi="ar-SA"/>
        </w:rPr>
        <w:lastRenderedPageBreak/>
        <w:drawing>
          <wp:inline distT="0" distB="0" distL="0" distR="0" wp14:anchorId="74DAF260" wp14:editId="0E913B79">
            <wp:extent cx="3552825" cy="2495550"/>
            <wp:effectExtent l="0" t="0" r="0" b="0"/>
            <wp:docPr id="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52825" cy="2495550"/>
                    </a:xfrm>
                    <a:prstGeom prst="rect">
                      <a:avLst/>
                    </a:prstGeom>
                    <a:noFill/>
                    <a:ln>
                      <a:noFill/>
                    </a:ln>
                  </pic:spPr>
                </pic:pic>
              </a:graphicData>
            </a:graphic>
          </wp:inline>
        </w:drawing>
      </w:r>
    </w:p>
    <w:p w14:paraId="5A6A0C83" w14:textId="77777777" w:rsidR="00801A4C" w:rsidRPr="00787ED7" w:rsidRDefault="00801A4C" w:rsidP="00801A4C">
      <w:pPr>
        <w:pStyle w:val="ListParagraph"/>
        <w:snapToGrid w:val="0"/>
        <w:spacing w:after="0" w:line="240" w:lineRule="auto"/>
        <w:ind w:firstLineChars="0" w:firstLine="0"/>
        <w:jc w:val="center"/>
        <w:rPr>
          <w:rFonts w:ascii="Palatino Linotype" w:hAnsi="Palatino Linotype"/>
          <w:color w:val="000000"/>
          <w:szCs w:val="28"/>
        </w:rPr>
      </w:pPr>
      <w:r w:rsidRPr="00787ED7">
        <w:rPr>
          <w:rFonts w:ascii="Palatino Linotype" w:hAnsi="Palatino Linotype"/>
          <w:color w:val="000000"/>
          <w:szCs w:val="28"/>
        </w:rPr>
        <w:t>(</w:t>
      </w:r>
      <w:r w:rsidRPr="00787ED7">
        <w:rPr>
          <w:rFonts w:ascii="Palatino Linotype" w:hAnsi="Palatino Linotype"/>
          <w:b/>
          <w:color w:val="000000"/>
          <w:szCs w:val="28"/>
        </w:rPr>
        <w:t>b</w:t>
      </w:r>
      <w:r w:rsidRPr="00787ED7">
        <w:rPr>
          <w:rFonts w:ascii="Palatino Linotype" w:hAnsi="Palatino Linotype"/>
          <w:color w:val="000000"/>
          <w:szCs w:val="28"/>
        </w:rPr>
        <w:t>)</w:t>
      </w:r>
    </w:p>
    <w:p w14:paraId="316ED34F" w14:textId="77777777" w:rsidR="006F421E" w:rsidRPr="00787ED7" w:rsidRDefault="00801A4C" w:rsidP="00801A4C">
      <w:pPr>
        <w:pStyle w:val="MDPI51figurecaption"/>
        <w:rPr>
          <w:rFonts w:eastAsia="宋体"/>
        </w:rPr>
      </w:pPr>
      <w:r w:rsidRPr="00787ED7">
        <w:rPr>
          <w:rFonts w:eastAsia="宋体"/>
          <w:b/>
        </w:rPr>
        <w:t xml:space="preserve">Figure S3. </w:t>
      </w:r>
      <w:bookmarkStart w:id="13" w:name="_Hlk32594903"/>
      <w:r w:rsidRPr="00787ED7">
        <w:rPr>
          <w:rFonts w:eastAsia="宋体"/>
          <w:bCs/>
        </w:rPr>
        <w:t>(</w:t>
      </w:r>
      <w:r w:rsidRPr="00787ED7">
        <w:rPr>
          <w:rFonts w:eastAsia="宋体"/>
          <w:b/>
          <w:bCs/>
        </w:rPr>
        <w:t>a</w:t>
      </w:r>
      <w:r w:rsidRPr="00787ED7">
        <w:rPr>
          <w:rFonts w:eastAsia="宋体"/>
          <w:bCs/>
        </w:rPr>
        <w:t>)</w:t>
      </w:r>
      <w:r w:rsidRPr="00787ED7">
        <w:rPr>
          <w:rFonts w:eastAsia="宋体"/>
        </w:rPr>
        <w:t xml:space="preserve"> Difference in separation chamber with or without magnets;</w:t>
      </w:r>
      <w:r w:rsidRPr="00787ED7">
        <w:rPr>
          <w:rFonts w:eastAsia="宋体"/>
          <w:bCs/>
        </w:rPr>
        <w:t xml:space="preserve"> (</w:t>
      </w:r>
      <w:r w:rsidRPr="00787ED7">
        <w:rPr>
          <w:rFonts w:eastAsia="宋体"/>
          <w:b/>
          <w:bCs/>
        </w:rPr>
        <w:t>b</w:t>
      </w:r>
      <w:r w:rsidRPr="00787ED7">
        <w:rPr>
          <w:rFonts w:eastAsia="宋体"/>
          <w:bCs/>
        </w:rPr>
        <w:t>)</w:t>
      </w:r>
      <w:r w:rsidRPr="00787ED7">
        <w:rPr>
          <w:rFonts w:eastAsia="宋体"/>
        </w:rPr>
        <w:t xml:space="preserve"> The color of supernatant of </w:t>
      </w:r>
      <w:r w:rsidR="00DE536C" w:rsidRPr="00787ED7">
        <w:t>magnetic nanoparticles (MNPs)</w:t>
      </w:r>
      <w:r w:rsidRPr="00787ED7">
        <w:rPr>
          <w:rFonts w:eastAsia="宋体"/>
        </w:rPr>
        <w:t>, suspended MNPs after separating and original MNPs.</w:t>
      </w:r>
      <w:bookmarkEnd w:id="13"/>
    </w:p>
    <w:p w14:paraId="03AD4FC0" w14:textId="77777777" w:rsidR="00801A4C" w:rsidRPr="00787ED7" w:rsidRDefault="00801A4C" w:rsidP="00A247D5">
      <w:pPr>
        <w:pStyle w:val="MDPI31text"/>
      </w:pPr>
    </w:p>
    <w:tbl>
      <w:tblPr>
        <w:tblW w:w="0" w:type="auto"/>
        <w:jc w:val="center"/>
        <w:tblLook w:val="04A0" w:firstRow="1" w:lastRow="0" w:firstColumn="1" w:lastColumn="0" w:noHBand="0" w:noVBand="1"/>
      </w:tblPr>
      <w:tblGrid>
        <w:gridCol w:w="1706"/>
        <w:gridCol w:w="7138"/>
      </w:tblGrid>
      <w:tr w:rsidR="006F421E" w:rsidRPr="00787ED7" w14:paraId="1CB12C36" w14:textId="77777777" w:rsidTr="0088632C">
        <w:trPr>
          <w:jc w:val="center"/>
        </w:trPr>
        <w:tc>
          <w:tcPr>
            <w:tcW w:w="0" w:type="auto"/>
            <w:shd w:val="clear" w:color="auto" w:fill="auto"/>
            <w:vAlign w:val="center"/>
          </w:tcPr>
          <w:p w14:paraId="2AD92842" w14:textId="77777777" w:rsidR="006F421E" w:rsidRPr="00787ED7" w:rsidRDefault="00801A4C" w:rsidP="001D4796">
            <w:pPr>
              <w:pStyle w:val="MDPI71References"/>
              <w:numPr>
                <w:ilvl w:val="0"/>
                <w:numId w:val="0"/>
              </w:numPr>
              <w:ind w:left="-85"/>
              <w:rPr>
                <w:rFonts w:eastAsia="宋体"/>
                <w:bCs/>
              </w:rPr>
            </w:pPr>
            <w:r w:rsidRPr="00787ED7">
              <w:rPr>
                <w:rFonts w:eastAsia="宋体"/>
                <w:bCs/>
                <w:noProof/>
                <w:lang w:eastAsia="zh-CN" w:bidi="ar-SA"/>
              </w:rPr>
              <w:drawing>
                <wp:inline distT="0" distB="0" distL="0" distR="0" wp14:anchorId="74A34853" wp14:editId="371AA146">
                  <wp:extent cx="1000125" cy="361950"/>
                  <wp:effectExtent l="0" t="0" r="0" b="0"/>
                  <wp:docPr id="3" name="Picture 3"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pyRigh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00125" cy="361950"/>
                          </a:xfrm>
                          <a:prstGeom prst="rect">
                            <a:avLst/>
                          </a:prstGeom>
                          <a:noFill/>
                          <a:ln>
                            <a:noFill/>
                          </a:ln>
                        </pic:spPr>
                      </pic:pic>
                    </a:graphicData>
                  </a:graphic>
                </wp:inline>
              </w:drawing>
            </w:r>
          </w:p>
        </w:tc>
        <w:tc>
          <w:tcPr>
            <w:tcW w:w="7149" w:type="dxa"/>
            <w:shd w:val="clear" w:color="auto" w:fill="auto"/>
            <w:vAlign w:val="center"/>
          </w:tcPr>
          <w:p w14:paraId="67EA2598" w14:textId="77777777" w:rsidR="006F421E" w:rsidRPr="00787ED7" w:rsidRDefault="00B81E10" w:rsidP="00E61ADE">
            <w:pPr>
              <w:pStyle w:val="MDPI71References"/>
              <w:numPr>
                <w:ilvl w:val="0"/>
                <w:numId w:val="0"/>
              </w:numPr>
              <w:ind w:left="-85"/>
              <w:rPr>
                <w:rFonts w:eastAsia="宋体"/>
                <w:bCs/>
              </w:rPr>
            </w:pPr>
            <w:r w:rsidRPr="00787ED7">
              <w:rPr>
                <w:rFonts w:eastAsia="宋体"/>
                <w:bCs/>
              </w:rPr>
              <w:t>© 20</w:t>
            </w:r>
            <w:r w:rsidR="00E61ADE" w:rsidRPr="00787ED7">
              <w:rPr>
                <w:rFonts w:eastAsia="宋体"/>
                <w:bCs/>
              </w:rPr>
              <w:t xml:space="preserve">20 </w:t>
            </w:r>
            <w:r w:rsidR="006F421E" w:rsidRPr="00787ED7">
              <w:rPr>
                <w:rFonts w:eastAsia="宋体"/>
                <w:bCs/>
              </w:rPr>
              <w:t>by the authors. Submitted for possible open access publication under the terms and conditions of the Creative Commons Attribution (CC BY) license (http://creativecommons.org/licenses/by/4.0/).</w:t>
            </w:r>
          </w:p>
        </w:tc>
      </w:tr>
    </w:tbl>
    <w:p w14:paraId="53F9CDFC" w14:textId="77777777" w:rsidR="00AE0E56" w:rsidRPr="00787ED7" w:rsidRDefault="00AE0E56" w:rsidP="006F421E">
      <w:pPr>
        <w:pStyle w:val="MDPI71References"/>
        <w:numPr>
          <w:ilvl w:val="0"/>
          <w:numId w:val="0"/>
        </w:numPr>
        <w:spacing w:after="240"/>
        <w:rPr>
          <w:rFonts w:eastAsia="宋体"/>
        </w:rPr>
      </w:pPr>
    </w:p>
    <w:sectPr w:rsidR="00AE0E56" w:rsidRPr="00787ED7" w:rsidSect="00EF7560">
      <w:headerReference w:type="even" r:id="rId21"/>
      <w:headerReference w:type="default" r:id="rId22"/>
      <w:footerReference w:type="default" r:id="rId23"/>
      <w:headerReference w:type="first" r:id="rId24"/>
      <w:footerReference w:type="first" r:id="rId25"/>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EA81E6" w14:textId="77777777" w:rsidR="006B005B" w:rsidRDefault="006B005B">
      <w:pPr>
        <w:spacing w:line="240" w:lineRule="auto"/>
      </w:pPr>
      <w:r>
        <w:separator/>
      </w:r>
    </w:p>
  </w:endnote>
  <w:endnote w:type="continuationSeparator" w:id="0">
    <w:p w14:paraId="214375AD" w14:textId="77777777" w:rsidR="006B005B" w:rsidRDefault="006B005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290646" w14:textId="77777777" w:rsidR="00DE54C8" w:rsidRPr="006F0919" w:rsidRDefault="00DE54C8" w:rsidP="00DE54C8">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0549F" w14:textId="77777777" w:rsidR="00DE54C8" w:rsidRPr="008B308E" w:rsidRDefault="00DE54C8" w:rsidP="00E61ADE">
    <w:pPr>
      <w:pStyle w:val="MDPIfooterfirstpage"/>
      <w:spacing w:line="240" w:lineRule="auto"/>
      <w:jc w:val="both"/>
      <w:rPr>
        <w:lang w:val="fr-CH"/>
      </w:rPr>
    </w:pPr>
    <w:r>
      <w:rPr>
        <w:i/>
        <w:lang w:val="fr-CH"/>
      </w:rPr>
      <w:t>Micromachines</w:t>
    </w:r>
    <w:r>
      <w:rPr>
        <w:iCs/>
        <w:lang w:val="fr-CH"/>
      </w:rPr>
      <w:t xml:space="preserve"> </w:t>
    </w:r>
    <w:r w:rsidR="006F421E" w:rsidRPr="006F421E">
      <w:rPr>
        <w:b/>
      </w:rPr>
      <w:t>20</w:t>
    </w:r>
    <w:r w:rsidR="00E61ADE">
      <w:rPr>
        <w:b/>
      </w:rPr>
      <w:t>20</w:t>
    </w:r>
    <w:r w:rsidR="006F421E" w:rsidRPr="006F421E">
      <w:t xml:space="preserve">, </w:t>
    </w:r>
    <w:r w:rsidR="006F421E" w:rsidRPr="006F421E">
      <w:rPr>
        <w:i/>
      </w:rPr>
      <w:t>1</w:t>
    </w:r>
    <w:r w:rsidR="00E61ADE">
      <w:rPr>
        <w:i/>
      </w:rPr>
      <w:t>1</w:t>
    </w:r>
    <w:r w:rsidR="006F421E" w:rsidRPr="006F421E">
      <w:t xml:space="preserve">, </w:t>
    </w:r>
    <w:r w:rsidR="00986A87">
      <w:t>x; doi:</w:t>
    </w:r>
    <w:r w:rsidR="003E278F" w:rsidRPr="008B308E">
      <w:rPr>
        <w:lang w:val="fr-CH"/>
      </w:rPr>
      <w:tab/>
    </w:r>
    <w:r w:rsidRPr="008B308E">
      <w:rPr>
        <w:lang w:val="fr-CH"/>
      </w:rPr>
      <w:t>www.mdpi.com/journal/</w:t>
    </w:r>
    <w:r>
      <w:rPr>
        <w:lang w:val="fr-CH"/>
      </w:rPr>
      <w:t>micromachines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C39410" w14:textId="77777777" w:rsidR="006B005B" w:rsidRDefault="006B005B">
      <w:pPr>
        <w:spacing w:line="240" w:lineRule="auto"/>
      </w:pPr>
      <w:r>
        <w:separator/>
      </w:r>
    </w:p>
  </w:footnote>
  <w:footnote w:type="continuationSeparator" w:id="0">
    <w:p w14:paraId="5DCE72DC" w14:textId="77777777" w:rsidR="006B005B" w:rsidRDefault="006B005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E87F37" w14:textId="77777777" w:rsidR="00DE54C8" w:rsidRDefault="00DE54C8" w:rsidP="00DE54C8">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96A48D" w14:textId="021A427F" w:rsidR="00DE54C8" w:rsidRPr="00D200AF" w:rsidRDefault="00DE54C8" w:rsidP="00E61ADE">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Micromachines </w:t>
    </w:r>
    <w:r w:rsidR="006F421E" w:rsidRPr="006F421E">
      <w:rPr>
        <w:rFonts w:ascii="Palatino Linotype" w:hAnsi="Palatino Linotype"/>
        <w:b/>
        <w:sz w:val="16"/>
      </w:rPr>
      <w:t>20</w:t>
    </w:r>
    <w:r w:rsidR="00E61ADE">
      <w:rPr>
        <w:rFonts w:ascii="Palatino Linotype" w:hAnsi="Palatino Linotype"/>
        <w:b/>
        <w:sz w:val="16"/>
      </w:rPr>
      <w:t>20</w:t>
    </w:r>
    <w:r w:rsidR="006F421E" w:rsidRPr="006F421E">
      <w:rPr>
        <w:rFonts w:ascii="Palatino Linotype" w:hAnsi="Palatino Linotype"/>
        <w:sz w:val="16"/>
      </w:rPr>
      <w:t xml:space="preserve">, </w:t>
    </w:r>
    <w:r w:rsidR="006F421E" w:rsidRPr="006F421E">
      <w:rPr>
        <w:rFonts w:ascii="Palatino Linotype" w:hAnsi="Palatino Linotype"/>
        <w:i/>
        <w:sz w:val="16"/>
      </w:rPr>
      <w:t>1</w:t>
    </w:r>
    <w:r w:rsidR="00E61ADE">
      <w:rPr>
        <w:rFonts w:ascii="Palatino Linotype" w:hAnsi="Palatino Linotype"/>
        <w:i/>
        <w:sz w:val="16"/>
      </w:rPr>
      <w:t>1</w:t>
    </w:r>
    <w:r w:rsidR="00986A87">
      <w:rPr>
        <w:rFonts w:ascii="Palatino Linotype" w:hAnsi="Palatino Linotype"/>
        <w:sz w:val="16"/>
      </w:rPr>
      <w:t>, x</w:t>
    </w:r>
    <w:r w:rsidR="003E278F">
      <w:rPr>
        <w:rFonts w:ascii="Palatino Linotype" w:hAnsi="Palatino Linotype"/>
        <w:sz w:val="16"/>
      </w:rPr>
      <w:tab/>
    </w:r>
    <w:r w:rsidR="00986A87">
      <w:rPr>
        <w:rFonts w:ascii="Palatino Linotype" w:hAnsi="Palatino Linotype"/>
        <w:sz w:val="16"/>
      </w:rPr>
      <w:fldChar w:fldCharType="begin"/>
    </w:r>
    <w:r w:rsidR="00986A87">
      <w:rPr>
        <w:rFonts w:ascii="Palatino Linotype" w:hAnsi="Palatino Linotype"/>
        <w:sz w:val="16"/>
      </w:rPr>
      <w:instrText xml:space="preserve"> PAGE   \* MERGEFORMAT </w:instrText>
    </w:r>
    <w:r w:rsidR="00986A87">
      <w:rPr>
        <w:rFonts w:ascii="Palatino Linotype" w:hAnsi="Palatino Linotype"/>
        <w:sz w:val="16"/>
      </w:rPr>
      <w:fldChar w:fldCharType="separate"/>
    </w:r>
    <w:r w:rsidR="00EF7560">
      <w:rPr>
        <w:rFonts w:ascii="Palatino Linotype" w:hAnsi="Palatino Linotype"/>
        <w:noProof/>
        <w:sz w:val="16"/>
      </w:rPr>
      <w:t>4</w:t>
    </w:r>
    <w:r w:rsidR="00986A87">
      <w:rPr>
        <w:rFonts w:ascii="Palatino Linotype" w:hAnsi="Palatino Linotype"/>
        <w:sz w:val="16"/>
      </w:rPr>
      <w:fldChar w:fldCharType="end"/>
    </w:r>
    <w:r w:rsidR="00986A87">
      <w:rPr>
        <w:rFonts w:ascii="Palatino Linotype" w:hAnsi="Palatino Linotype"/>
        <w:sz w:val="16"/>
      </w:rPr>
      <w:t xml:space="preserve"> of </w:t>
    </w:r>
    <w:r w:rsidR="00986A87">
      <w:rPr>
        <w:rFonts w:ascii="Palatino Linotype" w:hAnsi="Palatino Linotype"/>
        <w:sz w:val="16"/>
      </w:rPr>
      <w:fldChar w:fldCharType="begin"/>
    </w:r>
    <w:r w:rsidR="00986A87">
      <w:rPr>
        <w:rFonts w:ascii="Palatino Linotype" w:hAnsi="Palatino Linotype"/>
        <w:sz w:val="16"/>
      </w:rPr>
      <w:instrText xml:space="preserve"> NUMPAGES   \* MERGEFORMAT </w:instrText>
    </w:r>
    <w:r w:rsidR="00986A87">
      <w:rPr>
        <w:rFonts w:ascii="Palatino Linotype" w:hAnsi="Palatino Linotype"/>
        <w:sz w:val="16"/>
      </w:rPr>
      <w:fldChar w:fldCharType="separate"/>
    </w:r>
    <w:r w:rsidR="00EF7560">
      <w:rPr>
        <w:rFonts w:ascii="Palatino Linotype" w:hAnsi="Palatino Linotype"/>
        <w:noProof/>
        <w:sz w:val="16"/>
      </w:rPr>
      <w:t>4</w:t>
    </w:r>
    <w:r w:rsidR="00986A87">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B3FAF" w14:textId="77777777" w:rsidR="00DE54C8" w:rsidRDefault="00801A4C" w:rsidP="00DE54C8">
    <w:pPr>
      <w:pStyle w:val="MDPIheaderjournallogo"/>
    </w:pPr>
    <w:r w:rsidRPr="00C72DC0">
      <w:rPr>
        <w:i w:val="0"/>
        <w:noProof/>
        <w:szCs w:val="16"/>
        <w:lang w:eastAsia="zh-CN"/>
      </w:rPr>
      <mc:AlternateContent>
        <mc:Choice Requires="wps">
          <w:drawing>
            <wp:anchor distT="45720" distB="45720" distL="114300" distR="114300" simplePos="0" relativeHeight="251657728" behindDoc="1" locked="0" layoutInCell="1" allowOverlap="1" wp14:anchorId="745894E0" wp14:editId="0554549B">
              <wp:simplePos x="0" y="0"/>
              <wp:positionH relativeFrom="page">
                <wp:posOffset>6029960</wp:posOffset>
              </wp:positionH>
              <wp:positionV relativeFrom="page">
                <wp:posOffset>647700</wp:posOffset>
              </wp:positionV>
              <wp:extent cx="54038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7E5748A2" w14:textId="77777777" w:rsidR="00DE54C8" w:rsidRDefault="00801A4C" w:rsidP="00DE54C8">
                          <w:pPr>
                            <w:pStyle w:val="MDPIheaderjournallogo"/>
                            <w:jc w:val="center"/>
                            <w:textboxTightWrap w:val="allLines"/>
                            <w:rPr>
                              <w:i w:val="0"/>
                              <w:szCs w:val="16"/>
                            </w:rPr>
                          </w:pPr>
                          <w:r w:rsidRPr="00AE0E56">
                            <w:rPr>
                              <w:i w:val="0"/>
                              <w:noProof/>
                              <w:szCs w:val="16"/>
                              <w:lang w:eastAsia="zh-CN"/>
                            </w:rPr>
                            <w:drawing>
                              <wp:inline distT="0" distB="0" distL="0" distR="0" wp14:anchorId="5B83B157" wp14:editId="663730D1">
                                <wp:extent cx="542925" cy="35242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352425"/>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5894E0"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7E5748A2" w14:textId="77777777" w:rsidR="00DE54C8" w:rsidRDefault="00801A4C" w:rsidP="00DE54C8">
                    <w:pPr>
                      <w:pStyle w:val="MDPIheaderjournallogo"/>
                      <w:jc w:val="center"/>
                      <w:textboxTightWrap w:val="allLines"/>
                      <w:rPr>
                        <w:i w:val="0"/>
                        <w:szCs w:val="16"/>
                      </w:rPr>
                    </w:pPr>
                    <w:r w:rsidRPr="00AE0E56">
                      <w:rPr>
                        <w:i w:val="0"/>
                        <w:noProof/>
                        <w:szCs w:val="16"/>
                        <w:lang w:eastAsia="zh-CN"/>
                      </w:rPr>
                      <w:drawing>
                        <wp:inline distT="0" distB="0" distL="0" distR="0" wp14:anchorId="5B83B157" wp14:editId="663730D1">
                          <wp:extent cx="542925" cy="35242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2925" cy="352425"/>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0F3E8246" wp14:editId="6C18613D">
          <wp:extent cx="1628775" cy="438150"/>
          <wp:effectExtent l="0" t="0" r="0" b="0"/>
          <wp:docPr id="5" name="Picture 5" descr="C:\Users\home\AppData\Local\Temp\HZ$D.082.3353\micromachin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AppData\Local\Temp\HZ$D.082.3353\micromachines_logo.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28775" cy="4381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attachedTemplate r:id="rId1"/>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1A4C"/>
    <w:rsid w:val="00010213"/>
    <w:rsid w:val="0001650E"/>
    <w:rsid w:val="000319E5"/>
    <w:rsid w:val="000D010F"/>
    <w:rsid w:val="000D3580"/>
    <w:rsid w:val="000D6ED2"/>
    <w:rsid w:val="00125647"/>
    <w:rsid w:val="00140FD2"/>
    <w:rsid w:val="001D4796"/>
    <w:rsid w:val="001E2AEB"/>
    <w:rsid w:val="002625F0"/>
    <w:rsid w:val="00297F72"/>
    <w:rsid w:val="002C3150"/>
    <w:rsid w:val="002F1599"/>
    <w:rsid w:val="003157AA"/>
    <w:rsid w:val="003204B8"/>
    <w:rsid w:val="00326141"/>
    <w:rsid w:val="00377B74"/>
    <w:rsid w:val="003821DC"/>
    <w:rsid w:val="003E0D46"/>
    <w:rsid w:val="003E278F"/>
    <w:rsid w:val="00401D30"/>
    <w:rsid w:val="00410B9F"/>
    <w:rsid w:val="00427D89"/>
    <w:rsid w:val="004875AF"/>
    <w:rsid w:val="004E05C2"/>
    <w:rsid w:val="0050163D"/>
    <w:rsid w:val="005A13A1"/>
    <w:rsid w:val="006819C2"/>
    <w:rsid w:val="00692393"/>
    <w:rsid w:val="0069715F"/>
    <w:rsid w:val="006B005B"/>
    <w:rsid w:val="006E680C"/>
    <w:rsid w:val="006F421E"/>
    <w:rsid w:val="00703943"/>
    <w:rsid w:val="007242F5"/>
    <w:rsid w:val="00751ADC"/>
    <w:rsid w:val="00782275"/>
    <w:rsid w:val="00787ED7"/>
    <w:rsid w:val="007C132E"/>
    <w:rsid w:val="00801A4C"/>
    <w:rsid w:val="0086033C"/>
    <w:rsid w:val="0088230C"/>
    <w:rsid w:val="0088632C"/>
    <w:rsid w:val="008C0C8B"/>
    <w:rsid w:val="008C6908"/>
    <w:rsid w:val="008E4322"/>
    <w:rsid w:val="0090154A"/>
    <w:rsid w:val="0090462C"/>
    <w:rsid w:val="00941A17"/>
    <w:rsid w:val="00952546"/>
    <w:rsid w:val="00986A87"/>
    <w:rsid w:val="009945C2"/>
    <w:rsid w:val="009B0A8E"/>
    <w:rsid w:val="009E0F40"/>
    <w:rsid w:val="009F2D09"/>
    <w:rsid w:val="009F70E6"/>
    <w:rsid w:val="00A247D5"/>
    <w:rsid w:val="00A869C9"/>
    <w:rsid w:val="00AE0E56"/>
    <w:rsid w:val="00B21E7A"/>
    <w:rsid w:val="00B60C3B"/>
    <w:rsid w:val="00B81E10"/>
    <w:rsid w:val="00BE6997"/>
    <w:rsid w:val="00BF750A"/>
    <w:rsid w:val="00C2110E"/>
    <w:rsid w:val="00C37719"/>
    <w:rsid w:val="00C53892"/>
    <w:rsid w:val="00C96C77"/>
    <w:rsid w:val="00D613C7"/>
    <w:rsid w:val="00D626C6"/>
    <w:rsid w:val="00D94DB6"/>
    <w:rsid w:val="00DE536C"/>
    <w:rsid w:val="00DE54C8"/>
    <w:rsid w:val="00E1565E"/>
    <w:rsid w:val="00E362E3"/>
    <w:rsid w:val="00E61ADE"/>
    <w:rsid w:val="00E87097"/>
    <w:rsid w:val="00EC7853"/>
    <w:rsid w:val="00EF7560"/>
    <w:rsid w:val="00F0124D"/>
    <w:rsid w:val="00F079A6"/>
    <w:rsid w:val="00F22683"/>
    <w:rsid w:val="00F330F8"/>
    <w:rsid w:val="00F450E6"/>
    <w:rsid w:val="00F825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B080F6"/>
  <w15:chartTrackingRefBased/>
  <w15:docId w15:val="{18E848E7-0019-443E-AB37-A205341A09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0E56"/>
    <w:pPr>
      <w:spacing w:line="340" w:lineRule="atLeast"/>
      <w:jc w:val="both"/>
    </w:pPr>
    <w:rPr>
      <w:rFonts w:ascii="Times New Roman" w:eastAsia="Times New Roman" w:hAnsi="Times New Roman"/>
      <w:color w:val="000000"/>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AE0E56"/>
    <w:pPr>
      <w:spacing w:before="240" w:line="240" w:lineRule="auto"/>
      <w:ind w:firstLine="0"/>
      <w:jc w:val="left"/>
    </w:pPr>
    <w:rPr>
      <w:i/>
    </w:rPr>
  </w:style>
  <w:style w:type="paragraph" w:customStyle="1" w:styleId="MDPI12title">
    <w:name w:val="MDPI_1.2_title"/>
    <w:next w:val="MDPI13authornames"/>
    <w:qFormat/>
    <w:rsid w:val="00AE0E56"/>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AE0E56"/>
    <w:pPr>
      <w:spacing w:after="120"/>
      <w:ind w:firstLine="0"/>
      <w:jc w:val="left"/>
    </w:pPr>
    <w:rPr>
      <w:b/>
      <w:snapToGrid/>
    </w:rPr>
  </w:style>
  <w:style w:type="paragraph" w:customStyle="1" w:styleId="MDPI14history">
    <w:name w:val="MDPI_1.4_history"/>
    <w:basedOn w:val="MDPI62Acknowledgments"/>
    <w:next w:val="Normal"/>
    <w:qFormat/>
    <w:rsid w:val="00AE0E56"/>
    <w:pPr>
      <w:ind w:left="113"/>
      <w:jc w:val="left"/>
    </w:pPr>
    <w:rPr>
      <w:snapToGrid/>
    </w:rPr>
  </w:style>
  <w:style w:type="paragraph" w:customStyle="1" w:styleId="MDPI16affiliation">
    <w:name w:val="MDPI_1.6_affiliation"/>
    <w:basedOn w:val="MDPI62Acknowledgments"/>
    <w:qFormat/>
    <w:rsid w:val="00AE0E56"/>
    <w:pPr>
      <w:spacing w:before="0"/>
      <w:ind w:left="311" w:hanging="198"/>
      <w:jc w:val="left"/>
    </w:pPr>
    <w:rPr>
      <w:snapToGrid/>
      <w:szCs w:val="18"/>
    </w:rPr>
  </w:style>
  <w:style w:type="paragraph" w:customStyle="1" w:styleId="MDPI17abstract">
    <w:name w:val="MDPI_1.7_abstract"/>
    <w:basedOn w:val="MDPI31text"/>
    <w:next w:val="MDPI18keywords"/>
    <w:qFormat/>
    <w:rsid w:val="00AE0E56"/>
    <w:pPr>
      <w:spacing w:before="240"/>
      <w:ind w:left="113" w:firstLine="0"/>
    </w:pPr>
    <w:rPr>
      <w:snapToGrid/>
    </w:rPr>
  </w:style>
  <w:style w:type="paragraph" w:customStyle="1" w:styleId="MDPI18keywords">
    <w:name w:val="MDPI_1.8_keywords"/>
    <w:basedOn w:val="MDPI31text"/>
    <w:next w:val="Normal"/>
    <w:qFormat/>
    <w:rsid w:val="00AE0E56"/>
    <w:pPr>
      <w:spacing w:before="240"/>
      <w:ind w:left="113" w:firstLine="0"/>
    </w:pPr>
  </w:style>
  <w:style w:type="paragraph" w:customStyle="1" w:styleId="MDPI19line">
    <w:name w:val="MDPI_1.9_line"/>
    <w:basedOn w:val="MDPI31text"/>
    <w:qFormat/>
    <w:rsid w:val="00AE0E56"/>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AE0E56"/>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AE0E5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AE0E56"/>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AE0E56"/>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AE0E56"/>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AE0E56"/>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AE0E56"/>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AE0E56"/>
    <w:pPr>
      <w:ind w:firstLine="0"/>
    </w:pPr>
  </w:style>
  <w:style w:type="paragraph" w:customStyle="1" w:styleId="MDPI33textspaceafter">
    <w:name w:val="MDPI_3.3_text_space_after"/>
    <w:basedOn w:val="MDPI31text"/>
    <w:qFormat/>
    <w:rsid w:val="00AE0E56"/>
    <w:pPr>
      <w:spacing w:after="240"/>
    </w:pPr>
  </w:style>
  <w:style w:type="paragraph" w:customStyle="1" w:styleId="MDPI34textspacebefore">
    <w:name w:val="MDPI_3.4_text_space_before"/>
    <w:basedOn w:val="MDPI31text"/>
    <w:qFormat/>
    <w:rsid w:val="00AE0E56"/>
    <w:pPr>
      <w:spacing w:before="240"/>
    </w:pPr>
  </w:style>
  <w:style w:type="paragraph" w:customStyle="1" w:styleId="MDPI35textbeforelist">
    <w:name w:val="MDPI_3.5_text_before_list"/>
    <w:basedOn w:val="MDPI31text"/>
    <w:qFormat/>
    <w:rsid w:val="00AE0E56"/>
    <w:pPr>
      <w:spacing w:after="120"/>
    </w:pPr>
  </w:style>
  <w:style w:type="paragraph" w:customStyle="1" w:styleId="MDPI36textafterlist">
    <w:name w:val="MDPI_3.6_text_after_list"/>
    <w:basedOn w:val="MDPI31text"/>
    <w:qFormat/>
    <w:rsid w:val="00AE0E56"/>
    <w:pPr>
      <w:spacing w:before="120"/>
    </w:pPr>
  </w:style>
  <w:style w:type="paragraph" w:customStyle="1" w:styleId="MDPI37itemize">
    <w:name w:val="MDPI_3.7_itemize"/>
    <w:basedOn w:val="MDPI31text"/>
    <w:qFormat/>
    <w:rsid w:val="00AE0E56"/>
    <w:pPr>
      <w:numPr>
        <w:numId w:val="1"/>
      </w:numPr>
      <w:ind w:left="425" w:hanging="425"/>
    </w:pPr>
  </w:style>
  <w:style w:type="paragraph" w:customStyle="1" w:styleId="MDPI38bullet">
    <w:name w:val="MDPI_3.8_bullet"/>
    <w:basedOn w:val="MDPI31text"/>
    <w:qFormat/>
    <w:rsid w:val="00AE0E56"/>
    <w:pPr>
      <w:numPr>
        <w:numId w:val="2"/>
      </w:numPr>
      <w:ind w:left="425" w:hanging="425"/>
    </w:pPr>
  </w:style>
  <w:style w:type="paragraph" w:customStyle="1" w:styleId="MDPI39equation">
    <w:name w:val="MDPI_3.9_equation"/>
    <w:basedOn w:val="MDPI31text"/>
    <w:qFormat/>
    <w:rsid w:val="00AE0E56"/>
    <w:pPr>
      <w:spacing w:before="120" w:after="120"/>
      <w:ind w:left="709" w:firstLine="0"/>
      <w:jc w:val="center"/>
    </w:pPr>
  </w:style>
  <w:style w:type="paragraph" w:customStyle="1" w:styleId="MDPI3aequationnumber">
    <w:name w:val="MDPI_3.a_equation_number"/>
    <w:basedOn w:val="MDPI31text"/>
    <w:qFormat/>
    <w:rsid w:val="00AE0E56"/>
    <w:pPr>
      <w:spacing w:before="120" w:after="120" w:line="240" w:lineRule="auto"/>
      <w:ind w:firstLine="0"/>
      <w:jc w:val="right"/>
    </w:pPr>
  </w:style>
  <w:style w:type="paragraph" w:customStyle="1" w:styleId="MDPI62Acknowledgments">
    <w:name w:val="MDPI_6.2_Acknowledgments"/>
    <w:qFormat/>
    <w:rsid w:val="00AE0E56"/>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AE0E56"/>
    <w:pPr>
      <w:spacing w:before="240" w:after="120" w:line="260" w:lineRule="atLeast"/>
      <w:ind w:left="425" w:right="425"/>
    </w:pPr>
    <w:rPr>
      <w:snapToGrid/>
      <w:szCs w:val="22"/>
    </w:rPr>
  </w:style>
  <w:style w:type="paragraph" w:customStyle="1" w:styleId="MDPI42tablebody">
    <w:name w:val="MDPI_4.2_table_body"/>
    <w:qFormat/>
    <w:rsid w:val="00377B74"/>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AE0E56"/>
    <w:pPr>
      <w:spacing w:before="0"/>
      <w:ind w:left="0" w:right="0"/>
    </w:pPr>
  </w:style>
  <w:style w:type="paragraph" w:customStyle="1" w:styleId="MDPI51figurecaption">
    <w:name w:val="MDPI_5.1_figure_caption"/>
    <w:basedOn w:val="MDPI62Acknowledgments"/>
    <w:qFormat/>
    <w:rsid w:val="00AE0E56"/>
    <w:pPr>
      <w:spacing w:after="240" w:line="260" w:lineRule="atLeast"/>
      <w:ind w:left="425" w:right="425"/>
    </w:pPr>
    <w:rPr>
      <w:snapToGrid/>
    </w:rPr>
  </w:style>
  <w:style w:type="paragraph" w:customStyle="1" w:styleId="MDPI52figure">
    <w:name w:val="MDPI_5.2_figure"/>
    <w:qFormat/>
    <w:rsid w:val="00AE0E56"/>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AE0E56"/>
    <w:pPr>
      <w:spacing w:before="240"/>
    </w:pPr>
    <w:rPr>
      <w:lang w:eastAsia="en-US"/>
    </w:rPr>
  </w:style>
  <w:style w:type="paragraph" w:customStyle="1" w:styleId="MDPI63AuthorContributions">
    <w:name w:val="MDPI_6.3_AuthorContributions"/>
    <w:basedOn w:val="MDPI62Acknowledgments"/>
    <w:qFormat/>
    <w:rsid w:val="00AE0E56"/>
    <w:rPr>
      <w:rFonts w:eastAsia="宋体"/>
      <w:color w:val="auto"/>
      <w:lang w:eastAsia="en-US"/>
    </w:rPr>
  </w:style>
  <w:style w:type="paragraph" w:customStyle="1" w:styleId="MDPI64CoI">
    <w:name w:val="MDPI_6.4_CoI"/>
    <w:basedOn w:val="MDPI62Acknowledgments"/>
    <w:qFormat/>
    <w:rsid w:val="00AE0E56"/>
  </w:style>
  <w:style w:type="paragraph" w:customStyle="1" w:styleId="MDPI81theorem">
    <w:name w:val="MDPI_8.1_theorem"/>
    <w:basedOn w:val="MDPI32textnoindent"/>
    <w:qFormat/>
    <w:rsid w:val="00AE0E56"/>
    <w:rPr>
      <w:i/>
    </w:rPr>
  </w:style>
  <w:style w:type="paragraph" w:customStyle="1" w:styleId="MDPI82proof">
    <w:name w:val="MDPI_8.2_proof"/>
    <w:basedOn w:val="MDPI32textnoindent"/>
    <w:qFormat/>
    <w:rsid w:val="00AE0E56"/>
  </w:style>
  <w:style w:type="paragraph" w:customStyle="1" w:styleId="MDPIfooterfirstpage">
    <w:name w:val="MDPI_footer_firstpage"/>
    <w:basedOn w:val="Normal"/>
    <w:qFormat/>
    <w:rsid w:val="00AE0E56"/>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AE0E56"/>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AE0E56"/>
    <w:pPr>
      <w:spacing w:before="240" w:after="120"/>
      <w:ind w:firstLine="0"/>
      <w:jc w:val="left"/>
      <w:outlineLvl w:val="2"/>
    </w:pPr>
  </w:style>
  <w:style w:type="paragraph" w:customStyle="1" w:styleId="MDPI21heading1">
    <w:name w:val="MDPI_2.1_heading1"/>
    <w:basedOn w:val="MDPI23heading3"/>
    <w:qFormat/>
    <w:rsid w:val="00AE0E56"/>
    <w:pPr>
      <w:outlineLvl w:val="0"/>
    </w:pPr>
    <w:rPr>
      <w:b/>
    </w:rPr>
  </w:style>
  <w:style w:type="paragraph" w:customStyle="1" w:styleId="MDPI22heading2">
    <w:name w:val="MDPI_2.2_heading2"/>
    <w:basedOn w:val="Normal"/>
    <w:qFormat/>
    <w:rsid w:val="00AE0E56"/>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AE0E56"/>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AE0E56"/>
    <w:pPr>
      <w:spacing w:line="240" w:lineRule="auto"/>
    </w:pPr>
    <w:rPr>
      <w:sz w:val="18"/>
      <w:szCs w:val="18"/>
    </w:rPr>
  </w:style>
  <w:style w:type="character" w:customStyle="1" w:styleId="BalloonTextChar">
    <w:name w:val="Balloon Text Char"/>
    <w:link w:val="BalloonText"/>
    <w:uiPriority w:val="99"/>
    <w:semiHidden/>
    <w:rsid w:val="00AE0E56"/>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AE0E56"/>
  </w:style>
  <w:style w:type="table" w:customStyle="1" w:styleId="MDPI41threelinetable">
    <w:name w:val="MDPI_4.1_three_line_table"/>
    <w:basedOn w:val="TableNormal"/>
    <w:uiPriority w:val="99"/>
    <w:rsid w:val="00377B7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等线 Light" w:hAnsi="等线 Light"/>
        <w:b/>
        <w:i w:val="0"/>
        <w:sz w:val="20"/>
      </w:rPr>
      <w:tblPr/>
      <w:tcPr>
        <w:tcBorders>
          <w:bottom w:val="single" w:sz="4" w:space="0" w:color="auto"/>
        </w:tcBorders>
      </w:tcPr>
    </w:tblStylePr>
  </w:style>
  <w:style w:type="character" w:styleId="Hyperlink">
    <w:name w:val="Hyperlink"/>
    <w:uiPriority w:val="99"/>
    <w:unhideWhenUsed/>
    <w:rsid w:val="00BF750A"/>
    <w:rPr>
      <w:color w:val="0563C1"/>
      <w:u w:val="single"/>
    </w:rPr>
  </w:style>
  <w:style w:type="character" w:customStyle="1" w:styleId="UnresolvedMention">
    <w:name w:val="Unresolved Mention"/>
    <w:uiPriority w:val="99"/>
    <w:semiHidden/>
    <w:unhideWhenUsed/>
    <w:rsid w:val="008C6908"/>
    <w:rPr>
      <w:color w:val="605E5C"/>
      <w:shd w:val="clear" w:color="auto" w:fill="E1DFDD"/>
    </w:rPr>
  </w:style>
  <w:style w:type="table" w:styleId="PlainTable4">
    <w:name w:val="Plain Table 4"/>
    <w:basedOn w:val="TableNormal"/>
    <w:uiPriority w:val="44"/>
    <w:rsid w:val="006F421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HTMLPreformatted">
    <w:name w:val="HTML Preformatted"/>
    <w:basedOn w:val="Normal"/>
    <w:link w:val="HTMLPreformattedChar"/>
    <w:uiPriority w:val="99"/>
    <w:semiHidden/>
    <w:unhideWhenUsed/>
    <w:rsid w:val="00801A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color w:val="auto"/>
      <w:sz w:val="20"/>
      <w:lang w:eastAsia="zh-CN"/>
    </w:rPr>
  </w:style>
  <w:style w:type="character" w:customStyle="1" w:styleId="HTMLPreformattedChar">
    <w:name w:val="HTML Preformatted Char"/>
    <w:basedOn w:val="DefaultParagraphFont"/>
    <w:link w:val="HTMLPreformatted"/>
    <w:uiPriority w:val="99"/>
    <w:semiHidden/>
    <w:rsid w:val="00801A4C"/>
    <w:rPr>
      <w:rFonts w:ascii="Courier New" w:eastAsia="Times New Roman" w:hAnsi="Courier New" w:cs="Courier New"/>
    </w:rPr>
  </w:style>
  <w:style w:type="paragraph" w:styleId="ListParagraph">
    <w:name w:val="List Paragraph"/>
    <w:basedOn w:val="Normal"/>
    <w:link w:val="ListParagraphChar"/>
    <w:uiPriority w:val="34"/>
    <w:qFormat/>
    <w:rsid w:val="00801A4C"/>
    <w:pPr>
      <w:spacing w:after="120" w:line="264" w:lineRule="auto"/>
      <w:ind w:firstLineChars="200" w:firstLine="420"/>
      <w:jc w:val="left"/>
    </w:pPr>
    <w:rPr>
      <w:rFonts w:ascii="等线" w:eastAsia="等线" w:hAnsi="等线"/>
      <w:color w:val="auto"/>
      <w:sz w:val="20"/>
      <w:lang w:eastAsia="zh-CN"/>
    </w:rPr>
  </w:style>
  <w:style w:type="character" w:customStyle="1" w:styleId="ListParagraphChar">
    <w:name w:val="List Paragraph Char"/>
    <w:link w:val="ListParagraph"/>
    <w:uiPriority w:val="34"/>
    <w:rsid w:val="00801A4C"/>
    <w:rPr>
      <w:rFonts w:ascii="等线" w:eastAsia="等线" w:hAnsi="等线"/>
    </w:rPr>
  </w:style>
  <w:style w:type="character" w:styleId="CommentReference">
    <w:name w:val="annotation reference"/>
    <w:basedOn w:val="DefaultParagraphFont"/>
    <w:uiPriority w:val="99"/>
    <w:semiHidden/>
    <w:unhideWhenUsed/>
    <w:rsid w:val="00A247D5"/>
    <w:rPr>
      <w:sz w:val="16"/>
      <w:szCs w:val="16"/>
    </w:rPr>
  </w:style>
  <w:style w:type="paragraph" w:styleId="CommentText">
    <w:name w:val="annotation text"/>
    <w:basedOn w:val="Normal"/>
    <w:link w:val="CommentTextChar"/>
    <w:uiPriority w:val="99"/>
    <w:semiHidden/>
    <w:unhideWhenUsed/>
    <w:rsid w:val="00A247D5"/>
    <w:pPr>
      <w:spacing w:line="240" w:lineRule="auto"/>
    </w:pPr>
    <w:rPr>
      <w:sz w:val="20"/>
    </w:rPr>
  </w:style>
  <w:style w:type="character" w:customStyle="1" w:styleId="CommentTextChar">
    <w:name w:val="Comment Text Char"/>
    <w:basedOn w:val="DefaultParagraphFont"/>
    <w:link w:val="CommentText"/>
    <w:uiPriority w:val="99"/>
    <w:semiHidden/>
    <w:rsid w:val="00A247D5"/>
    <w:rPr>
      <w:rFonts w:ascii="Times New Roman" w:eastAsia="Times New Roman" w:hAnsi="Times New Roman"/>
      <w:color w:val="000000"/>
      <w:lang w:eastAsia="de-DE"/>
    </w:rPr>
  </w:style>
  <w:style w:type="paragraph" w:styleId="CommentSubject">
    <w:name w:val="annotation subject"/>
    <w:basedOn w:val="CommentText"/>
    <w:next w:val="CommentText"/>
    <w:link w:val="CommentSubjectChar"/>
    <w:uiPriority w:val="99"/>
    <w:semiHidden/>
    <w:unhideWhenUsed/>
    <w:rsid w:val="00A247D5"/>
    <w:rPr>
      <w:b/>
      <w:bCs/>
    </w:rPr>
  </w:style>
  <w:style w:type="character" w:customStyle="1" w:styleId="CommentSubjectChar">
    <w:name w:val="Comment Subject Char"/>
    <w:basedOn w:val="CommentTextChar"/>
    <w:link w:val="CommentSubject"/>
    <w:uiPriority w:val="99"/>
    <w:semiHidden/>
    <w:rsid w:val="00A247D5"/>
    <w:rPr>
      <w:rFonts w:ascii="Times New Roman" w:eastAsia="Times New Roman" w:hAnsi="Times New Roman"/>
      <w:b/>
      <w:bCs/>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986666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wuzhen.qi@cau.edu.cn" TargetMode="External"/><Relationship Id="rId13" Type="http://schemas.openxmlformats.org/officeDocument/2006/relationships/hyperlink" Target="mailto:wangzlh891220@163.com" TargetMode="External"/><Relationship Id="rId18" Type="http://schemas.openxmlformats.org/officeDocument/2006/relationships/image" Target="media/image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mailto:haoli123@cau.edu.cn" TargetMode="External"/><Relationship Id="rId12" Type="http://schemas.openxmlformats.org/officeDocument/2006/relationships/hyperlink" Target="mailto:hanqingan2004@sina.com%20(Q.H.)" TargetMode="External"/><Relationship Id="rId17" Type="http://schemas.openxmlformats.org/officeDocument/2006/relationships/chart" Target="charts/chart3.xm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chart" Target="charts/chart2.xml"/><Relationship Id="rId20"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zhangmiao@cau.edu.cn%20(M.Z.)" TargetMode="External"/><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footer" Target="footer1.xml"/><Relationship Id="rId10" Type="http://schemas.openxmlformats.org/officeDocument/2006/relationships/hyperlink" Target="mailto:fengchunhuang@cau.edu.cn(F.H.)" TargetMode="External"/><Relationship Id="rId19"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mailto:li_xue@cau.edu.cn%20(L.X.)" TargetMode="External"/><Relationship Id="rId14" Type="http://schemas.openxmlformats.org/officeDocument/2006/relationships/image" Target="media/image1.png"/><Relationship Id="rId22" Type="http://schemas.openxmlformats.org/officeDocument/2006/relationships/header" Target="header2.xml"/><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0.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E:\micromachines\process\micromachines-template.dot"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Hao\Desktop\&#25968;&#25454;&#27719;&#24635;-HL.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Hao\Desktop\&#25968;&#25454;&#27719;&#24635;-HL.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Hao\Desktop\&#25968;&#25454;&#27719;&#24635;-H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82059249320292"/>
          <c:y val="7.5519782249441045E-2"/>
          <c:w val="0.82023775055023962"/>
          <c:h val="0.75012197994481455"/>
        </c:manualLayout>
      </c:layout>
      <c:barChart>
        <c:barDir val="col"/>
        <c:grouping val="clustered"/>
        <c:varyColors val="0"/>
        <c:ser>
          <c:idx val="0"/>
          <c:order val="0"/>
          <c:spPr>
            <a:solidFill>
              <a:srgbClr val="0070C0"/>
            </a:solidFill>
            <a:ln>
              <a:noFill/>
            </a:ln>
            <a:effectLst/>
          </c:spPr>
          <c:invertIfNegative val="0"/>
          <c:dPt>
            <c:idx val="3"/>
            <c:invertIfNegative val="0"/>
            <c:bubble3D val="0"/>
            <c:spPr>
              <a:solidFill>
                <a:srgbClr val="FF0000"/>
              </a:solidFill>
              <a:ln>
                <a:noFill/>
              </a:ln>
              <a:effectLst/>
            </c:spPr>
            <c:extLst>
              <c:ext xmlns:c16="http://schemas.microsoft.com/office/drawing/2014/chart" uri="{C3380CC4-5D6E-409C-BE32-E72D297353CC}">
                <c16:uniqueId val="{00000001-A20B-4483-B367-B4355E80E77E}"/>
              </c:ext>
            </c:extLst>
          </c:dPt>
          <c:errBars>
            <c:errBarType val="both"/>
            <c:errValType val="cust"/>
            <c:noEndCap val="0"/>
            <c:plus>
              <c:numRef>
                <c:f>量子点优化661.01处柱状图!$F$2:$F$6</c:f>
                <c:numCache>
                  <c:formatCode>General</c:formatCode>
                  <c:ptCount val="5"/>
                  <c:pt idx="0">
                    <c:v>18.512592711149054</c:v>
                  </c:pt>
                  <c:pt idx="1">
                    <c:v>23.228649456125421</c:v>
                  </c:pt>
                  <c:pt idx="2">
                    <c:v>27.844238183150203</c:v>
                  </c:pt>
                  <c:pt idx="3">
                    <c:v>10.551885560831682</c:v>
                  </c:pt>
                  <c:pt idx="4">
                    <c:v>23.698856981344562</c:v>
                  </c:pt>
                </c:numCache>
              </c:numRef>
            </c:plus>
            <c:minus>
              <c:numRef>
                <c:f>量子点优化661.01处柱状图!$F$2:$F$6</c:f>
                <c:numCache>
                  <c:formatCode>General</c:formatCode>
                  <c:ptCount val="5"/>
                  <c:pt idx="0">
                    <c:v>18.512592711149054</c:v>
                  </c:pt>
                  <c:pt idx="1">
                    <c:v>23.228649456125421</c:v>
                  </c:pt>
                  <c:pt idx="2">
                    <c:v>27.844238183150203</c:v>
                  </c:pt>
                  <c:pt idx="3">
                    <c:v>10.551885560831682</c:v>
                  </c:pt>
                  <c:pt idx="4">
                    <c:v>23.698856981344562</c:v>
                  </c:pt>
                </c:numCache>
              </c:numRef>
            </c:minus>
            <c:spPr>
              <a:noFill/>
              <a:ln w="15875" cap="flat" cmpd="sng" algn="ctr">
                <a:solidFill>
                  <a:schemeClr val="tx1"/>
                </a:solidFill>
                <a:round/>
              </a:ln>
              <a:effectLst/>
            </c:spPr>
          </c:errBars>
          <c:cat>
            <c:strRef>
              <c:f>量子点优化661.01处柱状图!$A$2:$A$6</c:f>
              <c:strCache>
                <c:ptCount val="5"/>
                <c:pt idx="0">
                  <c:v>NC </c:v>
                </c:pt>
                <c:pt idx="1">
                  <c:v>10</c:v>
                </c:pt>
                <c:pt idx="2">
                  <c:v>30</c:v>
                </c:pt>
                <c:pt idx="3">
                  <c:v>50</c:v>
                </c:pt>
                <c:pt idx="4">
                  <c:v>70</c:v>
                </c:pt>
              </c:strCache>
            </c:strRef>
          </c:cat>
          <c:val>
            <c:numRef>
              <c:f>量子点优化661.01处柱状图!$E$2:$E$6</c:f>
              <c:numCache>
                <c:formatCode>0.00_ </c:formatCode>
                <c:ptCount val="5"/>
                <c:pt idx="0">
                  <c:v>313.62666666666661</c:v>
                </c:pt>
                <c:pt idx="1">
                  <c:v>411.88666666666671</c:v>
                </c:pt>
                <c:pt idx="2">
                  <c:v>473.41</c:v>
                </c:pt>
                <c:pt idx="3">
                  <c:v>789.48666666666668</c:v>
                </c:pt>
                <c:pt idx="4">
                  <c:v>867.27666666666664</c:v>
                </c:pt>
              </c:numCache>
            </c:numRef>
          </c:val>
          <c:extLst>
            <c:ext xmlns:c16="http://schemas.microsoft.com/office/drawing/2014/chart" uri="{C3380CC4-5D6E-409C-BE32-E72D297353CC}">
              <c16:uniqueId val="{00000002-A20B-4483-B367-B4355E80E77E}"/>
            </c:ext>
          </c:extLst>
        </c:ser>
        <c:dLbls>
          <c:showLegendKey val="0"/>
          <c:showVal val="0"/>
          <c:showCatName val="0"/>
          <c:showSerName val="0"/>
          <c:showPercent val="0"/>
          <c:showBubbleSize val="0"/>
        </c:dLbls>
        <c:gapWidth val="210"/>
        <c:overlap val="-27"/>
        <c:axId val="766181832"/>
        <c:axId val="766183008"/>
      </c:barChart>
      <c:catAx>
        <c:axId val="7661818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sz="1200" b="1">
                    <a:solidFill>
                      <a:sysClr val="windowText" lastClr="000000"/>
                    </a:solidFill>
                    <a:latin typeface="Times New Roman" panose="02020603050405020304" pitchFamily="18" charset="0"/>
                    <a:cs typeface="Times New Roman" panose="02020603050405020304" pitchFamily="18" charset="0"/>
                  </a:rPr>
                  <a:t>The amount</a:t>
                </a:r>
                <a:r>
                  <a:rPr lang="en-US" altLang="zh-CN" sz="1200" b="1" baseline="0">
                    <a:solidFill>
                      <a:sysClr val="windowText" lastClr="000000"/>
                    </a:solidFill>
                    <a:latin typeface="Times New Roman" panose="02020603050405020304" pitchFamily="18" charset="0"/>
                    <a:cs typeface="Times New Roman" panose="02020603050405020304" pitchFamily="18" charset="0"/>
                  </a:rPr>
                  <a:t> of QDs (pmol)</a:t>
                </a:r>
                <a:endParaRPr lang="zh-CN" altLang="en-US" sz="12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3625672351494179"/>
              <c:y val="0.9102564102564102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out"/>
        <c:tickLblPos val="nextTo"/>
        <c:spPr>
          <a:noFill/>
          <a:ln w="19050" cap="flat" cmpd="sng" algn="ctr">
            <a:solidFill>
              <a:schemeClr val="tx1"/>
            </a:solidFill>
            <a:round/>
          </a:ln>
          <a:effectLst/>
        </c:spPr>
        <c:txPr>
          <a:bodyPr rot="-600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766183008"/>
        <c:crosses val="autoZero"/>
        <c:auto val="1"/>
        <c:lblAlgn val="ctr"/>
        <c:lblOffset val="100"/>
        <c:noMultiLvlLbl val="0"/>
      </c:catAx>
      <c:valAx>
        <c:axId val="766183008"/>
        <c:scaling>
          <c:orientation val="minMax"/>
          <c:max val="1000"/>
          <c:min val="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sz="1200" b="1">
                    <a:solidFill>
                      <a:sysClr val="windowText" lastClr="000000"/>
                    </a:solidFill>
                    <a:latin typeface="Times New Roman" panose="02020603050405020304" pitchFamily="18" charset="0"/>
                    <a:cs typeface="Times New Roman" panose="02020603050405020304" pitchFamily="18" charset="0"/>
                  </a:rPr>
                  <a:t> Intensity (counts)</a:t>
                </a:r>
                <a:endParaRPr lang="zh-CN" altLang="en-US" sz="12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4.7904122278832799E-3"/>
              <c:y val="0.268418040282945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_ " sourceLinked="0"/>
        <c:majorTickMark val="in"/>
        <c:minorTickMark val="none"/>
        <c:tickLblPos val="nextTo"/>
        <c:spPr>
          <a:noFill/>
          <a:ln w="19050">
            <a:solidFill>
              <a:schemeClr val="tx1"/>
            </a:solidFill>
          </a:ln>
          <a:effectLst/>
        </c:spPr>
        <c:txPr>
          <a:bodyPr rot="-600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766181832"/>
        <c:crosses val="autoZero"/>
        <c:crossBetween val="between"/>
        <c:majorUnit val="200"/>
      </c:valAx>
      <c:spPr>
        <a:noFill/>
        <a:ln w="1905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320748968878891"/>
          <c:y val="4.9372309473973988E-2"/>
          <c:w val="0.79657925571803523"/>
          <c:h val="0.75087069812475959"/>
        </c:manualLayout>
      </c:layout>
      <c:barChart>
        <c:barDir val="col"/>
        <c:grouping val="clustered"/>
        <c:varyColors val="0"/>
        <c:ser>
          <c:idx val="0"/>
          <c:order val="0"/>
          <c:spPr>
            <a:solidFill>
              <a:srgbClr val="0070C0"/>
            </a:solidFill>
            <a:ln>
              <a:noFill/>
            </a:ln>
            <a:effectLst/>
          </c:spPr>
          <c:invertIfNegative val="0"/>
          <c:dPt>
            <c:idx val="4"/>
            <c:invertIfNegative val="0"/>
            <c:bubble3D val="0"/>
            <c:spPr>
              <a:solidFill>
                <a:srgbClr val="FF0000"/>
              </a:solidFill>
              <a:ln>
                <a:noFill/>
              </a:ln>
              <a:effectLst/>
            </c:spPr>
            <c:extLst>
              <c:ext xmlns:c16="http://schemas.microsoft.com/office/drawing/2014/chart" uri="{C3380CC4-5D6E-409C-BE32-E72D297353CC}">
                <c16:uniqueId val="{00000001-D701-4001-94C3-EBA5FB105B3B}"/>
              </c:ext>
            </c:extLst>
          </c:dPt>
          <c:errBars>
            <c:errBarType val="both"/>
            <c:errValType val="cust"/>
            <c:noEndCap val="0"/>
            <c:plus>
              <c:numRef>
                <c:f>'Fig. 3(b)'!$F$2:$F$7</c:f>
                <c:numCache>
                  <c:formatCode>General</c:formatCode>
                  <c:ptCount val="6"/>
                  <c:pt idx="0">
                    <c:v>4.2267527593755583</c:v>
                  </c:pt>
                  <c:pt idx="1">
                    <c:v>5.9642327438005198</c:v>
                  </c:pt>
                  <c:pt idx="2">
                    <c:v>5.8882500701727158</c:v>
                  </c:pt>
                  <c:pt idx="3">
                    <c:v>14.798545724345862</c:v>
                  </c:pt>
                  <c:pt idx="4">
                    <c:v>20.618338041177008</c:v>
                  </c:pt>
                  <c:pt idx="5">
                    <c:v>19.585425474446247</c:v>
                  </c:pt>
                </c:numCache>
              </c:numRef>
            </c:plus>
            <c:minus>
              <c:numRef>
                <c:f>'Fig. 3(b)'!$F$2:$F$7</c:f>
                <c:numCache>
                  <c:formatCode>General</c:formatCode>
                  <c:ptCount val="6"/>
                  <c:pt idx="0">
                    <c:v>4.2267527593755583</c:v>
                  </c:pt>
                  <c:pt idx="1">
                    <c:v>5.9642327438005198</c:v>
                  </c:pt>
                  <c:pt idx="2">
                    <c:v>5.8882500701727158</c:v>
                  </c:pt>
                  <c:pt idx="3">
                    <c:v>14.798545724345862</c:v>
                  </c:pt>
                  <c:pt idx="4">
                    <c:v>20.618338041177008</c:v>
                  </c:pt>
                  <c:pt idx="5">
                    <c:v>19.585425474446247</c:v>
                  </c:pt>
                </c:numCache>
              </c:numRef>
            </c:minus>
            <c:spPr>
              <a:noFill/>
              <a:ln w="15875" cap="flat" cmpd="sng" algn="ctr">
                <a:solidFill>
                  <a:schemeClr val="tx1"/>
                </a:solidFill>
                <a:round/>
              </a:ln>
              <a:effectLst/>
            </c:spPr>
          </c:errBars>
          <c:cat>
            <c:strRef>
              <c:f>'Fig. 3(b)'!$A$2:$A$7</c:f>
              <c:strCache>
                <c:ptCount val="6"/>
                <c:pt idx="0">
                  <c:v>NC</c:v>
                </c:pt>
                <c:pt idx="1">
                  <c:v>20</c:v>
                </c:pt>
                <c:pt idx="2">
                  <c:v>30</c:v>
                </c:pt>
                <c:pt idx="3">
                  <c:v>40</c:v>
                </c:pt>
                <c:pt idx="4">
                  <c:v>50</c:v>
                </c:pt>
                <c:pt idx="5">
                  <c:v>60</c:v>
                </c:pt>
              </c:strCache>
            </c:strRef>
          </c:cat>
          <c:val>
            <c:numRef>
              <c:f>'Fig. 3(b)'!$E$2:$E$7</c:f>
              <c:numCache>
                <c:formatCode>0.00_ </c:formatCode>
                <c:ptCount val="6"/>
                <c:pt idx="0">
                  <c:v>201.91833333333338</c:v>
                </c:pt>
                <c:pt idx="1">
                  <c:v>268.32833333333332</c:v>
                </c:pt>
                <c:pt idx="2">
                  <c:v>334.09666666666664</c:v>
                </c:pt>
                <c:pt idx="3">
                  <c:v>480.84833333333336</c:v>
                </c:pt>
                <c:pt idx="4">
                  <c:v>564.59888888888906</c:v>
                </c:pt>
                <c:pt idx="5">
                  <c:v>558.31703703703704</c:v>
                </c:pt>
              </c:numCache>
            </c:numRef>
          </c:val>
          <c:extLst>
            <c:ext xmlns:c16="http://schemas.microsoft.com/office/drawing/2014/chart" uri="{C3380CC4-5D6E-409C-BE32-E72D297353CC}">
              <c16:uniqueId val="{00000002-D701-4001-94C3-EBA5FB105B3B}"/>
            </c:ext>
          </c:extLst>
        </c:ser>
        <c:dLbls>
          <c:showLegendKey val="0"/>
          <c:showVal val="0"/>
          <c:showCatName val="0"/>
          <c:showSerName val="0"/>
          <c:showPercent val="0"/>
          <c:showBubbleSize val="0"/>
        </c:dLbls>
        <c:gapWidth val="165"/>
        <c:overlap val="-27"/>
        <c:axId val="766185752"/>
        <c:axId val="766184968"/>
      </c:barChart>
      <c:catAx>
        <c:axId val="7661857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sz="1200" b="1" i="0" baseline="0">
                    <a:solidFill>
                      <a:schemeClr val="tx1"/>
                    </a:solidFill>
                    <a:effectLst/>
                    <a:latin typeface="Times New Roman" panose="02020603050405020304" pitchFamily="18" charset="0"/>
                    <a:cs typeface="Times New Roman" panose="02020603050405020304" pitchFamily="18" charset="0"/>
                  </a:rPr>
                  <a:t>Quantity of MnO</a:t>
                </a:r>
                <a:r>
                  <a:rPr lang="en-US" altLang="zh-CN" sz="1200" b="1" i="0" baseline="-25000">
                    <a:solidFill>
                      <a:schemeClr val="tx1"/>
                    </a:solidFill>
                    <a:effectLst/>
                    <a:latin typeface="Times New Roman" panose="02020603050405020304" pitchFamily="18" charset="0"/>
                    <a:cs typeface="Times New Roman" panose="02020603050405020304" pitchFamily="18" charset="0"/>
                  </a:rPr>
                  <a:t>2 </a:t>
                </a:r>
                <a:r>
                  <a:rPr lang="en-US" altLang="zh-CN" sz="1200" b="1" i="0" baseline="0">
                    <a:solidFill>
                      <a:schemeClr val="tx1"/>
                    </a:solidFill>
                    <a:effectLst/>
                    <a:latin typeface="Times New Roman" panose="02020603050405020304" pitchFamily="18" charset="0"/>
                    <a:cs typeface="Times New Roman" panose="02020603050405020304" pitchFamily="18" charset="0"/>
                  </a:rPr>
                  <a:t>(</a:t>
                </a:r>
                <a:r>
                  <a:rPr lang="el-GR" altLang="zh-CN" sz="1200" b="1" i="0" baseline="0">
                    <a:solidFill>
                      <a:schemeClr val="tx1"/>
                    </a:solidFill>
                    <a:effectLst/>
                    <a:latin typeface="Times New Roman" panose="02020603050405020304" pitchFamily="18" charset="0"/>
                    <a:cs typeface="Times New Roman" panose="02020603050405020304" pitchFamily="18" charset="0"/>
                  </a:rPr>
                  <a:t>μ</a:t>
                </a:r>
                <a:r>
                  <a:rPr lang="en-US" altLang="zh-CN" sz="1200" b="1" i="0" baseline="0">
                    <a:solidFill>
                      <a:schemeClr val="tx1"/>
                    </a:solidFill>
                    <a:effectLst/>
                    <a:latin typeface="Times New Roman" panose="02020603050405020304" pitchFamily="18" charset="0"/>
                    <a:cs typeface="Times New Roman" panose="02020603050405020304" pitchFamily="18" charset="0"/>
                  </a:rPr>
                  <a:t>g)</a:t>
                </a:r>
                <a:endParaRPr lang="zh-CN" altLang="zh-CN" sz="1200">
                  <a:solidFill>
                    <a:schemeClr val="tx1"/>
                  </a:solidFill>
                  <a:effectLst/>
                  <a:latin typeface="Times New Roman" panose="02020603050405020304" pitchFamily="18" charset="0"/>
                  <a:cs typeface="Times New Roman" panose="02020603050405020304" pitchFamily="18" charset="0"/>
                </a:endParaRPr>
              </a:p>
            </c:rich>
          </c:tx>
          <c:layout>
            <c:manualLayout>
              <c:xMode val="edge"/>
              <c:yMode val="edge"/>
              <c:x val="0.3856036788458867"/>
              <c:y val="0.9240949168832615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out"/>
        <c:tickLblPos val="nextTo"/>
        <c:spPr>
          <a:noFill/>
          <a:ln w="19050" cap="flat" cmpd="sng" algn="ctr">
            <a:solidFill>
              <a:schemeClr val="tx1"/>
            </a:solidFill>
            <a:round/>
          </a:ln>
          <a:effectLst/>
        </c:spPr>
        <c:txPr>
          <a:bodyPr rot="-600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766184968"/>
        <c:crosses val="autoZero"/>
        <c:auto val="1"/>
        <c:lblAlgn val="ctr"/>
        <c:lblOffset val="100"/>
        <c:noMultiLvlLbl val="0"/>
      </c:catAx>
      <c:valAx>
        <c:axId val="766184968"/>
        <c:scaling>
          <c:orientation val="minMax"/>
          <c:max val="80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sz="1200" b="1">
                    <a:solidFill>
                      <a:schemeClr val="tx1"/>
                    </a:solidFill>
                    <a:latin typeface="Times New Roman" panose="02020603050405020304" pitchFamily="18" charset="0"/>
                    <a:cs typeface="Times New Roman" panose="02020603050405020304" pitchFamily="18" charset="0"/>
                  </a:rPr>
                  <a:t> Intensity (counts)</a:t>
                </a:r>
                <a:endParaRPr lang="zh-CN" altLang="en-US" sz="1200" b="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4.5914465833783525E-3"/>
              <c:y val="0.2501081997063296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_ " sourceLinked="0"/>
        <c:majorTickMark val="in"/>
        <c:minorTickMark val="none"/>
        <c:tickLblPos val="nextTo"/>
        <c:spPr>
          <a:noFill/>
          <a:ln w="19050">
            <a:solidFill>
              <a:schemeClr val="tx1"/>
            </a:solidFill>
          </a:ln>
          <a:effectLst/>
        </c:spPr>
        <c:txPr>
          <a:bodyPr rot="-600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766185752"/>
        <c:crosses val="autoZero"/>
        <c:crossBetween val="between"/>
        <c:majorUnit val="200"/>
      </c:valAx>
      <c:spPr>
        <a:noFill/>
        <a:ln w="19050">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946703665619614"/>
          <c:y val="3.6078199052132699E-2"/>
          <c:w val="0.84286348009315737"/>
          <c:h val="0.74939638765533456"/>
        </c:manualLayout>
      </c:layout>
      <c:barChart>
        <c:barDir val="col"/>
        <c:grouping val="clustered"/>
        <c:varyColors val="0"/>
        <c:ser>
          <c:idx val="0"/>
          <c:order val="0"/>
          <c:spPr>
            <a:solidFill>
              <a:srgbClr val="0070C0"/>
            </a:solidFill>
            <a:ln>
              <a:noFill/>
            </a:ln>
            <a:effectLst/>
          </c:spPr>
          <c:invertIfNegative val="0"/>
          <c:dPt>
            <c:idx val="1"/>
            <c:invertIfNegative val="0"/>
            <c:bubble3D val="0"/>
            <c:spPr>
              <a:solidFill>
                <a:srgbClr val="FF0000"/>
              </a:solidFill>
              <a:ln>
                <a:noFill/>
              </a:ln>
              <a:effectLst/>
            </c:spPr>
            <c:extLst>
              <c:ext xmlns:c16="http://schemas.microsoft.com/office/drawing/2014/chart" uri="{C3380CC4-5D6E-409C-BE32-E72D297353CC}">
                <c16:uniqueId val="{00000001-E87D-4CD0-BC16-C045C59AD25D}"/>
              </c:ext>
            </c:extLst>
          </c:dPt>
          <c:errBars>
            <c:errBarType val="both"/>
            <c:errValType val="cust"/>
            <c:noEndCap val="0"/>
            <c:plus>
              <c:numRef>
                <c:f>流速数据柱状图!$F$2:$F$6</c:f>
                <c:numCache>
                  <c:formatCode>General</c:formatCode>
                  <c:ptCount val="5"/>
                  <c:pt idx="0">
                    <c:v>6.1898195988789979</c:v>
                  </c:pt>
                  <c:pt idx="1">
                    <c:v>11.740200213014514</c:v>
                  </c:pt>
                  <c:pt idx="2">
                    <c:v>8.6108510354990706</c:v>
                  </c:pt>
                  <c:pt idx="3">
                    <c:v>21.68843675530557</c:v>
                  </c:pt>
                  <c:pt idx="4">
                    <c:v>20.330834989957719</c:v>
                  </c:pt>
                </c:numCache>
              </c:numRef>
            </c:plus>
            <c:minus>
              <c:numRef>
                <c:f>流速数据柱状图!$F$2:$F$6</c:f>
                <c:numCache>
                  <c:formatCode>General</c:formatCode>
                  <c:ptCount val="5"/>
                  <c:pt idx="0">
                    <c:v>6.1898195988789979</c:v>
                  </c:pt>
                  <c:pt idx="1">
                    <c:v>11.740200213014514</c:v>
                  </c:pt>
                  <c:pt idx="2">
                    <c:v>8.6108510354990706</c:v>
                  </c:pt>
                  <c:pt idx="3">
                    <c:v>21.68843675530557</c:v>
                  </c:pt>
                  <c:pt idx="4">
                    <c:v>20.330834989957719</c:v>
                  </c:pt>
                </c:numCache>
              </c:numRef>
            </c:minus>
            <c:spPr>
              <a:noFill/>
              <a:ln w="15875" cap="flat" cmpd="sng" algn="ctr">
                <a:solidFill>
                  <a:schemeClr val="tx1"/>
                </a:solidFill>
                <a:round/>
              </a:ln>
              <a:effectLst/>
            </c:spPr>
          </c:errBars>
          <c:cat>
            <c:numRef>
              <c:f>'F:\[流速优化.xlsx]661.01处柱状图'!$A$2:$A$6</c:f>
              <c:numCache>
                <c:formatCode>General</c:formatCode>
                <c:ptCount val="5"/>
                <c:pt idx="0">
                  <c:v>20</c:v>
                </c:pt>
                <c:pt idx="1">
                  <c:v>25</c:v>
                </c:pt>
                <c:pt idx="2">
                  <c:v>30</c:v>
                </c:pt>
                <c:pt idx="3">
                  <c:v>35</c:v>
                </c:pt>
                <c:pt idx="4">
                  <c:v>40</c:v>
                </c:pt>
              </c:numCache>
            </c:numRef>
          </c:cat>
          <c:val>
            <c:numRef>
              <c:f>'F:\[流速优化.xlsx]661.01处柱状图'!$E$2:$E$6</c:f>
              <c:numCache>
                <c:formatCode>General</c:formatCode>
                <c:ptCount val="5"/>
                <c:pt idx="0">
                  <c:v>678.87</c:v>
                </c:pt>
                <c:pt idx="1">
                  <c:v>671.44875000000002</c:v>
                </c:pt>
                <c:pt idx="2">
                  <c:v>570.99333333333334</c:v>
                </c:pt>
                <c:pt idx="3">
                  <c:v>464.53333333333336</c:v>
                </c:pt>
                <c:pt idx="4">
                  <c:v>359.5408333333333</c:v>
                </c:pt>
              </c:numCache>
            </c:numRef>
          </c:val>
          <c:extLst>
            <c:ext xmlns:c16="http://schemas.microsoft.com/office/drawing/2014/chart" uri="{C3380CC4-5D6E-409C-BE32-E72D297353CC}">
              <c16:uniqueId val="{00000002-E87D-4CD0-BC16-C045C59AD25D}"/>
            </c:ext>
          </c:extLst>
        </c:ser>
        <c:dLbls>
          <c:showLegendKey val="0"/>
          <c:showVal val="0"/>
          <c:showCatName val="0"/>
          <c:showSerName val="0"/>
          <c:showPercent val="0"/>
          <c:showBubbleSize val="0"/>
        </c:dLbls>
        <c:gapWidth val="219"/>
        <c:overlap val="-27"/>
        <c:axId val="766186144"/>
        <c:axId val="766186928"/>
      </c:barChart>
      <c:catAx>
        <c:axId val="76618614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sz="1200" b="1">
                    <a:solidFill>
                      <a:schemeClr val="tx1"/>
                    </a:solidFill>
                    <a:latin typeface="Times New Roman" panose="02020603050405020304" pitchFamily="18" charset="0"/>
                    <a:cs typeface="Times New Roman" panose="02020603050405020304" pitchFamily="18" charset="0"/>
                  </a:rPr>
                  <a:t>The flow rate (</a:t>
                </a:r>
                <a:r>
                  <a:rPr lang="en-US" altLang="zh-CN" sz="1200" b="1" i="0" u="none" strike="noStrike" baseline="0">
                    <a:solidFill>
                      <a:schemeClr val="tx1"/>
                    </a:solidFill>
                    <a:effectLst/>
                    <a:latin typeface="Times New Roman" panose="02020603050405020304" pitchFamily="18" charset="0"/>
                    <a:cs typeface="Times New Roman" panose="02020603050405020304" pitchFamily="18" charset="0"/>
                  </a:rPr>
                  <a:t>μL/min</a:t>
                </a:r>
                <a:r>
                  <a:rPr lang="en-US" altLang="zh-CN" sz="1200" b="1">
                    <a:solidFill>
                      <a:schemeClr val="tx1"/>
                    </a:solidFill>
                    <a:latin typeface="Times New Roman" panose="02020603050405020304" pitchFamily="18" charset="0"/>
                    <a:cs typeface="Times New Roman" panose="02020603050405020304" pitchFamily="18" charset="0"/>
                  </a:rPr>
                  <a:t>)</a:t>
                </a:r>
                <a:endParaRPr lang="zh-CN" altLang="en-US" sz="1200" b="1">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out"/>
        <c:tickLblPos val="nextTo"/>
        <c:spPr>
          <a:noFill/>
          <a:ln w="19050" cap="flat" cmpd="sng" algn="ctr">
            <a:solidFill>
              <a:schemeClr val="tx1"/>
            </a:solidFill>
            <a:round/>
          </a:ln>
          <a:effectLst/>
        </c:spPr>
        <c:txPr>
          <a:bodyPr rot="-600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766186928"/>
        <c:crosses val="autoZero"/>
        <c:auto val="1"/>
        <c:lblAlgn val="ctr"/>
        <c:lblOffset val="100"/>
        <c:tickMarkSkip val="1"/>
        <c:noMultiLvlLbl val="0"/>
      </c:catAx>
      <c:valAx>
        <c:axId val="766186928"/>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sz="1200" b="1">
                    <a:solidFill>
                      <a:schemeClr val="tx1"/>
                    </a:solidFill>
                    <a:latin typeface="Times New Roman" panose="02020603050405020304" pitchFamily="18" charset="0"/>
                    <a:cs typeface="Times New Roman" panose="02020603050405020304" pitchFamily="18" charset="0"/>
                  </a:rPr>
                  <a:t> Intensity (counts)</a:t>
                </a:r>
                <a:endParaRPr lang="zh-CN" altLang="en-US" sz="1200" b="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1.0386235262631527E-2"/>
              <c:y val="0.1841697636934492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in"/>
        <c:minorTickMark val="none"/>
        <c:tickLblPos val="nextTo"/>
        <c:spPr>
          <a:noFill/>
          <a:ln w="19050">
            <a:solidFill>
              <a:schemeClr val="tx1"/>
            </a:solidFill>
          </a:ln>
          <a:effectLst/>
        </c:spPr>
        <c:txPr>
          <a:bodyPr rot="-600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766186144"/>
        <c:crosses val="autoZero"/>
        <c:crossBetween val="between"/>
        <c:majorUnit val="200"/>
      </c:valAx>
      <c:spPr>
        <a:noFill/>
        <a:ln w="19050">
          <a:solidFill>
            <a:schemeClr val="tx1"/>
          </a:solidFill>
        </a:ln>
        <a:effectLst/>
      </c:spPr>
    </c:plotArea>
    <c:plotVisOnly val="1"/>
    <c:dispBlanksAs val="gap"/>
    <c:showDLblsOverMax val="0"/>
  </c:chart>
  <c:spPr>
    <a:solidFill>
      <a:schemeClr val="bg1"/>
    </a:solidFill>
    <a:ln w="19050" cap="flat" cmpd="sng" algn="ctr">
      <a:no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micromachines-template.dot</Template>
  <TotalTime>25</TotalTime>
  <Pages>4</Pages>
  <Words>748</Words>
  <Characters>4016</Characters>
  <Application>Microsoft Office Word</Application>
  <DocSecurity>0</DocSecurity>
  <Lines>74</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4740</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MDPI</dc:creator>
  <cp:keywords/>
  <dc:description/>
  <cp:lastModifiedBy>MDPI</cp:lastModifiedBy>
  <cp:revision>10</cp:revision>
  <cp:lastPrinted>2020-03-09T04:03:00Z</cp:lastPrinted>
  <dcterms:created xsi:type="dcterms:W3CDTF">2020-03-04T09:18:00Z</dcterms:created>
  <dcterms:modified xsi:type="dcterms:W3CDTF">2020-03-09T04:07:00Z</dcterms:modified>
</cp:coreProperties>
</file>