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B00A51" w14:textId="16834FDA" w:rsidR="000E26B3" w:rsidRDefault="007460CE" w:rsidP="005135F3">
      <w:pPr>
        <w:adjustRightInd w:val="0"/>
        <w:snapToGrid w:val="0"/>
        <w:spacing w:after="49" w:line="240" w:lineRule="auto"/>
        <w:ind w:left="0" w:right="473" w:firstLine="0"/>
      </w:pPr>
      <w:r>
        <w:rPr>
          <w:b/>
          <w:sz w:val="36"/>
        </w:rPr>
        <w:t>Supplementary Materials: Cord-</w:t>
      </w:r>
      <w:r w:rsidR="00685ECA">
        <w:rPr>
          <w:b/>
          <w:sz w:val="36"/>
        </w:rPr>
        <w:t>B</w:t>
      </w:r>
      <w:r>
        <w:rPr>
          <w:b/>
          <w:sz w:val="36"/>
        </w:rPr>
        <w:t>lood</w:t>
      </w:r>
      <w:r w:rsidR="00685ECA">
        <w:rPr>
          <w:b/>
          <w:sz w:val="36"/>
        </w:rPr>
        <w:t>-S</w:t>
      </w:r>
      <w:r>
        <w:rPr>
          <w:b/>
          <w:sz w:val="36"/>
        </w:rPr>
        <w:t>tem</w:t>
      </w:r>
      <w:r w:rsidR="00685ECA">
        <w:rPr>
          <w:b/>
          <w:sz w:val="36"/>
        </w:rPr>
        <w:t>-C</w:t>
      </w:r>
      <w:r>
        <w:rPr>
          <w:b/>
          <w:sz w:val="36"/>
        </w:rPr>
        <w:t>ell-</w:t>
      </w:r>
      <w:r w:rsidR="00685ECA">
        <w:rPr>
          <w:b/>
          <w:sz w:val="36"/>
        </w:rPr>
        <w:t>D</w:t>
      </w:r>
      <w:r>
        <w:rPr>
          <w:b/>
          <w:sz w:val="36"/>
        </w:rPr>
        <w:t xml:space="preserve">erived </w:t>
      </w:r>
      <w:r w:rsidR="00685ECA">
        <w:rPr>
          <w:b/>
          <w:sz w:val="36"/>
        </w:rPr>
        <w:t>C</w:t>
      </w:r>
      <w:r>
        <w:rPr>
          <w:b/>
          <w:sz w:val="36"/>
        </w:rPr>
        <w:t xml:space="preserve">onventional Dendritic </w:t>
      </w:r>
      <w:r w:rsidR="00685ECA">
        <w:rPr>
          <w:b/>
          <w:sz w:val="36"/>
        </w:rPr>
        <w:t>C</w:t>
      </w:r>
      <w:r>
        <w:rPr>
          <w:b/>
          <w:sz w:val="36"/>
        </w:rPr>
        <w:t xml:space="preserve">ells </w:t>
      </w:r>
      <w:r w:rsidR="00685ECA">
        <w:rPr>
          <w:b/>
          <w:sz w:val="36"/>
        </w:rPr>
        <w:t>S</w:t>
      </w:r>
      <w:r>
        <w:rPr>
          <w:b/>
          <w:sz w:val="36"/>
        </w:rPr>
        <w:t xml:space="preserve">pecifically </w:t>
      </w:r>
      <w:r w:rsidR="00685ECA">
        <w:rPr>
          <w:b/>
          <w:sz w:val="36"/>
        </w:rPr>
        <w:t>O</w:t>
      </w:r>
      <w:r>
        <w:rPr>
          <w:b/>
          <w:sz w:val="36"/>
        </w:rPr>
        <w:t>riginate from CD115-</w:t>
      </w:r>
      <w:r w:rsidR="00685ECA">
        <w:rPr>
          <w:b/>
          <w:sz w:val="36"/>
        </w:rPr>
        <w:t>E</w:t>
      </w:r>
      <w:r>
        <w:rPr>
          <w:b/>
          <w:sz w:val="36"/>
        </w:rPr>
        <w:t xml:space="preserve">xpressing </w:t>
      </w:r>
      <w:r w:rsidR="00685ECA">
        <w:rPr>
          <w:b/>
          <w:sz w:val="36"/>
        </w:rPr>
        <w:t>P</w:t>
      </w:r>
      <w:r>
        <w:rPr>
          <w:b/>
          <w:sz w:val="36"/>
        </w:rPr>
        <w:t xml:space="preserve">recursors </w:t>
      </w:r>
    </w:p>
    <w:p w14:paraId="4488B658" w14:textId="77777777" w:rsidR="000E26B3" w:rsidRDefault="007460CE" w:rsidP="005135F3">
      <w:pPr>
        <w:adjustRightInd w:val="0"/>
        <w:snapToGrid w:val="0"/>
        <w:spacing w:after="209" w:line="240" w:lineRule="auto"/>
        <w:ind w:left="0" w:right="306" w:firstLine="0"/>
        <w:jc w:val="left"/>
      </w:pPr>
      <w:r>
        <w:rPr>
          <w:b/>
          <w:sz w:val="20"/>
        </w:rPr>
        <w:t>Maud Plantinga</w:t>
      </w:r>
      <w:r>
        <w:rPr>
          <w:b/>
          <w:sz w:val="20"/>
          <w:vertAlign w:val="superscript"/>
        </w:rPr>
        <w:t>1</w:t>
      </w:r>
      <w:r>
        <w:rPr>
          <w:b/>
          <w:sz w:val="20"/>
        </w:rPr>
        <w:t>, Colin G. de Haar</w:t>
      </w:r>
      <w:r>
        <w:rPr>
          <w:b/>
          <w:sz w:val="20"/>
          <w:vertAlign w:val="superscript"/>
        </w:rPr>
        <w:t>2</w:t>
      </w:r>
      <w:r>
        <w:rPr>
          <w:b/>
          <w:sz w:val="20"/>
        </w:rPr>
        <w:t>, Ester Dünnebach</w:t>
      </w:r>
      <w:r>
        <w:rPr>
          <w:b/>
          <w:sz w:val="20"/>
          <w:vertAlign w:val="superscript"/>
        </w:rPr>
        <w:t>1</w:t>
      </w:r>
      <w:r>
        <w:rPr>
          <w:b/>
          <w:sz w:val="20"/>
        </w:rPr>
        <w:t>, Denise A.M.H. van den Beemt</w:t>
      </w:r>
      <w:r>
        <w:rPr>
          <w:b/>
          <w:sz w:val="20"/>
          <w:vertAlign w:val="superscript"/>
        </w:rPr>
        <w:t>1</w:t>
      </w:r>
      <w:r>
        <w:rPr>
          <w:b/>
          <w:sz w:val="20"/>
        </w:rPr>
        <w:t>, Kitty W.M. Bloemenkamp</w:t>
      </w:r>
      <w:r>
        <w:rPr>
          <w:b/>
          <w:sz w:val="20"/>
          <w:vertAlign w:val="superscript"/>
        </w:rPr>
        <w:t>3</w:t>
      </w:r>
      <w:r>
        <w:rPr>
          <w:b/>
          <w:sz w:val="20"/>
        </w:rPr>
        <w:t>, Michal Mokry</w:t>
      </w:r>
      <w:r>
        <w:rPr>
          <w:b/>
          <w:sz w:val="20"/>
          <w:vertAlign w:val="superscript"/>
        </w:rPr>
        <w:t>4</w:t>
      </w:r>
      <w:r>
        <w:rPr>
          <w:b/>
          <w:sz w:val="20"/>
        </w:rPr>
        <w:t>, Jaap Jan Boelens</w:t>
      </w:r>
      <w:r>
        <w:rPr>
          <w:b/>
          <w:sz w:val="20"/>
          <w:vertAlign w:val="superscript"/>
        </w:rPr>
        <w:t>1,5,6</w:t>
      </w:r>
      <w:r>
        <w:rPr>
          <w:b/>
          <w:sz w:val="20"/>
        </w:rPr>
        <w:t xml:space="preserve"> and Stefan Nierkens</w:t>
      </w:r>
      <w:r>
        <w:rPr>
          <w:b/>
          <w:sz w:val="20"/>
          <w:vertAlign w:val="superscript"/>
        </w:rPr>
        <w:t>1,5</w:t>
      </w:r>
      <w:r>
        <w:rPr>
          <w:b/>
          <w:sz w:val="20"/>
        </w:rPr>
        <w:t xml:space="preserve">* </w:t>
      </w:r>
    </w:p>
    <w:p w14:paraId="4BC81D8B" w14:textId="77777777" w:rsidR="000E26B3" w:rsidRDefault="007460CE" w:rsidP="005135F3">
      <w:pPr>
        <w:adjustRightInd w:val="0"/>
        <w:snapToGrid w:val="0"/>
        <w:spacing w:before="480" w:after="120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 wp14:anchorId="658AE0EA" wp14:editId="5DDFB089">
            <wp:extent cx="4057650" cy="2381250"/>
            <wp:effectExtent l="0" t="0" r="0" b="0"/>
            <wp:docPr id="2454" name="Picture 2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4" name="Picture 245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57768" cy="238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0"/>
        </w:rPr>
        <w:t xml:space="preserve"> </w:t>
      </w:r>
    </w:p>
    <w:p w14:paraId="2DD8CBA0" w14:textId="457E3FE7" w:rsidR="005135F3" w:rsidRDefault="007460CE" w:rsidP="005135F3">
      <w:pPr>
        <w:adjustRightInd w:val="0"/>
        <w:snapToGrid w:val="0"/>
        <w:ind w:left="420" w:right="886"/>
      </w:pPr>
      <w:r>
        <w:rPr>
          <w:b/>
        </w:rPr>
        <w:t>Figure S1.</w:t>
      </w:r>
      <w:r>
        <w:t xml:space="preserve"> Differentiation of the non-DC fraction. </w:t>
      </w:r>
      <w:r w:rsidRPr="009A4779">
        <w:t>(</w:t>
      </w:r>
      <w:r>
        <w:rPr>
          <w:b/>
        </w:rPr>
        <w:t>A</w:t>
      </w:r>
      <w:r w:rsidRPr="009A4779">
        <w:t>)</w:t>
      </w:r>
      <w:r>
        <w:t xml:space="preserve"> The culture protocol for the generation of CB-DC</w:t>
      </w:r>
      <w:r w:rsidR="00845D98">
        <w:t>s</w:t>
      </w:r>
      <w:r>
        <w:t xml:space="preserve"> and the second differentiation after sorting the non-DCs at day 14. </w:t>
      </w:r>
      <w:r w:rsidRPr="009A4779">
        <w:t>(</w:t>
      </w:r>
      <w:r>
        <w:rPr>
          <w:b/>
        </w:rPr>
        <w:t>B</w:t>
      </w:r>
      <w:r w:rsidRPr="009A4779">
        <w:t>)</w:t>
      </w:r>
      <w:r>
        <w:t xml:space="preserve"> CD11c and HLA-DR expression on alive cells after an additional differentiation.</w:t>
      </w:r>
    </w:p>
    <w:p w14:paraId="5621F661" w14:textId="5BCC61AA" w:rsidR="000E26B3" w:rsidRDefault="007460CE" w:rsidP="005135F3">
      <w:pPr>
        <w:adjustRightInd w:val="0"/>
        <w:snapToGrid w:val="0"/>
        <w:spacing w:before="240" w:after="120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 wp14:anchorId="7D4D4F60" wp14:editId="74B93C7F">
            <wp:extent cx="4673600" cy="3003550"/>
            <wp:effectExtent l="0" t="0" r="0" b="6350"/>
            <wp:docPr id="2455" name="Picture 24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5" name="Picture 2455"/>
                    <pic:cNvPicPr/>
                  </pic:nvPicPr>
                  <pic:blipFill rotWithShape="1">
                    <a:blip r:embed="rId8"/>
                    <a:srcRect l="1752" r="4673"/>
                    <a:stretch/>
                  </pic:blipFill>
                  <pic:spPr bwMode="auto">
                    <a:xfrm>
                      <a:off x="0" y="0"/>
                      <a:ext cx="4673931" cy="30037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179C8" w14:textId="73060FBF" w:rsidR="005135F3" w:rsidRDefault="007460CE" w:rsidP="005135F3">
      <w:pPr>
        <w:adjustRightInd w:val="0"/>
        <w:snapToGrid w:val="0"/>
        <w:ind w:left="420" w:right="886"/>
      </w:pPr>
      <w:r>
        <w:rPr>
          <w:b/>
        </w:rPr>
        <w:t>Figure S2.</w:t>
      </w:r>
      <w:r>
        <w:t xml:space="preserve"> Different progenitors found in CB</w:t>
      </w:r>
      <w:r w:rsidR="00845D98">
        <w:t xml:space="preserve"> </w:t>
      </w:r>
      <w:r>
        <w:t xml:space="preserve">culture. </w:t>
      </w:r>
      <w:r w:rsidRPr="009A4779">
        <w:t>(</w:t>
      </w:r>
      <w:r>
        <w:rPr>
          <w:b/>
        </w:rPr>
        <w:t>A</w:t>
      </w:r>
      <w:r w:rsidRPr="009A4779">
        <w:t>)</w:t>
      </w:r>
      <w:r>
        <w:rPr>
          <w:b/>
        </w:rPr>
        <w:t xml:space="preserve"> </w:t>
      </w:r>
      <w:r>
        <w:t>Gating strategy to identify myeloid progenitors within the CB</w:t>
      </w:r>
      <w:r w:rsidR="00845D98">
        <w:t xml:space="preserve"> </w:t>
      </w:r>
      <w:r>
        <w:t>culture at day 7 based on their expression of cytokine and growth factor</w:t>
      </w:r>
      <w:r w:rsidR="00845D98">
        <w:t xml:space="preserve"> </w:t>
      </w:r>
      <w:r>
        <w:t xml:space="preserve">receptors. </w:t>
      </w:r>
      <w:r w:rsidRPr="009A4779">
        <w:t>(</w:t>
      </w:r>
      <w:r>
        <w:rPr>
          <w:b/>
        </w:rPr>
        <w:t>B</w:t>
      </w:r>
      <w:r w:rsidRPr="009A4779">
        <w:t>)</w:t>
      </w:r>
      <w:r>
        <w:rPr>
          <w:b/>
        </w:rPr>
        <w:t xml:space="preserve"> </w:t>
      </w:r>
      <w:r>
        <w:t>The expression of CD11c and HLA-DR at day 14 after differentiating the sorted progenitors in differentiation medium. Data represent at l</w:t>
      </w:r>
      <w:bookmarkStart w:id="0" w:name="_GoBack"/>
      <w:bookmarkEnd w:id="0"/>
      <w:r>
        <w:t>east two independent experiments.</w:t>
      </w:r>
    </w:p>
    <w:p w14:paraId="772D060A" w14:textId="0FA0FB6D" w:rsidR="000E26B3" w:rsidRDefault="007460CE" w:rsidP="005135F3">
      <w:pPr>
        <w:adjustRightInd w:val="0"/>
        <w:snapToGrid w:val="0"/>
        <w:spacing w:before="240" w:after="120" w:line="240" w:lineRule="auto"/>
        <w:ind w:left="0" w:right="0" w:firstLine="0"/>
        <w:jc w:val="center"/>
      </w:pPr>
      <w:r>
        <w:rPr>
          <w:noProof/>
        </w:rPr>
        <w:lastRenderedPageBreak/>
        <w:drawing>
          <wp:inline distT="0" distB="0" distL="0" distR="0" wp14:anchorId="69BDDA64" wp14:editId="6E22ADFA">
            <wp:extent cx="4876800" cy="3067050"/>
            <wp:effectExtent l="0" t="0" r="0" b="0"/>
            <wp:docPr id="2456" name="Picture 24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6" name="Picture 2456"/>
                    <pic:cNvPicPr/>
                  </pic:nvPicPr>
                  <pic:blipFill rotWithShape="1">
                    <a:blip r:embed="rId9"/>
                    <a:srcRect l="1584" t="2969" r="1799"/>
                    <a:stretch/>
                  </pic:blipFill>
                  <pic:spPr bwMode="auto">
                    <a:xfrm>
                      <a:off x="0" y="0"/>
                      <a:ext cx="4878781" cy="3068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8F60E8" w14:textId="7EAE1B72" w:rsidR="005135F3" w:rsidRDefault="007460CE" w:rsidP="005135F3">
      <w:pPr>
        <w:adjustRightInd w:val="0"/>
        <w:snapToGrid w:val="0"/>
        <w:ind w:left="420" w:right="886"/>
      </w:pPr>
      <w:r>
        <w:rPr>
          <w:b/>
        </w:rPr>
        <w:t>Figure S3.</w:t>
      </w:r>
      <w:r>
        <w:t xml:space="preserve"> CD209 and CLEC9A expression after differentiation. </w:t>
      </w:r>
      <w:r w:rsidRPr="009A4779">
        <w:t>(</w:t>
      </w:r>
      <w:r>
        <w:rPr>
          <w:b/>
        </w:rPr>
        <w:t>A</w:t>
      </w:r>
      <w:r w:rsidRPr="009A4779">
        <w:t>)</w:t>
      </w:r>
      <w:r>
        <w:rPr>
          <w:b/>
        </w:rPr>
        <w:t xml:space="preserve"> </w:t>
      </w:r>
      <w:r>
        <w:t>The expression of CD141, CD1c, CLEC9A</w:t>
      </w:r>
      <w:r w:rsidR="00FF124D">
        <w:t>,</w:t>
      </w:r>
      <w:r>
        <w:t xml:space="preserve"> and CD209 gated within CD11c+HLA-DR+/live/single cells after differentiating either bulk or sorted CD115</w:t>
      </w:r>
      <w:r w:rsidRPr="009A4779">
        <w:rPr>
          <w:vertAlign w:val="superscript"/>
        </w:rPr>
        <w:t>+</w:t>
      </w:r>
      <w:r w:rsidR="00FF124D">
        <w:t xml:space="preserve"> </w:t>
      </w:r>
      <w:r>
        <w:t xml:space="preserve">precursors for 14 additional days with the protocol described by Poulin et al. </w:t>
      </w:r>
      <w:r w:rsidRPr="009A4779">
        <w:t>(</w:t>
      </w:r>
      <w:r>
        <w:rPr>
          <w:b/>
        </w:rPr>
        <w:t>B</w:t>
      </w:r>
      <w:r w:rsidRPr="009A4779">
        <w:t>)</w:t>
      </w:r>
      <w:r>
        <w:rPr>
          <w:b/>
        </w:rPr>
        <w:t xml:space="preserve"> </w:t>
      </w:r>
      <w:r>
        <w:t xml:space="preserve">The expression of CD11c and HLA-DR at day 14 after differentiating the sorted progenitors in differentiation medium with (left) or without IL-4 (middle) and the loss of CD209 in the absence of IL-4 (right). Data represent at least two independent experiments. </w:t>
      </w:r>
    </w:p>
    <w:p w14:paraId="5D5B1BC9" w14:textId="4999B5CE" w:rsidR="000E26B3" w:rsidRDefault="007460CE" w:rsidP="005135F3">
      <w:pPr>
        <w:adjustRightInd w:val="0"/>
        <w:snapToGrid w:val="0"/>
        <w:spacing w:before="240" w:after="120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 wp14:anchorId="6F8B2209" wp14:editId="5D8EE351">
            <wp:extent cx="4184650" cy="5575300"/>
            <wp:effectExtent l="0" t="0" r="6350" b="6350"/>
            <wp:docPr id="2457" name="Picture 24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" name="Picture 2457"/>
                    <pic:cNvPicPr/>
                  </pic:nvPicPr>
                  <pic:blipFill rotWithShape="1">
                    <a:blip r:embed="rId10"/>
                    <a:srcRect t="3369"/>
                    <a:stretch/>
                  </pic:blipFill>
                  <pic:spPr bwMode="auto">
                    <a:xfrm>
                      <a:off x="0" y="0"/>
                      <a:ext cx="4185060" cy="5575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05699B" w14:textId="4A223171" w:rsidR="000E26B3" w:rsidRDefault="007460CE" w:rsidP="005135F3">
      <w:pPr>
        <w:adjustRightInd w:val="0"/>
        <w:snapToGrid w:val="0"/>
        <w:ind w:left="420" w:right="886"/>
        <w:sectPr w:rsidR="000E26B3" w:rsidSect="005135F3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1906" w:h="16838"/>
          <w:pgMar w:top="1417" w:right="1531" w:bottom="1077" w:left="1531" w:header="1020" w:footer="850" w:gutter="0"/>
          <w:lnNumType w:countBy="1" w:restart="continuous"/>
          <w:cols w:space="720"/>
          <w:titlePg/>
          <w:docGrid w:linePitch="245"/>
        </w:sectPr>
      </w:pPr>
      <w:r>
        <w:rPr>
          <w:b/>
        </w:rPr>
        <w:t>Figure S4.</w:t>
      </w:r>
      <w:r>
        <w:t xml:space="preserve"> DC</w:t>
      </w:r>
      <w:r w:rsidR="00940063">
        <w:t>s</w:t>
      </w:r>
      <w:r>
        <w:t xml:space="preserve"> stimulated with different TLR ligands. (</w:t>
      </w:r>
      <w:r w:rsidRPr="009A4779">
        <w:rPr>
          <w:b/>
        </w:rPr>
        <w:t>A</w:t>
      </w:r>
      <w:r>
        <w:t>) The percentage CD83 gated as CD83+/CD11c+HLA-DR+/live/single cells after o/n maturation with indicated TLR ligands or medium as a control comparing bulk DC</w:t>
      </w:r>
      <w:r w:rsidR="007850B2">
        <w:t>s</w:t>
      </w:r>
      <w:r>
        <w:t xml:space="preserve"> to CD115-DC</w:t>
      </w:r>
      <w:r w:rsidR="007850B2">
        <w:t>s</w:t>
      </w:r>
      <w:r>
        <w:t>. (</w:t>
      </w:r>
      <w:r w:rsidRPr="009A4779">
        <w:rPr>
          <w:b/>
        </w:rPr>
        <w:t>B</w:t>
      </w:r>
      <w:r>
        <w:t xml:space="preserve">) </w:t>
      </w:r>
      <w:proofErr w:type="spellStart"/>
      <w:r>
        <w:t>IFNa</w:t>
      </w:r>
      <w:proofErr w:type="spellEnd"/>
      <w:r>
        <w:t>, IL-10, CXCL9</w:t>
      </w:r>
      <w:r w:rsidR="00185C54">
        <w:t>,</w:t>
      </w:r>
      <w:r>
        <w:t xml:space="preserve"> and IL-1b production, measured in the supernatant using </w:t>
      </w:r>
      <w:proofErr w:type="spellStart"/>
      <w:r>
        <w:t>luminex</w:t>
      </w:r>
      <w:proofErr w:type="spellEnd"/>
      <w:r>
        <w:t xml:space="preserve"> from bulk DC and CD115-DC cultures.</w:t>
      </w:r>
    </w:p>
    <w:p w14:paraId="3AB10D51" w14:textId="72D1E694" w:rsidR="000E26B3" w:rsidRDefault="007460CE" w:rsidP="005135F3">
      <w:pPr>
        <w:pStyle w:val="1"/>
        <w:keepNext w:val="0"/>
        <w:keepLines w:val="0"/>
        <w:numPr>
          <w:ilvl w:val="0"/>
          <w:numId w:val="0"/>
        </w:numPr>
        <w:adjustRightInd w:val="0"/>
        <w:snapToGrid w:val="0"/>
        <w:spacing w:before="240" w:after="120" w:line="240" w:lineRule="auto"/>
        <w:jc w:val="center"/>
      </w:pPr>
      <w:r>
        <w:rPr>
          <w:noProof/>
        </w:rPr>
        <w:drawing>
          <wp:inline distT="0" distB="0" distL="0" distR="0" wp14:anchorId="3947ED20" wp14:editId="16033D95">
            <wp:extent cx="3168650" cy="1962150"/>
            <wp:effectExtent l="0" t="0" r="0" b="0"/>
            <wp:docPr id="341" name="Picture 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" name="Picture 34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68726" cy="1962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619DB" w14:textId="468EA434" w:rsidR="000E26B3" w:rsidRDefault="007460CE" w:rsidP="005135F3">
      <w:pPr>
        <w:adjustRightInd w:val="0"/>
        <w:snapToGrid w:val="0"/>
        <w:spacing w:after="247"/>
        <w:ind w:left="10" w:right="423"/>
      </w:pPr>
      <w:r>
        <w:rPr>
          <w:b/>
        </w:rPr>
        <w:t>Figure S5.</w:t>
      </w:r>
      <w:r>
        <w:t xml:space="preserve"> WT1</w:t>
      </w:r>
      <w:r w:rsidR="00C759DC">
        <w:t>-</w:t>
      </w:r>
      <w:r>
        <w:t>specific T</w:t>
      </w:r>
      <w:r w:rsidR="00C759DC">
        <w:t>-</w:t>
      </w:r>
      <w:r>
        <w:t xml:space="preserve">cell assay controls. </w:t>
      </w:r>
      <w:proofErr w:type="spellStart"/>
      <w:r>
        <w:t>IFN</w:t>
      </w:r>
      <w:r w:rsidR="00C759DC">
        <w:t>γ</w:t>
      </w:r>
      <w:proofErr w:type="spellEnd"/>
      <w:r>
        <w:t xml:space="preserve"> and TNF</w:t>
      </w:r>
      <w:r w:rsidR="00C759DC" w:rsidRPr="00610A71">
        <w:rPr>
          <w:szCs w:val="20"/>
        </w:rPr>
        <w:t>α</w:t>
      </w:r>
      <w:r>
        <w:t xml:space="preserve"> production and Lamp-1 expression by WT1-specific T cells unstimulated (T only) or stimulated with unloaded (-) or WT1-loaded (+) T2 </w:t>
      </w:r>
      <w:r>
        <w:rPr>
          <w:rFonts w:ascii="Times New Roman" w:eastAsia="Times New Roman" w:hAnsi="Times New Roman" w:cs="Times New Roman"/>
          <w:sz w:val="24"/>
        </w:rPr>
        <w:t xml:space="preserve">30 </w:t>
      </w:r>
      <w:r>
        <w:t>cells. Controls for the WT1-specific T</w:t>
      </w:r>
      <w:r w:rsidR="00C759DC">
        <w:t>-</w:t>
      </w:r>
      <w:r>
        <w:t xml:space="preserve">cell assay in </w:t>
      </w:r>
      <w:r w:rsidR="00C759DC">
        <w:t>F</w:t>
      </w:r>
      <w:r>
        <w:t>igure 4.</w:t>
      </w:r>
    </w:p>
    <w:sectPr w:rsidR="000E26B3" w:rsidSect="005135F3">
      <w:footerReference w:type="even" r:id="rId17"/>
      <w:footerReference w:type="default" r:id="rId18"/>
      <w:footerReference w:type="first" r:id="rId19"/>
      <w:type w:val="continuous"/>
      <w:pgSz w:w="11906" w:h="16838"/>
      <w:pgMar w:top="1417" w:right="1531" w:bottom="1077" w:left="1531" w:header="1020" w:footer="850" w:gutter="0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2A5CC5" w14:textId="77777777" w:rsidR="008B0134" w:rsidRDefault="008B0134">
      <w:pPr>
        <w:spacing w:after="0" w:line="240" w:lineRule="auto"/>
      </w:pPr>
      <w:r>
        <w:separator/>
      </w:r>
    </w:p>
  </w:endnote>
  <w:endnote w:type="continuationSeparator" w:id="0">
    <w:p w14:paraId="59E6BEB5" w14:textId="77777777" w:rsidR="008B0134" w:rsidRDefault="008B0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39B8E7" w14:textId="77777777" w:rsidR="000E26B3" w:rsidRDefault="007460CE">
    <w:pPr>
      <w:spacing w:after="0" w:line="259" w:lineRule="auto"/>
      <w:ind w:left="0" w:right="479" w:firstLine="0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19C6BD" w14:textId="77777777" w:rsidR="000E26B3" w:rsidRDefault="007460CE">
    <w:pPr>
      <w:spacing w:after="0" w:line="259" w:lineRule="auto"/>
      <w:ind w:left="0" w:right="479" w:firstLine="0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040FC6" w14:textId="77777777" w:rsidR="000E26B3" w:rsidRDefault="000E26B3">
    <w:pPr>
      <w:spacing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3F1609" w14:textId="77777777" w:rsidR="000E26B3" w:rsidRDefault="007460CE">
    <w:pPr>
      <w:spacing w:after="0" w:line="259" w:lineRule="auto"/>
      <w:ind w:left="595" w:right="0" w:firstLine="0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D3C270" w14:textId="77777777" w:rsidR="000E26B3" w:rsidRDefault="007460CE">
    <w:pPr>
      <w:spacing w:after="0" w:line="259" w:lineRule="auto"/>
      <w:ind w:left="595" w:right="0" w:firstLine="0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7A91BE" w14:textId="77777777" w:rsidR="000E26B3" w:rsidRDefault="007460CE">
    <w:pPr>
      <w:spacing w:after="0" w:line="259" w:lineRule="auto"/>
      <w:ind w:left="595" w:right="0" w:firstLine="0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24A516" w14:textId="77777777" w:rsidR="008B0134" w:rsidRDefault="008B0134">
      <w:pPr>
        <w:spacing w:after="0" w:line="240" w:lineRule="auto"/>
      </w:pPr>
      <w:r>
        <w:separator/>
      </w:r>
    </w:p>
  </w:footnote>
  <w:footnote w:type="continuationSeparator" w:id="0">
    <w:p w14:paraId="7E6BB4FB" w14:textId="77777777" w:rsidR="008B0134" w:rsidRDefault="008B01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044722" w14:textId="77777777" w:rsidR="005135F3" w:rsidRDefault="005135F3" w:rsidP="005135F3">
    <w:pPr>
      <w:pStyle w:val="a6"/>
      <w:spacing w:line="340" w:lineRule="atLeast"/>
      <w:ind w:left="0"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B263B9" w14:textId="1A70B697" w:rsidR="005135F3" w:rsidRDefault="005135F3" w:rsidP="005135F3">
    <w:pPr>
      <w:pStyle w:val="MDPIheaderjournallogo"/>
    </w:pPr>
    <w:r w:rsidRPr="00A04686">
      <w:rPr>
        <w:noProof/>
        <w:lang w:eastAsia="zh-CN"/>
      </w:rPr>
      <w:drawing>
        <wp:inline distT="0" distB="0" distL="0" distR="0" wp14:anchorId="7559C946" wp14:editId="108B675C">
          <wp:extent cx="1682750" cy="431800"/>
          <wp:effectExtent l="0" t="0" r="0" b="6350"/>
          <wp:docPr id="2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275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4F0901AC" wp14:editId="279207BE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992AE50" w14:textId="77777777" w:rsidR="005135F3" w:rsidRDefault="005135F3" w:rsidP="005135F3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266E2B00" wp14:editId="6B7475B1">
                                <wp:extent cx="539750" cy="355600"/>
                                <wp:effectExtent l="0" t="0" r="0" b="6350"/>
                                <wp:docPr id="1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0901A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6992AE50" w14:textId="77777777" w:rsidR="005135F3" w:rsidRDefault="005135F3" w:rsidP="005135F3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266E2B00" wp14:editId="6B7475B1">
                          <wp:extent cx="539750" cy="355600"/>
                          <wp:effectExtent l="0" t="0" r="0" b="6350"/>
                          <wp:docPr id="1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F07A0F"/>
    <w:multiLevelType w:val="hybridMultilevel"/>
    <w:tmpl w:val="C15EADF4"/>
    <w:lvl w:ilvl="0" w:tplc="E28CA792">
      <w:start w:val="27"/>
      <w:numFmt w:val="decimal"/>
      <w:pStyle w:val="1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6CED6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62821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C0758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30E910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46950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F1E5D9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9A190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D2A2D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30B505B"/>
    <w:multiLevelType w:val="hybridMultilevel"/>
    <w:tmpl w:val="F140ED14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73C370A"/>
    <w:multiLevelType w:val="hybridMultilevel"/>
    <w:tmpl w:val="EC3AEE96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3" w15:restartNumberingAfterBreak="0">
    <w:nsid w:val="6DB20A64"/>
    <w:multiLevelType w:val="hybridMultilevel"/>
    <w:tmpl w:val="B43CDC7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26B3"/>
    <w:rsid w:val="000E26B3"/>
    <w:rsid w:val="00185C54"/>
    <w:rsid w:val="00467CF2"/>
    <w:rsid w:val="005135F3"/>
    <w:rsid w:val="00685ECA"/>
    <w:rsid w:val="007460CE"/>
    <w:rsid w:val="007850B2"/>
    <w:rsid w:val="008058DB"/>
    <w:rsid w:val="00845D98"/>
    <w:rsid w:val="008B0134"/>
    <w:rsid w:val="008B3BAF"/>
    <w:rsid w:val="00940063"/>
    <w:rsid w:val="009A4779"/>
    <w:rsid w:val="00AA202B"/>
    <w:rsid w:val="00C759DC"/>
    <w:rsid w:val="00FF1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500554"/>
  <w15:docId w15:val="{E7F2823F-4F27-41FC-B001-AFF0FCB084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line="265" w:lineRule="auto"/>
      <w:ind w:left="435" w:right="899" w:hanging="10"/>
      <w:jc w:val="both"/>
    </w:pPr>
    <w:rPr>
      <w:rFonts w:ascii="Palatino Linotype" w:eastAsia="Palatino Linotype" w:hAnsi="Palatino Linotype" w:cs="Palatino Linotype"/>
      <w:color w:val="000000"/>
      <w:sz w:val="18"/>
    </w:rPr>
  </w:style>
  <w:style w:type="paragraph" w:styleId="1">
    <w:name w:val="heading 1"/>
    <w:next w:val="a"/>
    <w:link w:val="10"/>
    <w:uiPriority w:val="9"/>
    <w:qFormat/>
    <w:pPr>
      <w:keepNext/>
      <w:keepLines/>
      <w:numPr>
        <w:numId w:val="1"/>
      </w:numPr>
      <w:spacing w:after="0"/>
      <w:ind w:left="10" w:hanging="10"/>
      <w:outlineLvl w:val="0"/>
    </w:pPr>
    <w:rPr>
      <w:rFonts w:ascii="Times New Roman" w:eastAsia="Times New Roman" w:hAnsi="Times New Roman" w:cs="Times New Roman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rPr>
      <w:rFonts w:ascii="Times New Roman" w:eastAsia="Times New Roman" w:hAnsi="Times New Roman" w:cs="Times New Roman"/>
      <w:color w:val="000000"/>
      <w:sz w:val="24"/>
    </w:rPr>
  </w:style>
  <w:style w:type="character" w:styleId="a3">
    <w:name w:val="line number"/>
    <w:hidden/>
    <w:rPr>
      <w:rFonts w:ascii="Times New Roman" w:eastAsia="Times New Roman" w:hAnsi="Times New Roman" w:cs="Times New Roman"/>
      <w:color w:val="000000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467CF2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467CF2"/>
    <w:rPr>
      <w:rFonts w:ascii="Segoe UI" w:eastAsia="Palatino Linotype" w:hAnsi="Segoe UI" w:cs="Segoe UI"/>
      <w:color w:val="000000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5135F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7">
    <w:name w:val="页眉 字符"/>
    <w:basedOn w:val="a0"/>
    <w:link w:val="a6"/>
    <w:uiPriority w:val="99"/>
    <w:rsid w:val="005135F3"/>
    <w:rPr>
      <w:rFonts w:ascii="Palatino Linotype" w:eastAsia="Palatino Linotype" w:hAnsi="Palatino Linotype" w:cs="Palatino Linotype"/>
      <w:color w:val="000000"/>
      <w:sz w:val="18"/>
    </w:rPr>
  </w:style>
  <w:style w:type="paragraph" w:customStyle="1" w:styleId="MDPIheaderjournallogo">
    <w:name w:val="MDPI_header_journal_logo"/>
    <w:qFormat/>
    <w:rsid w:val="005135F3"/>
    <w:pPr>
      <w:adjustRightInd w:val="0"/>
      <w:snapToGrid w:val="0"/>
      <w:spacing w:after="0" w:line="240" w:lineRule="auto"/>
    </w:pPr>
    <w:rPr>
      <w:rFonts w:ascii="Palatino Linotype" w:eastAsia="Times New Roman" w:hAnsi="Palatino Linotype" w:cs="Times New Roman"/>
      <w:i/>
      <w:color w:val="000000"/>
      <w:sz w:val="24"/>
      <w:lang w:eastAsia="de-CH"/>
    </w:rPr>
  </w:style>
  <w:style w:type="paragraph" w:customStyle="1" w:styleId="Mdeck1articletitle">
    <w:name w:val="M_deck_1_article_title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 w:cs="Times New Roman"/>
      <w:b/>
      <w:snapToGrid w:val="0"/>
      <w:color w:val="000000"/>
      <w:sz w:val="36"/>
      <w:lang w:eastAsia="de-DE" w:bidi="en-US"/>
    </w:rPr>
  </w:style>
  <w:style w:type="paragraph" w:customStyle="1" w:styleId="Mdeck1articletype">
    <w:name w:val="M_deck_1_article_type"/>
    <w:basedOn w:val="a"/>
    <w:next w:val="Mdeck1articletitle"/>
    <w:qFormat/>
    <w:rsid w:val="005135F3"/>
    <w:pPr>
      <w:widowControl w:val="0"/>
      <w:kinsoku w:val="0"/>
      <w:overflowPunct w:val="0"/>
      <w:autoSpaceDE w:val="0"/>
      <w:autoSpaceDN w:val="0"/>
      <w:adjustRightInd w:val="0"/>
      <w:snapToGrid w:val="0"/>
      <w:spacing w:before="120" w:after="120" w:line="240" w:lineRule="auto"/>
      <w:ind w:left="0" w:right="0" w:firstLine="0"/>
      <w:jc w:val="left"/>
    </w:pPr>
    <w:rPr>
      <w:rFonts w:ascii="Minion Pro" w:eastAsia="Times New Roman" w:hAnsi="Minion Pro" w:cs="Times New Roman"/>
      <w:i/>
      <w:snapToGrid w:val="0"/>
      <w:sz w:val="20"/>
      <w:szCs w:val="24"/>
      <w:lang w:eastAsia="de-DE" w:bidi="en-US"/>
    </w:rPr>
  </w:style>
  <w:style w:type="paragraph" w:customStyle="1" w:styleId="Mdeck2authoraffiliation">
    <w:name w:val="M_deck_2_author_affiliation"/>
    <w:qFormat/>
    <w:rsid w:val="005135F3"/>
    <w:pPr>
      <w:widowControl w:val="0"/>
      <w:kinsoku w:val="0"/>
      <w:overflowPunct w:val="0"/>
      <w:autoSpaceDE w:val="0"/>
      <w:autoSpaceDN w:val="0"/>
      <w:adjustRightInd w:val="0"/>
      <w:snapToGrid w:val="0"/>
      <w:spacing w:after="0" w:line="340" w:lineRule="atLeast"/>
      <w:ind w:left="311" w:hanging="198"/>
    </w:pPr>
    <w:rPr>
      <w:rFonts w:ascii="Palatino Linotype" w:eastAsia="Times New Roman" w:hAnsi="Palatino Linotype" w:cs="Times New Roman"/>
      <w:snapToGrid w:val="0"/>
      <w:color w:val="00000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snapToGrid w:val="0"/>
      <w:color w:val="000000"/>
      <w:sz w:val="18"/>
      <w:lang w:eastAsia="de-DE" w:bidi="en-US"/>
    </w:rPr>
  </w:style>
  <w:style w:type="paragraph" w:customStyle="1" w:styleId="Mdeck2authorname">
    <w:name w:val="M_deck_2_author_name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ascii="Palatino Linotype" w:eastAsia="Times New Roman" w:hAnsi="Palatino Linotype" w:cs="Times New Roman"/>
      <w:b/>
      <w:snapToGrid w:val="0"/>
      <w:color w:val="000000"/>
      <w:lang w:eastAsia="de-DE" w:bidi="en-US"/>
    </w:rPr>
  </w:style>
  <w:style w:type="paragraph" w:customStyle="1" w:styleId="Mdeck3abstract">
    <w:name w:val="M_deck_3_abstract"/>
    <w:basedOn w:val="a"/>
    <w:next w:val="a"/>
    <w:qFormat/>
    <w:rsid w:val="005135F3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after="240" w:line="340" w:lineRule="atLeast"/>
      <w:ind w:left="113" w:right="567" w:firstLine="425"/>
    </w:pPr>
    <w:rPr>
      <w:rFonts w:ascii="Minion Pro" w:eastAsia="Times New Roman" w:hAnsi="Minion Pro" w:cs="Times New Roman"/>
      <w:sz w:val="24"/>
      <w:lang w:eastAsia="de-DE" w:bidi="en-US"/>
    </w:rPr>
  </w:style>
  <w:style w:type="paragraph" w:customStyle="1" w:styleId="Mdeck3keywords">
    <w:name w:val="M_deck_3_keywords"/>
    <w:basedOn w:val="a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before="240" w:after="0" w:line="320" w:lineRule="atLeast"/>
      <w:ind w:left="113" w:right="0" w:firstLine="0"/>
    </w:pPr>
    <w:rPr>
      <w:rFonts w:ascii="Minion Pro" w:eastAsia="Times New Roman" w:hAnsi="Minion Pro" w:cs="Times New Roman"/>
      <w:snapToGrid w:val="0"/>
      <w:sz w:val="24"/>
      <w:lang w:eastAsia="de-DE" w:bidi="en-US"/>
    </w:rPr>
  </w:style>
  <w:style w:type="paragraph" w:customStyle="1" w:styleId="Mdeck3publcationhistory">
    <w:name w:val="M_deck_3_publcation_history"/>
    <w:next w:val="a"/>
    <w:qFormat/>
    <w:rsid w:val="005135F3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after="0" w:line="340" w:lineRule="atLeast"/>
      <w:ind w:left="113"/>
    </w:pPr>
    <w:rPr>
      <w:rFonts w:ascii="Palatino Linotype" w:eastAsia="Times New Roman" w:hAnsi="Palatino Linotype" w:cs="Times New Roman"/>
      <w:i/>
      <w:snapToGrid w:val="0"/>
      <w:color w:val="000000"/>
      <w:sz w:val="24"/>
      <w:lang w:eastAsia="de-DE" w:bidi="en-US"/>
    </w:rPr>
  </w:style>
  <w:style w:type="paragraph" w:customStyle="1" w:styleId="Mdeck4heading1">
    <w:name w:val="M_deck_4_heading_1"/>
    <w:basedOn w:val="a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before="240" w:after="120" w:line="340" w:lineRule="atLeast"/>
      <w:ind w:left="0" w:right="0" w:firstLine="425"/>
      <w:outlineLvl w:val="0"/>
    </w:pPr>
    <w:rPr>
      <w:rFonts w:ascii="Minion Pro" w:eastAsia="Times New Roman" w:hAnsi="Minion Pro" w:cs="Times New Roman"/>
      <w:b/>
      <w:sz w:val="24"/>
      <w:lang w:eastAsia="de-DE" w:bidi="en-US"/>
    </w:rPr>
  </w:style>
  <w:style w:type="paragraph" w:customStyle="1" w:styleId="Mdeck4heading2">
    <w:name w:val="M_deck_4_heading_2"/>
    <w:basedOn w:val="a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  <w:ind w:left="0" w:right="0" w:firstLine="425"/>
      <w:outlineLvl w:val="1"/>
    </w:pPr>
    <w:rPr>
      <w:rFonts w:ascii="Minion Pro" w:eastAsia="Times New Roman" w:hAnsi="Minion Pro" w:cs="Times New Roman"/>
      <w:i/>
      <w:sz w:val="24"/>
      <w:lang w:eastAsia="de-DE" w:bidi="en-US"/>
    </w:rPr>
  </w:style>
  <w:style w:type="paragraph" w:customStyle="1" w:styleId="Mdeck4heading3">
    <w:name w:val="M_deck_4_heading_3"/>
    <w:basedOn w:val="a"/>
    <w:next w:val="a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before="240" w:after="120" w:line="340" w:lineRule="atLeast"/>
      <w:ind w:left="0" w:right="0" w:firstLineChars="50" w:firstLine="50"/>
      <w:outlineLvl w:val="2"/>
    </w:pPr>
    <w:rPr>
      <w:rFonts w:ascii="Minion Pro" w:eastAsia="Times New Roman" w:hAnsi="Minion Pro" w:cs="Times New Roman"/>
      <w:sz w:val="24"/>
      <w:lang w:eastAsia="de-DE" w:bidi="en-US"/>
    </w:rPr>
  </w:style>
  <w:style w:type="paragraph" w:customStyle="1" w:styleId="Mdeck4text">
    <w:name w:val="M_deck_4_text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after="0" w:line="32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sz w:val="24"/>
      <w:lang w:eastAsia="de-DE" w:bidi="en-US"/>
    </w:rPr>
  </w:style>
  <w:style w:type="paragraph" w:customStyle="1" w:styleId="Mdeck4text2nd">
    <w:name w:val="M_deck_4_text_2nd"/>
    <w:qFormat/>
    <w:rsid w:val="005135F3"/>
    <w:pPr>
      <w:adjustRightInd w:val="0"/>
      <w:snapToGrid w:val="0"/>
      <w:spacing w:after="0" w:line="260" w:lineRule="atLeast"/>
      <w:ind w:left="850" w:hanging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5135F3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5135F3"/>
    <w:pPr>
      <w:ind w:firstLine="0"/>
    </w:pPr>
    <w:rPr>
      <w:szCs w:val="24"/>
    </w:rPr>
  </w:style>
  <w:style w:type="paragraph" w:customStyle="1" w:styleId="Mdeck4textlist">
    <w:name w:val="M_deck_4_text_list"/>
    <w:basedOn w:val="a"/>
    <w:qFormat/>
    <w:rsid w:val="005135F3"/>
    <w:pPr>
      <w:spacing w:after="0" w:line="240" w:lineRule="auto"/>
      <w:ind w:left="0" w:right="0" w:firstLine="0"/>
      <w:jc w:val="center"/>
    </w:pPr>
    <w:rPr>
      <w:rFonts w:ascii="Minion Pro" w:eastAsia="Times New Roman" w:hAnsi="Minion Pro" w:cs="Times New Roman"/>
      <w:i/>
      <w:color w:val="000000" w:themeColor="text1"/>
      <w:sz w:val="24"/>
      <w:lang w:eastAsia="zh-CN"/>
    </w:rPr>
  </w:style>
  <w:style w:type="paragraph" w:customStyle="1" w:styleId="Mdeck4textlrindent">
    <w:name w:val="M_deck_4_text_lr_indent"/>
    <w:basedOn w:val="Mdeck4text"/>
    <w:qFormat/>
    <w:rsid w:val="005135F3"/>
    <w:pPr>
      <w:spacing w:before="120" w:after="120" w:line="260" w:lineRule="atLeast"/>
      <w:ind w:left="425" w:right="425" w:firstLine="0"/>
    </w:pPr>
    <w:rPr>
      <w:rFonts w:ascii="Palatino Linotype" w:hAnsi="Palatino Linotype"/>
    </w:rPr>
  </w:style>
  <w:style w:type="paragraph" w:customStyle="1" w:styleId="Mdeck4textnumberedlist">
    <w:name w:val="M_deck_4_text_numbered_list"/>
    <w:basedOn w:val="Mdeck4text"/>
    <w:qFormat/>
    <w:rsid w:val="005135F3"/>
    <w:pPr>
      <w:numPr>
        <w:numId w:val="3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after="0" w:line="240" w:lineRule="auto"/>
      <w:jc w:val="center"/>
    </w:pPr>
    <w:rPr>
      <w:rFonts w:ascii="Minion Pro" w:eastAsia="Times New Roman" w:hAnsi="Minion Pro" w:cs="Times New Roman"/>
      <w:snapToGrid w:val="0"/>
      <w:color w:val="000000"/>
      <w:sz w:val="20"/>
      <w:lang w:eastAsia="de-DE" w:bidi="en-US"/>
    </w:rPr>
  </w:style>
  <w:style w:type="table" w:customStyle="1" w:styleId="Mdeck5tablebodythreelines">
    <w:name w:val="M_deck_5_table_body_three_lines"/>
    <w:basedOn w:val="a1"/>
    <w:uiPriority w:val="99"/>
    <w:rsid w:val="005135F3"/>
    <w:pPr>
      <w:adjustRightInd w:val="0"/>
      <w:snapToGrid w:val="0"/>
      <w:spacing w:after="0" w:line="300" w:lineRule="exact"/>
      <w:jc w:val="center"/>
    </w:pPr>
    <w:rPr>
      <w:rFonts w:ascii="Palatino Linotype" w:hAnsi="Palatino Linotype" w:cs="Times New Roman"/>
      <w:sz w:val="2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5135F3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5135F3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5135F3"/>
  </w:style>
  <w:style w:type="paragraph" w:customStyle="1" w:styleId="Mdeck6figurebody">
    <w:name w:val="M_deck_6_figure_body"/>
    <w:qFormat/>
    <w:rsid w:val="005135F3"/>
    <w:pPr>
      <w:widowControl w:val="0"/>
      <w:kinsoku w:val="0"/>
      <w:overflowPunct w:val="0"/>
      <w:autoSpaceDE w:val="0"/>
      <w:autoSpaceDN w:val="0"/>
      <w:adjustRightInd w:val="0"/>
      <w:snapToGrid w:val="0"/>
      <w:spacing w:after="0" w:line="34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5135F3"/>
    <w:pPr>
      <w:adjustRightInd w:val="0"/>
      <w:snapToGrid w:val="0"/>
      <w:spacing w:before="120" w:after="0" w:line="260" w:lineRule="atLeast"/>
    </w:pPr>
    <w:rPr>
      <w:rFonts w:ascii="Palatino Linotype" w:eastAsia="Times New Roman" w:hAnsi="Palatino Linotype" w:cs="Times New Roman"/>
      <w:snapToGrid w:val="0"/>
      <w:color w:val="00000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5135F3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5135F3"/>
    <w:pPr>
      <w:numPr>
        <w:numId w:val="4"/>
      </w:numPr>
      <w:kinsoku w:val="0"/>
      <w:overflowPunct w:val="0"/>
      <w:autoSpaceDE w:val="0"/>
      <w:autoSpaceDN w:val="0"/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4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footer" Target="footer5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openxmlformats.org/officeDocument/2006/relationships/footer" Target="footer6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308</Words>
  <Characters>1816</Characters>
  <Application>Microsoft Office Word</Application>
  <DocSecurity>0</DocSecurity>
  <Lines>33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</vt:lpstr>
    </vt:vector>
  </TitlesOfParts>
  <Company/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cp:lastModifiedBy>mdpi</cp:lastModifiedBy>
  <cp:revision>2</cp:revision>
  <cp:lastPrinted>2019-02-03T15:56:00Z</cp:lastPrinted>
  <dcterms:created xsi:type="dcterms:W3CDTF">2019-02-04T02:32:00Z</dcterms:created>
  <dcterms:modified xsi:type="dcterms:W3CDTF">2019-02-04T02:32:00Z</dcterms:modified>
</cp:coreProperties>
</file>