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AEC" w:rsidRPr="00F14A90" w:rsidRDefault="00880AEC" w:rsidP="00880AEC">
      <w:pPr>
        <w:suppressLineNumbers/>
        <w:tabs>
          <w:tab w:val="left" w:pos="3345"/>
        </w:tabs>
        <w:adjustRightInd w:val="0"/>
        <w:snapToGrid w:val="0"/>
        <w:rPr>
          <w:rFonts w:cs="Arial"/>
          <w:i/>
          <w:noProof w:val="0"/>
        </w:rPr>
      </w:pPr>
      <w:r w:rsidRPr="00F14A90">
        <w:rPr>
          <w:lang w:eastAsia="en-US"/>
        </w:rPr>
        <w:drawing>
          <wp:anchor distT="0" distB="0" distL="114300" distR="114300" simplePos="0" relativeHeight="251660288" behindDoc="0" locked="0" layoutInCell="1" allowOverlap="1" wp14:anchorId="1418F0C9" wp14:editId="1BDA0D36">
            <wp:simplePos x="0" y="0"/>
            <wp:positionH relativeFrom="column">
              <wp:posOffset>-537845</wp:posOffset>
            </wp:positionH>
            <wp:positionV relativeFrom="paragraph">
              <wp:posOffset>10807065</wp:posOffset>
            </wp:positionV>
            <wp:extent cx="4591050" cy="2752725"/>
            <wp:effectExtent l="0" t="0" r="0" b="952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1050" cy="2752725"/>
                    </a:xfrm>
                    <a:prstGeom prst="rect">
                      <a:avLst/>
                    </a:prstGeom>
                    <a:noFill/>
                  </pic:spPr>
                </pic:pic>
              </a:graphicData>
            </a:graphic>
            <wp14:sizeRelH relativeFrom="page">
              <wp14:pctWidth>0</wp14:pctWidth>
            </wp14:sizeRelH>
            <wp14:sizeRelV relativeFrom="page">
              <wp14:pctHeight>0</wp14:pctHeight>
            </wp14:sizeRelV>
          </wp:anchor>
        </w:drawing>
      </w:r>
      <w:r w:rsidRPr="00F14A90">
        <w:rPr>
          <w:lang w:eastAsia="en-US"/>
        </w:rPr>
        <w:drawing>
          <wp:anchor distT="0" distB="0" distL="114300" distR="114300" simplePos="0" relativeHeight="251659264" behindDoc="0" locked="0" layoutInCell="1" allowOverlap="1" wp14:anchorId="1739A151" wp14:editId="18EE6BF5">
            <wp:simplePos x="0" y="0"/>
            <wp:positionH relativeFrom="column">
              <wp:posOffset>-690245</wp:posOffset>
            </wp:positionH>
            <wp:positionV relativeFrom="paragraph">
              <wp:posOffset>10359390</wp:posOffset>
            </wp:positionV>
            <wp:extent cx="4591050" cy="2752725"/>
            <wp:effectExtent l="0" t="0" r="0" b="9525"/>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1050" cy="2752725"/>
                    </a:xfrm>
                    <a:prstGeom prst="rect">
                      <a:avLst/>
                    </a:prstGeom>
                    <a:noFill/>
                  </pic:spPr>
                </pic:pic>
              </a:graphicData>
            </a:graphic>
            <wp14:sizeRelH relativeFrom="page">
              <wp14:pctWidth>0</wp14:pctWidth>
            </wp14:sizeRelH>
            <wp14:sizeRelV relativeFrom="page">
              <wp14:pctHeight>0</wp14:pctHeight>
            </wp14:sizeRelV>
          </wp:anchor>
        </w:drawing>
      </w:r>
      <w:r w:rsidRPr="00F14A90">
        <w:rPr>
          <w:rFonts w:cs="Arial"/>
          <w:b/>
          <w:noProof w:val="0"/>
          <w:u w:val="single"/>
        </w:rPr>
        <w:t xml:space="preserve">Supplementary Figure </w:t>
      </w:r>
      <w:r w:rsidR="00F14A90">
        <w:rPr>
          <w:rFonts w:cs="Arial"/>
          <w:b/>
          <w:noProof w:val="0"/>
          <w:u w:val="single"/>
        </w:rPr>
        <w:t>S</w:t>
      </w:r>
      <w:r w:rsidRPr="00F14A90">
        <w:rPr>
          <w:rFonts w:cs="Arial"/>
          <w:b/>
          <w:noProof w:val="0"/>
          <w:u w:val="single"/>
        </w:rPr>
        <w:t>1</w:t>
      </w:r>
      <w:r w:rsidRPr="00F14A90">
        <w:rPr>
          <w:rFonts w:cs="Arial"/>
          <w:noProof w:val="0"/>
        </w:rPr>
        <w:t>. Clustering of gene expression data</w:t>
      </w:r>
    </w:p>
    <w:p w:rsidR="00880AEC" w:rsidRPr="00F14A90" w:rsidRDefault="00880AEC" w:rsidP="00880AEC">
      <w:pPr>
        <w:suppressLineNumbers/>
        <w:tabs>
          <w:tab w:val="left" w:pos="3345"/>
        </w:tabs>
        <w:adjustRightInd w:val="0"/>
        <w:snapToGrid w:val="0"/>
        <w:rPr>
          <w:rFonts w:cs="Arial"/>
          <w:i/>
          <w:noProof w:val="0"/>
        </w:rPr>
      </w:pPr>
      <w:r w:rsidRPr="00F14A90">
        <w:rPr>
          <w:rFonts w:cs="Arial"/>
          <w:i/>
          <w:noProof w:val="0"/>
        </w:rPr>
        <w:t>Hierarchical clustering of the 34 CTC-specific genes in the 63 mCRPC patients. Red indicates above median and green below median expression level of a gene over all samples.</w:t>
      </w:r>
    </w:p>
    <w:p w:rsidR="00880AEC" w:rsidRPr="00F14A90" w:rsidRDefault="00880AEC" w:rsidP="00880AEC">
      <w:pPr>
        <w:suppressLineNumbers/>
        <w:tabs>
          <w:tab w:val="left" w:pos="3345"/>
        </w:tabs>
        <w:adjustRightInd w:val="0"/>
        <w:snapToGrid w:val="0"/>
        <w:rPr>
          <w:rFonts w:cs="Arial"/>
          <w:i/>
          <w:noProof w:val="0"/>
        </w:rPr>
      </w:pPr>
    </w:p>
    <w:p w:rsidR="00F14A90" w:rsidRDefault="00F14A90" w:rsidP="00880AEC">
      <w:pPr>
        <w:suppressLineNumbers/>
        <w:tabs>
          <w:tab w:val="left" w:pos="3345"/>
        </w:tabs>
        <w:adjustRightInd w:val="0"/>
        <w:snapToGrid w:val="0"/>
        <w:rPr>
          <w:rFonts w:cs="Arial"/>
          <w:b/>
          <w:noProof w:val="0"/>
          <w:u w:val="single"/>
        </w:rPr>
      </w:pPr>
    </w:p>
    <w:p w:rsidR="00880AEC" w:rsidRPr="00F14A90" w:rsidRDefault="00880AEC" w:rsidP="00880AEC">
      <w:pPr>
        <w:suppressLineNumbers/>
        <w:tabs>
          <w:tab w:val="left" w:pos="3345"/>
        </w:tabs>
        <w:adjustRightInd w:val="0"/>
        <w:snapToGrid w:val="0"/>
        <w:rPr>
          <w:rFonts w:cs="Arial"/>
          <w:noProof w:val="0"/>
        </w:rPr>
      </w:pPr>
      <w:r w:rsidRPr="00F14A90">
        <w:rPr>
          <w:rFonts w:cs="Arial"/>
          <w:b/>
          <w:noProof w:val="0"/>
          <w:u w:val="single"/>
        </w:rPr>
        <w:t xml:space="preserve">Supplementary Figure </w:t>
      </w:r>
      <w:r w:rsidR="00F14A90">
        <w:rPr>
          <w:rFonts w:cs="Arial"/>
          <w:b/>
          <w:noProof w:val="0"/>
          <w:u w:val="single"/>
        </w:rPr>
        <w:t>S</w:t>
      </w:r>
      <w:r w:rsidRPr="00F14A90">
        <w:rPr>
          <w:rFonts w:cs="Arial"/>
          <w:b/>
          <w:noProof w:val="0"/>
          <w:u w:val="single"/>
        </w:rPr>
        <w:t>2.</w:t>
      </w:r>
      <w:r w:rsidRPr="00F14A90">
        <w:rPr>
          <w:rFonts w:cs="Arial"/>
          <w:noProof w:val="0"/>
        </w:rPr>
        <w:t xml:space="preserve"> PFS and OS in relation to the clustering groups</w:t>
      </w:r>
    </w:p>
    <w:p w:rsidR="00880AEC" w:rsidRPr="00F14A90" w:rsidRDefault="00F14A90" w:rsidP="00880AEC">
      <w:pPr>
        <w:suppressLineNumbers/>
        <w:adjustRightInd w:val="0"/>
        <w:snapToGrid w:val="0"/>
        <w:rPr>
          <w:rFonts w:cs="Arial"/>
          <w:i/>
          <w:noProof w:val="0"/>
        </w:rPr>
      </w:pPr>
      <w:r>
        <w:rPr>
          <w:rFonts w:cs="Arial"/>
          <w:i/>
          <w:noProof w:val="0"/>
        </w:rPr>
        <w:t>Kaplan-</w:t>
      </w:r>
      <w:r w:rsidR="00880AEC" w:rsidRPr="00F14A90">
        <w:rPr>
          <w:rFonts w:cs="Arial"/>
          <w:i/>
          <w:noProof w:val="0"/>
        </w:rPr>
        <w:t xml:space="preserve">Meier curves of </w:t>
      </w:r>
      <w:r>
        <w:rPr>
          <w:rFonts w:cs="Arial"/>
          <w:i/>
          <w:noProof w:val="0"/>
        </w:rPr>
        <w:t>(</w:t>
      </w:r>
      <w:r w:rsidR="00880AEC" w:rsidRPr="00F14A90">
        <w:rPr>
          <w:rFonts w:cs="Arial"/>
          <w:i/>
          <w:noProof w:val="0"/>
        </w:rPr>
        <w:t xml:space="preserve">A) progression-free survival (PFS) and </w:t>
      </w:r>
      <w:r>
        <w:rPr>
          <w:rFonts w:cs="Arial"/>
          <w:i/>
          <w:noProof w:val="0"/>
        </w:rPr>
        <w:t>(</w:t>
      </w:r>
      <w:r w:rsidR="00880AEC" w:rsidRPr="00F14A90">
        <w:rPr>
          <w:rFonts w:cs="Arial"/>
          <w:i/>
          <w:noProof w:val="0"/>
        </w:rPr>
        <w:t xml:space="preserve">B) overall survival (OS) in relation to the groups </w:t>
      </w:r>
      <w:r w:rsidRPr="00F14A90">
        <w:rPr>
          <w:rFonts w:cs="Arial"/>
          <w:i/>
          <w:noProof w:val="0"/>
        </w:rPr>
        <w:t>divided</w:t>
      </w:r>
      <w:r w:rsidR="00880AEC" w:rsidRPr="00F14A90">
        <w:rPr>
          <w:rFonts w:cs="Arial"/>
          <w:i/>
          <w:noProof w:val="0"/>
        </w:rPr>
        <w:t xml:space="preserve"> by t</w:t>
      </w:r>
      <w:r>
        <w:rPr>
          <w:rFonts w:cs="Arial"/>
          <w:i/>
          <w:noProof w:val="0"/>
        </w:rPr>
        <w:t>he cluster that was created in S</w:t>
      </w:r>
      <w:r w:rsidR="00880AEC" w:rsidRPr="00F14A90">
        <w:rPr>
          <w:rFonts w:cs="Arial"/>
          <w:i/>
          <w:noProof w:val="0"/>
        </w:rPr>
        <w:t xml:space="preserve">upplementary Figure </w:t>
      </w:r>
      <w:r>
        <w:rPr>
          <w:rFonts w:cs="Arial"/>
          <w:i/>
          <w:noProof w:val="0"/>
        </w:rPr>
        <w:t>S</w:t>
      </w:r>
      <w:r w:rsidR="00880AEC" w:rsidRPr="00F14A90">
        <w:rPr>
          <w:rFonts w:cs="Arial"/>
          <w:i/>
          <w:noProof w:val="0"/>
        </w:rPr>
        <w:t xml:space="preserve">1. </w:t>
      </w:r>
    </w:p>
    <w:p w:rsidR="00880AEC" w:rsidRPr="00F14A90" w:rsidRDefault="00880AEC" w:rsidP="00880AEC">
      <w:pPr>
        <w:suppressLineNumbers/>
        <w:tabs>
          <w:tab w:val="left" w:pos="3345"/>
        </w:tabs>
        <w:adjustRightInd w:val="0"/>
        <w:snapToGrid w:val="0"/>
        <w:rPr>
          <w:rFonts w:cs="Arial"/>
          <w:i/>
          <w:noProof w:val="0"/>
        </w:rPr>
      </w:pPr>
    </w:p>
    <w:p w:rsidR="00F14A90" w:rsidRDefault="00F14A90" w:rsidP="00880AEC">
      <w:pPr>
        <w:suppressLineNumbers/>
        <w:tabs>
          <w:tab w:val="left" w:pos="3345"/>
        </w:tabs>
        <w:adjustRightInd w:val="0"/>
        <w:snapToGrid w:val="0"/>
        <w:rPr>
          <w:rFonts w:cs="Arial"/>
          <w:b/>
          <w:noProof w:val="0"/>
          <w:u w:val="single"/>
        </w:rPr>
      </w:pPr>
    </w:p>
    <w:p w:rsidR="00880AEC" w:rsidRPr="00F14A90" w:rsidRDefault="00880AEC" w:rsidP="00880AEC">
      <w:pPr>
        <w:suppressLineNumbers/>
        <w:tabs>
          <w:tab w:val="left" w:pos="3345"/>
        </w:tabs>
        <w:adjustRightInd w:val="0"/>
        <w:snapToGrid w:val="0"/>
        <w:rPr>
          <w:rFonts w:cs="Arial"/>
          <w:noProof w:val="0"/>
        </w:rPr>
      </w:pPr>
      <w:r w:rsidRPr="00F14A90">
        <w:rPr>
          <w:rFonts w:cs="Arial"/>
          <w:b/>
          <w:noProof w:val="0"/>
          <w:u w:val="single"/>
        </w:rPr>
        <w:t xml:space="preserve">Supplementary Figure </w:t>
      </w:r>
      <w:r w:rsidR="00F14A90">
        <w:rPr>
          <w:rFonts w:cs="Arial"/>
          <w:b/>
          <w:noProof w:val="0"/>
          <w:u w:val="single"/>
        </w:rPr>
        <w:t>S</w:t>
      </w:r>
      <w:r w:rsidRPr="00F14A90">
        <w:rPr>
          <w:rFonts w:cs="Arial"/>
          <w:b/>
          <w:noProof w:val="0"/>
          <w:u w:val="single"/>
        </w:rPr>
        <w:t>3.</w:t>
      </w:r>
      <w:r w:rsidRPr="00F14A90">
        <w:rPr>
          <w:rFonts w:cs="Arial"/>
          <w:noProof w:val="0"/>
        </w:rPr>
        <w:t xml:space="preserve"> PFS and OS in the 5-gene expression profile at baseline</w:t>
      </w:r>
    </w:p>
    <w:p w:rsidR="00880AEC" w:rsidRPr="00F14A90" w:rsidRDefault="00F14A90" w:rsidP="00880AEC">
      <w:pPr>
        <w:suppressLineNumbers/>
        <w:tabs>
          <w:tab w:val="left" w:pos="3345"/>
        </w:tabs>
        <w:adjustRightInd w:val="0"/>
        <w:snapToGrid w:val="0"/>
        <w:rPr>
          <w:rFonts w:cs="Arial"/>
          <w:i/>
          <w:noProof w:val="0"/>
        </w:rPr>
      </w:pPr>
      <w:r>
        <w:rPr>
          <w:rFonts w:cs="Arial"/>
          <w:i/>
          <w:noProof w:val="0"/>
        </w:rPr>
        <w:t>Kaplan-</w:t>
      </w:r>
      <w:r w:rsidR="00880AEC" w:rsidRPr="00F14A90">
        <w:rPr>
          <w:rFonts w:cs="Arial"/>
          <w:i/>
          <w:noProof w:val="0"/>
        </w:rPr>
        <w:t xml:space="preserve">Meier curves of </w:t>
      </w:r>
      <w:r>
        <w:rPr>
          <w:rFonts w:cs="Arial"/>
          <w:i/>
          <w:noProof w:val="0"/>
        </w:rPr>
        <w:t>(</w:t>
      </w:r>
      <w:r w:rsidR="00880AEC" w:rsidRPr="00F14A90">
        <w:rPr>
          <w:rFonts w:cs="Arial"/>
          <w:i/>
          <w:noProof w:val="0"/>
        </w:rPr>
        <w:t xml:space="preserve">A) progression-free survival (PFS) and </w:t>
      </w:r>
      <w:r>
        <w:rPr>
          <w:rFonts w:cs="Arial"/>
          <w:i/>
          <w:noProof w:val="0"/>
        </w:rPr>
        <w:t>(</w:t>
      </w:r>
      <w:r w:rsidR="00880AEC" w:rsidRPr="00F14A90">
        <w:rPr>
          <w:rFonts w:cs="Arial"/>
          <w:i/>
          <w:noProof w:val="0"/>
        </w:rPr>
        <w:t>B) overall survival (OS) in relation to the 5-gene expression profile. The groups are divided into two categories based on their low (1) and high (2) predicted risk based on this 5-gene profile by BRB Array tools.</w:t>
      </w:r>
    </w:p>
    <w:p w:rsidR="00880AEC" w:rsidRPr="00F14A90" w:rsidRDefault="00880AEC" w:rsidP="00880AEC">
      <w:pPr>
        <w:suppressLineNumbers/>
        <w:tabs>
          <w:tab w:val="left" w:pos="3345"/>
        </w:tabs>
        <w:adjustRightInd w:val="0"/>
        <w:snapToGrid w:val="0"/>
        <w:rPr>
          <w:rFonts w:cs="Arial"/>
          <w:noProof w:val="0"/>
        </w:rPr>
      </w:pPr>
    </w:p>
    <w:p w:rsidR="00F14A90" w:rsidRDefault="00F14A90" w:rsidP="00880AEC">
      <w:pPr>
        <w:suppressLineNumbers/>
        <w:tabs>
          <w:tab w:val="left" w:pos="3345"/>
        </w:tabs>
        <w:adjustRightInd w:val="0"/>
        <w:snapToGrid w:val="0"/>
        <w:rPr>
          <w:rFonts w:cs="Arial"/>
          <w:b/>
          <w:noProof w:val="0"/>
          <w:u w:val="single"/>
        </w:rPr>
      </w:pPr>
    </w:p>
    <w:p w:rsidR="00880AEC" w:rsidRPr="00F14A90" w:rsidRDefault="00880AEC" w:rsidP="00880AEC">
      <w:pPr>
        <w:suppressLineNumbers/>
        <w:tabs>
          <w:tab w:val="left" w:pos="3345"/>
        </w:tabs>
        <w:adjustRightInd w:val="0"/>
        <w:snapToGrid w:val="0"/>
        <w:rPr>
          <w:rFonts w:cs="Arial"/>
          <w:b/>
          <w:noProof w:val="0"/>
          <w:u w:val="single"/>
        </w:rPr>
      </w:pPr>
      <w:r w:rsidRPr="00F14A90">
        <w:rPr>
          <w:rFonts w:cs="Arial"/>
          <w:b/>
          <w:noProof w:val="0"/>
          <w:u w:val="single"/>
        </w:rPr>
        <w:t xml:space="preserve">Supplementary Figure </w:t>
      </w:r>
      <w:r w:rsidR="00F14A90">
        <w:rPr>
          <w:rFonts w:cs="Arial"/>
          <w:b/>
          <w:noProof w:val="0"/>
          <w:u w:val="single"/>
        </w:rPr>
        <w:t>S</w:t>
      </w:r>
      <w:r w:rsidRPr="00F14A90">
        <w:rPr>
          <w:rFonts w:cs="Arial"/>
          <w:b/>
          <w:noProof w:val="0"/>
          <w:u w:val="single"/>
        </w:rPr>
        <w:t>4</w:t>
      </w:r>
      <w:r w:rsidRPr="00F14A90">
        <w:rPr>
          <w:rFonts w:cs="Arial"/>
          <w:noProof w:val="0"/>
        </w:rPr>
        <w:t>. Cut off epithelial profile</w:t>
      </w:r>
    </w:p>
    <w:p w:rsidR="00880AEC" w:rsidRDefault="00880AEC" w:rsidP="00880AEC">
      <w:pPr>
        <w:suppressLineNumbers/>
        <w:adjustRightInd w:val="0"/>
        <w:snapToGrid w:val="0"/>
        <w:rPr>
          <w:rFonts w:cs="Arial"/>
          <w:i/>
          <w:noProof w:val="0"/>
        </w:rPr>
      </w:pPr>
      <w:r w:rsidRPr="00F14A90">
        <w:rPr>
          <w:rFonts w:cs="Arial"/>
          <w:i/>
          <w:noProof w:val="0"/>
        </w:rPr>
        <w:t xml:space="preserve">Pearson correlation between the epithelial profile that has been determined on 12 genes in metastatic breast cancer patients and the epithelial profile used in this metastatic prostate cancer group based on 6 out of those 12 genes (A). In B) a receiving operating characteristic (ROC) curve with an area under the curve (AUC) value of this threshold is shown. </w:t>
      </w:r>
    </w:p>
    <w:p w:rsidR="00F14A90" w:rsidRDefault="00F14A90" w:rsidP="00880AEC">
      <w:pPr>
        <w:suppressLineNumbers/>
        <w:adjustRightInd w:val="0"/>
        <w:snapToGrid w:val="0"/>
        <w:rPr>
          <w:rFonts w:cs="Arial"/>
          <w:i/>
          <w:noProof w:val="0"/>
        </w:rPr>
      </w:pPr>
    </w:p>
    <w:p w:rsidR="00F14A90" w:rsidRPr="00F14A90" w:rsidRDefault="00F14A90" w:rsidP="00F14A90">
      <w:pPr>
        <w:suppressLineNumbers/>
        <w:adjustRightInd w:val="0"/>
        <w:snapToGrid w:val="0"/>
        <w:rPr>
          <w:rFonts w:eastAsiaTheme="minorHAnsi" w:cs="Arial"/>
          <w:noProof w:val="0"/>
          <w:sz w:val="18"/>
          <w:szCs w:val="18"/>
          <w:lang w:eastAsia="en-US"/>
        </w:rPr>
      </w:pPr>
    </w:p>
    <w:p w:rsidR="00F14A90" w:rsidRPr="00F14A90" w:rsidRDefault="00F14A90" w:rsidP="00F14A90">
      <w:pPr>
        <w:suppressLineNumbers/>
        <w:adjustRightInd w:val="0"/>
        <w:snapToGrid w:val="0"/>
        <w:rPr>
          <w:rFonts w:cs="Arial"/>
          <w:i/>
          <w:noProof w:val="0"/>
          <w:sz w:val="18"/>
          <w:szCs w:val="18"/>
        </w:rPr>
      </w:pPr>
      <w:r w:rsidRPr="00F14A90">
        <w:rPr>
          <w:rFonts w:eastAsiaTheme="minorHAnsi" w:cs="Arial"/>
          <w:b/>
          <w:bCs/>
          <w:noProof w:val="0"/>
          <w:sz w:val="18"/>
          <w:szCs w:val="18"/>
          <w:u w:val="single"/>
          <w:lang w:eastAsia="en-US"/>
        </w:rPr>
        <w:t xml:space="preserve">Supplementary table </w:t>
      </w:r>
      <w:r>
        <w:rPr>
          <w:rFonts w:eastAsiaTheme="minorHAnsi" w:cs="Arial"/>
          <w:b/>
          <w:bCs/>
          <w:noProof w:val="0"/>
          <w:sz w:val="18"/>
          <w:szCs w:val="18"/>
          <w:u w:val="single"/>
          <w:lang w:eastAsia="en-US"/>
        </w:rPr>
        <w:t>S</w:t>
      </w:r>
      <w:bookmarkStart w:id="0" w:name="_GoBack"/>
      <w:bookmarkEnd w:id="0"/>
      <w:r w:rsidRPr="00F14A90">
        <w:rPr>
          <w:rFonts w:eastAsiaTheme="minorHAnsi" w:cs="Arial"/>
          <w:b/>
          <w:bCs/>
          <w:noProof w:val="0"/>
          <w:sz w:val="18"/>
          <w:szCs w:val="18"/>
          <w:u w:val="single"/>
          <w:lang w:eastAsia="en-US"/>
        </w:rPr>
        <w:t xml:space="preserve">1. </w:t>
      </w:r>
      <w:r w:rsidRPr="00F14A90">
        <w:rPr>
          <w:rFonts w:eastAsiaTheme="minorHAnsi" w:cs="Arial"/>
          <w:noProof w:val="0"/>
          <w:sz w:val="18"/>
          <w:szCs w:val="18"/>
          <w:lang w:eastAsia="en-US"/>
        </w:rPr>
        <w:t>Genes used for gene-expression profile</w:t>
      </w:r>
    </w:p>
    <w:p w:rsidR="00F14A90" w:rsidRPr="00F14A90" w:rsidRDefault="00F14A90" w:rsidP="00F14A90">
      <w:pPr>
        <w:suppressLineNumbers/>
        <w:adjustRightInd w:val="0"/>
        <w:snapToGrid w:val="0"/>
        <w:rPr>
          <w:rFonts w:eastAsiaTheme="minorHAnsi" w:cs="Arial"/>
          <w:i/>
          <w:iCs/>
          <w:noProof w:val="0"/>
          <w:sz w:val="18"/>
          <w:szCs w:val="18"/>
          <w:lang w:eastAsia="en-US"/>
        </w:rPr>
      </w:pPr>
      <w:r w:rsidRPr="00F14A90">
        <w:rPr>
          <w:rFonts w:eastAsiaTheme="minorHAnsi" w:cs="Arial"/>
          <w:i/>
          <w:noProof w:val="0"/>
          <w:sz w:val="18"/>
          <w:szCs w:val="18"/>
          <w:lang w:eastAsia="en-US"/>
        </w:rPr>
        <w:t>(</w:t>
      </w:r>
      <w:r w:rsidRPr="00F14A90">
        <w:rPr>
          <w:rFonts w:eastAsiaTheme="minorHAnsi" w:cs="Arial"/>
          <w:i/>
          <w:iCs/>
          <w:noProof w:val="0"/>
          <w:sz w:val="18"/>
          <w:szCs w:val="18"/>
          <w:lang w:eastAsia="en-US"/>
        </w:rPr>
        <w:t>A) All 96 genes that were measured in the samples with available RNA. (B) The 34 genes with higher expression in CTC samples compared to the background of leukocytes.</w:t>
      </w:r>
    </w:p>
    <w:p w:rsidR="00F14A90" w:rsidRDefault="00F14A90" w:rsidP="00F14A90">
      <w:pPr>
        <w:suppressLineNumbers/>
        <w:adjustRightInd w:val="0"/>
        <w:snapToGrid w:val="0"/>
        <w:rPr>
          <w:rFonts w:ascii="Arial" w:eastAsiaTheme="minorHAnsi" w:hAnsi="Arial" w:cs="Arial"/>
          <w:i/>
          <w:iCs/>
          <w:noProof w:val="0"/>
          <w:sz w:val="18"/>
          <w:szCs w:val="18"/>
          <w:lang w:eastAsia="en-US"/>
        </w:rPr>
      </w:pPr>
    </w:p>
    <w:p w:rsidR="00F14A90" w:rsidRDefault="00F14A90" w:rsidP="00F14A90">
      <w:pPr>
        <w:suppressLineNumbers/>
        <w:adjustRightInd w:val="0"/>
        <w:snapToGrid w:val="0"/>
        <w:rPr>
          <w:rFonts w:cs="Arial"/>
          <w:i/>
          <w:noProof w:val="0"/>
        </w:rPr>
      </w:pPr>
    </w:p>
    <w:p w:rsidR="00F14A90" w:rsidRPr="00F14A90" w:rsidRDefault="00F14A90" w:rsidP="00880AEC">
      <w:pPr>
        <w:suppressLineNumbers/>
        <w:adjustRightInd w:val="0"/>
        <w:snapToGrid w:val="0"/>
        <w:rPr>
          <w:rFonts w:cs="Arial"/>
          <w:noProof w:val="0"/>
          <w:sz w:val="18"/>
          <w:szCs w:val="18"/>
        </w:rPr>
      </w:pPr>
      <w:r w:rsidRPr="00F14A90">
        <w:rPr>
          <w:rFonts w:cs="Arial"/>
          <w:b/>
          <w:noProof w:val="0"/>
          <w:sz w:val="18"/>
          <w:szCs w:val="18"/>
          <w:u w:val="single"/>
        </w:rPr>
        <w:t>Supplementary Table S2</w:t>
      </w:r>
      <w:r w:rsidRPr="00F14A90">
        <w:rPr>
          <w:rFonts w:cs="Arial"/>
          <w:noProof w:val="0"/>
          <w:sz w:val="18"/>
          <w:szCs w:val="18"/>
        </w:rPr>
        <w:t>. Univariate regression analysis of PFS</w:t>
      </w:r>
    </w:p>
    <w:p w:rsidR="00F14A90" w:rsidRPr="00F14A90" w:rsidRDefault="00F14A90" w:rsidP="00880AEC">
      <w:pPr>
        <w:suppressLineNumbers/>
        <w:adjustRightInd w:val="0"/>
        <w:snapToGrid w:val="0"/>
        <w:rPr>
          <w:rFonts w:cs="Arial"/>
          <w:i/>
          <w:noProof w:val="0"/>
          <w:sz w:val="18"/>
          <w:szCs w:val="18"/>
        </w:rPr>
      </w:pPr>
      <w:r w:rsidRPr="00F14A90">
        <w:rPr>
          <w:i/>
          <w:iCs/>
          <w:sz w:val="18"/>
          <w:szCs w:val="18"/>
        </w:rPr>
        <w:t>Univariate Cox Regression analysis of all 34 genes in comparison with PFS in</w:t>
      </w:r>
      <w:r w:rsidRPr="00F14A90">
        <w:rPr>
          <w:i/>
          <w:iCs/>
          <w:sz w:val="18"/>
          <w:szCs w:val="18"/>
        </w:rPr>
        <w:t xml:space="preserve"> </w:t>
      </w:r>
      <w:r w:rsidRPr="00F14A90">
        <w:rPr>
          <w:i/>
          <w:iCs/>
          <w:sz w:val="18"/>
          <w:szCs w:val="18"/>
        </w:rPr>
        <w:t>63 patients with available gene expression data.</w:t>
      </w:r>
    </w:p>
    <w:p w:rsidR="00F14A90" w:rsidRDefault="00F14A90" w:rsidP="00F14A90">
      <w:pPr>
        <w:pStyle w:val="Default"/>
      </w:pPr>
    </w:p>
    <w:p w:rsidR="00F14A90" w:rsidRPr="00F14A90" w:rsidRDefault="00F14A90" w:rsidP="00880AEC">
      <w:pPr>
        <w:suppressLineNumbers/>
        <w:adjustRightInd w:val="0"/>
        <w:snapToGrid w:val="0"/>
        <w:rPr>
          <w:rFonts w:cs="Arial"/>
          <w:i/>
          <w:noProof w:val="0"/>
        </w:rPr>
      </w:pPr>
    </w:p>
    <w:p w:rsidR="009808EF" w:rsidRPr="00F14A90" w:rsidRDefault="009808EF"/>
    <w:sectPr w:rsidR="009808EF" w:rsidRPr="00F14A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AEC"/>
    <w:rsid w:val="00715D0C"/>
    <w:rsid w:val="00880AEC"/>
    <w:rsid w:val="009808EF"/>
    <w:rsid w:val="00F14A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AEC"/>
    <w:pPr>
      <w:spacing w:after="0" w:line="260" w:lineRule="atLeast"/>
      <w:jc w:val="both"/>
    </w:pPr>
    <w:rPr>
      <w:rFonts w:ascii="Palatino Linotype" w:eastAsiaTheme="minorEastAsia" w:hAnsi="Palatino Linotype" w:cs="Times New Roman"/>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880AEC"/>
    <w:rPr>
      <w:sz w:val="21"/>
      <w:szCs w:val="21"/>
    </w:rPr>
  </w:style>
  <w:style w:type="paragraph" w:styleId="CommentText">
    <w:name w:val="annotation text"/>
    <w:basedOn w:val="Normal"/>
    <w:link w:val="CommentTextChar"/>
    <w:rsid w:val="00880AEC"/>
  </w:style>
  <w:style w:type="character" w:customStyle="1" w:styleId="CommentTextChar">
    <w:name w:val="Comment Text Char"/>
    <w:basedOn w:val="DefaultParagraphFont"/>
    <w:link w:val="CommentText"/>
    <w:rsid w:val="00880AEC"/>
    <w:rPr>
      <w:rFonts w:ascii="Palatino Linotype" w:eastAsiaTheme="minorEastAsia" w:hAnsi="Palatino Linotype" w:cs="Times New Roman"/>
      <w:noProof/>
      <w:color w:val="000000"/>
      <w:sz w:val="20"/>
      <w:szCs w:val="20"/>
      <w:lang w:val="en-US" w:eastAsia="zh-CN"/>
    </w:rPr>
  </w:style>
  <w:style w:type="paragraph" w:styleId="BalloonText">
    <w:name w:val="Balloon Text"/>
    <w:basedOn w:val="Normal"/>
    <w:link w:val="BalloonTextChar"/>
    <w:uiPriority w:val="99"/>
    <w:semiHidden/>
    <w:unhideWhenUsed/>
    <w:rsid w:val="00880A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AEC"/>
    <w:rPr>
      <w:rFonts w:ascii="Tahoma" w:eastAsiaTheme="minorEastAsia" w:hAnsi="Tahoma" w:cs="Tahoma"/>
      <w:noProof/>
      <w:color w:val="000000"/>
      <w:sz w:val="16"/>
      <w:szCs w:val="16"/>
      <w:lang w:val="en-US" w:eastAsia="zh-CN"/>
    </w:rPr>
  </w:style>
  <w:style w:type="paragraph" w:customStyle="1" w:styleId="Default">
    <w:name w:val="Default"/>
    <w:rsid w:val="00F14A90"/>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AEC"/>
    <w:pPr>
      <w:spacing w:after="0" w:line="260" w:lineRule="atLeast"/>
      <w:jc w:val="both"/>
    </w:pPr>
    <w:rPr>
      <w:rFonts w:ascii="Palatino Linotype" w:eastAsiaTheme="minorEastAsia" w:hAnsi="Palatino Linotype" w:cs="Times New Roman"/>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880AEC"/>
    <w:rPr>
      <w:sz w:val="21"/>
      <w:szCs w:val="21"/>
    </w:rPr>
  </w:style>
  <w:style w:type="paragraph" w:styleId="CommentText">
    <w:name w:val="annotation text"/>
    <w:basedOn w:val="Normal"/>
    <w:link w:val="CommentTextChar"/>
    <w:rsid w:val="00880AEC"/>
  </w:style>
  <w:style w:type="character" w:customStyle="1" w:styleId="CommentTextChar">
    <w:name w:val="Comment Text Char"/>
    <w:basedOn w:val="DefaultParagraphFont"/>
    <w:link w:val="CommentText"/>
    <w:rsid w:val="00880AEC"/>
    <w:rPr>
      <w:rFonts w:ascii="Palatino Linotype" w:eastAsiaTheme="minorEastAsia" w:hAnsi="Palatino Linotype" w:cs="Times New Roman"/>
      <w:noProof/>
      <w:color w:val="000000"/>
      <w:sz w:val="20"/>
      <w:szCs w:val="20"/>
      <w:lang w:val="en-US" w:eastAsia="zh-CN"/>
    </w:rPr>
  </w:style>
  <w:style w:type="paragraph" w:styleId="BalloonText">
    <w:name w:val="Balloon Text"/>
    <w:basedOn w:val="Normal"/>
    <w:link w:val="BalloonTextChar"/>
    <w:uiPriority w:val="99"/>
    <w:semiHidden/>
    <w:unhideWhenUsed/>
    <w:rsid w:val="00880A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AEC"/>
    <w:rPr>
      <w:rFonts w:ascii="Tahoma" w:eastAsiaTheme="minorEastAsia" w:hAnsi="Tahoma" w:cs="Tahoma"/>
      <w:noProof/>
      <w:color w:val="000000"/>
      <w:sz w:val="16"/>
      <w:szCs w:val="16"/>
      <w:lang w:val="en-US" w:eastAsia="zh-CN"/>
    </w:rPr>
  </w:style>
  <w:style w:type="paragraph" w:customStyle="1" w:styleId="Default">
    <w:name w:val="Default"/>
    <w:rsid w:val="00F14A90"/>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266</Words>
  <Characters>1431</Characters>
  <Application>Microsoft Office Word</Application>
  <DocSecurity>0</DocSecurity>
  <Lines>34</Lines>
  <Paragraphs>17</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 de Kruijff</dc:creator>
  <cp:lastModifiedBy>I.E. de Kruijff</cp:lastModifiedBy>
  <cp:revision>2</cp:revision>
  <dcterms:created xsi:type="dcterms:W3CDTF">2019-08-19T14:51:00Z</dcterms:created>
  <dcterms:modified xsi:type="dcterms:W3CDTF">2019-08-19T18:49:00Z</dcterms:modified>
</cp:coreProperties>
</file>