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1768" w:rsidRDefault="00251768" w:rsidP="006320FC">
      <w:pPr>
        <w:spacing w:line="240" w:lineRule="auto"/>
        <w:ind w:hanging="2"/>
        <w:rPr>
          <w:noProof/>
        </w:rPr>
      </w:pPr>
      <w:r>
        <w:rPr>
          <w:noProof/>
        </w:rPr>
        <w:drawing>
          <wp:inline distT="0" distB="0" distL="0" distR="0">
            <wp:extent cx="6332220" cy="3562985"/>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S1.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p w:rsidR="006320FC" w:rsidRDefault="006320FC" w:rsidP="006320FC">
      <w:pPr>
        <w:spacing w:line="240" w:lineRule="auto"/>
        <w:ind w:hanging="2"/>
        <w:rPr>
          <w:rFonts w:ascii="Palatino Linotype" w:eastAsia="Palatino Linotype" w:hAnsi="Palatino Linotype" w:cs="Palatino Linotype"/>
          <w:sz w:val="18"/>
          <w:szCs w:val="18"/>
        </w:rPr>
      </w:pPr>
      <w:r w:rsidRPr="006320FC">
        <w:t xml:space="preserve"> </w:t>
      </w:r>
      <w:sdt>
        <w:sdtPr>
          <w:tag w:val="goog_rdk_369"/>
          <w:id w:val="-568737523"/>
        </w:sdtPr>
        <w:sdtEndPr/>
        <w:sdtContent>
          <w:r w:rsidR="00565603">
            <w:rPr>
              <w:rFonts w:ascii="Palatino Linotype" w:eastAsia="Palatino Linotype" w:hAnsi="Palatino Linotype" w:cs="Palatino Linotype"/>
              <w:b/>
              <w:sz w:val="18"/>
              <w:szCs w:val="18"/>
            </w:rPr>
            <w:t>Figure S1.</w:t>
          </w:r>
          <w:r>
            <w:rPr>
              <w:rFonts w:ascii="Palatino Linotype" w:eastAsia="Palatino Linotype" w:hAnsi="Palatino Linotype" w:cs="Palatino Linotype"/>
              <w:sz w:val="18"/>
              <w:szCs w:val="18"/>
            </w:rPr>
            <w:t xml:space="preserve"> Scatter plot of the median expression levels of housekeeping genes in normal and gNAT samples. Greater the standard deviation (SD), greater the radius of the points </w:t>
          </w:r>
        </w:sdtContent>
      </w:sdt>
    </w:p>
    <w:p w:rsidR="00565603" w:rsidRDefault="006320FC" w:rsidP="00565603">
      <w:r>
        <w:rPr>
          <w:noProof/>
        </w:rPr>
        <w:drawing>
          <wp:inline distT="0" distB="0" distL="0" distR="0">
            <wp:extent cx="6332220" cy="356298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apositiva8.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sdt>
      <w:sdtPr>
        <w:tag w:val="goog_rdk_370"/>
        <w:id w:val="1702973244"/>
      </w:sdtPr>
      <w:sdtEndPr/>
      <w:sdtContent>
        <w:p w:rsidR="00565603" w:rsidRDefault="00565603" w:rsidP="00565603">
          <w:pPr>
            <w:spacing w:line="240" w:lineRule="auto"/>
            <w:ind w:left="-2"/>
            <w:rPr>
              <w:rFonts w:ascii="Palatino Linotype" w:eastAsia="Palatino Linotype" w:hAnsi="Palatino Linotype" w:cs="Palatino Linotype"/>
              <w:sz w:val="18"/>
              <w:szCs w:val="18"/>
            </w:rPr>
          </w:pPr>
          <w:r>
            <w:rPr>
              <w:rFonts w:ascii="Palatino Linotype" w:eastAsia="Palatino Linotype" w:hAnsi="Palatino Linotype" w:cs="Palatino Linotype"/>
              <w:sz w:val="18"/>
              <w:szCs w:val="18"/>
            </w:rPr>
            <w:t>Figure S2: Boxplot of the library reads in TCGA GC and gNAT and in GTEx normal samples</w:t>
          </w:r>
          <w:proofErr w:type="gramStart"/>
          <w:r>
            <w:rPr>
              <w:rFonts w:ascii="Palatino Linotype" w:eastAsia="Palatino Linotype" w:hAnsi="Palatino Linotype" w:cs="Palatino Linotype"/>
              <w:sz w:val="18"/>
              <w:szCs w:val="18"/>
            </w:rPr>
            <w:t>;</w:t>
          </w:r>
          <w:proofErr w:type="gramEnd"/>
          <w:r>
            <w:rPr>
              <w:rFonts w:ascii="Palatino Linotype" w:eastAsia="Palatino Linotype" w:hAnsi="Palatino Linotype" w:cs="Palatino Linotype"/>
              <w:sz w:val="18"/>
              <w:szCs w:val="18"/>
            </w:rPr>
            <w:t xml:space="preserve"> GC in purple, gNAT in orange and normal tissue in green</w:t>
          </w:r>
        </w:p>
      </w:sdtContent>
    </w:sdt>
    <w:p w:rsidR="00565603" w:rsidRDefault="00565603" w:rsidP="00565603">
      <w:pPr>
        <w:rPr>
          <w:noProof/>
        </w:rPr>
      </w:pPr>
      <w:r>
        <w:rPr>
          <w:noProof/>
        </w:rPr>
        <w:lastRenderedPageBreak/>
        <w:t xml:space="preserve"> </w:t>
      </w:r>
      <w:r w:rsidR="006320FC">
        <w:rPr>
          <w:noProof/>
        </w:rPr>
        <w:drawing>
          <wp:inline distT="0" distB="0" distL="0" distR="0">
            <wp:extent cx="5569328" cy="3133725"/>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positiva9.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571807" cy="3135120"/>
                    </a:xfrm>
                    <a:prstGeom prst="rect">
                      <a:avLst/>
                    </a:prstGeom>
                  </pic:spPr>
                </pic:pic>
              </a:graphicData>
            </a:graphic>
          </wp:inline>
        </w:drawing>
      </w:r>
    </w:p>
    <w:sdt>
      <w:sdtPr>
        <w:tag w:val="goog_rdk_371"/>
        <w:id w:val="246081159"/>
      </w:sdtPr>
      <w:sdtEndPr/>
      <w:sdtContent>
        <w:p w:rsidR="00565603" w:rsidRDefault="00565603" w:rsidP="00565603">
          <w:pPr>
            <w:spacing w:line="240" w:lineRule="auto"/>
            <w:ind w:hanging="2"/>
            <w:rPr>
              <w:rFonts w:ascii="Palatino Linotype" w:eastAsia="Palatino Linotype" w:hAnsi="Palatino Linotype" w:cs="Palatino Linotype"/>
              <w:sz w:val="18"/>
              <w:szCs w:val="18"/>
            </w:rPr>
          </w:pPr>
          <w:r w:rsidRPr="00565603">
            <w:rPr>
              <w:rFonts w:ascii="Palatino Linotype" w:eastAsia="Palatino Linotype" w:hAnsi="Palatino Linotype" w:cs="Palatino Linotype"/>
              <w:b/>
              <w:sz w:val="18"/>
              <w:szCs w:val="18"/>
            </w:rPr>
            <w:t>Figure S3</w:t>
          </w:r>
          <w:r>
            <w:rPr>
              <w:rFonts w:ascii="Palatino Linotype" w:eastAsia="Palatino Linotype" w:hAnsi="Palatino Linotype" w:cs="Palatino Linotype"/>
              <w:sz w:val="18"/>
              <w:szCs w:val="18"/>
            </w:rPr>
            <w:t>. Boxplot of the relative log expression (RLE) pre and post (</w:t>
          </w:r>
          <w:proofErr w:type="spellStart"/>
          <w:r>
            <w:rPr>
              <w:rFonts w:ascii="Palatino Linotype" w:eastAsia="Palatino Linotype" w:hAnsi="Palatino Linotype" w:cs="Palatino Linotype"/>
              <w:sz w:val="18"/>
              <w:szCs w:val="18"/>
            </w:rPr>
            <w:t>EDAseq</w:t>
          </w:r>
          <w:proofErr w:type="spellEnd"/>
          <w:r>
            <w:rPr>
              <w:rFonts w:ascii="Palatino Linotype" w:eastAsia="Palatino Linotype" w:hAnsi="Palatino Linotype" w:cs="Palatino Linotype"/>
              <w:sz w:val="18"/>
              <w:szCs w:val="18"/>
            </w:rPr>
            <w:t>) normalization. A shows the relative log expression (RLE) without normalization. There are differences in RLE between TCGA (GC (purple) and gNAT (orange)) samples and GTEx healthy samples (green) while in B, after normalization, no apparent differences observed</w:t>
          </w:r>
        </w:p>
      </w:sdtContent>
    </w:sdt>
    <w:p w:rsidR="00565603" w:rsidRDefault="00565603" w:rsidP="00565603"/>
    <w:p w:rsidR="00565603" w:rsidRDefault="00405A3E" w:rsidP="00565603">
      <w:r>
        <w:rPr>
          <w:noProof/>
        </w:rPr>
        <w:drawing>
          <wp:inline distT="0" distB="0" distL="0" distR="0" wp14:anchorId="1FA58203" wp14:editId="2B79679C">
            <wp:extent cx="6127956" cy="3448050"/>
            <wp:effectExtent l="0" t="0" r="635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apositiva10.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138075" cy="3453744"/>
                    </a:xfrm>
                    <a:prstGeom prst="rect">
                      <a:avLst/>
                    </a:prstGeom>
                  </pic:spPr>
                </pic:pic>
              </a:graphicData>
            </a:graphic>
          </wp:inline>
        </w:drawing>
      </w:r>
    </w:p>
    <w:sdt>
      <w:sdtPr>
        <w:tag w:val="goog_rdk_372"/>
        <w:id w:val="708766319"/>
      </w:sdtPr>
      <w:sdtEndPr/>
      <w:sdtContent>
        <w:p w:rsidR="00565603" w:rsidRDefault="00565603" w:rsidP="00565603">
          <w:pPr>
            <w:spacing w:line="240" w:lineRule="auto"/>
            <w:ind w:left="-2"/>
            <w:rPr>
              <w:rFonts w:ascii="Palatino Linotype" w:eastAsia="Palatino Linotype" w:hAnsi="Palatino Linotype" w:cs="Palatino Linotype"/>
              <w:sz w:val="18"/>
              <w:szCs w:val="18"/>
            </w:rPr>
          </w:pPr>
          <w:r w:rsidRPr="00565603">
            <w:rPr>
              <w:rFonts w:ascii="Palatino Linotype" w:eastAsia="Palatino Linotype" w:hAnsi="Palatino Linotype" w:cs="Palatino Linotype"/>
              <w:b/>
              <w:sz w:val="18"/>
              <w:szCs w:val="18"/>
            </w:rPr>
            <w:t>Figure S4</w:t>
          </w:r>
          <w:r>
            <w:rPr>
              <w:rFonts w:ascii="Palatino Linotype" w:eastAsia="Palatino Linotype" w:hAnsi="Palatino Linotype" w:cs="Palatino Linotype"/>
              <w:sz w:val="18"/>
              <w:szCs w:val="18"/>
            </w:rPr>
            <w:t>. KEGG enrichment of the vascular smooth muscle contraction pathway (hsa04270) using genes up-regulated in normal muscular vs normal mucosa</w:t>
          </w:r>
        </w:p>
      </w:sdtContent>
    </w:sdt>
    <w:p w:rsidR="00565603" w:rsidRDefault="006320FC" w:rsidP="00565603">
      <w:r>
        <w:rPr>
          <w:noProof/>
        </w:rPr>
        <w:lastRenderedPageBreak/>
        <w:drawing>
          <wp:inline distT="0" distB="0" distL="0" distR="0">
            <wp:extent cx="6332220" cy="356298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iapositiva1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p w:rsidR="00565603" w:rsidRDefault="00565603" w:rsidP="00565603">
      <w:pPr>
        <w:rPr>
          <w:noProof/>
        </w:rPr>
      </w:pPr>
      <w:r w:rsidRPr="00565603">
        <w:rPr>
          <w:rFonts w:ascii="Palatino Linotype" w:eastAsia="Palatino Linotype" w:hAnsi="Palatino Linotype" w:cs="Palatino Linotype"/>
          <w:b/>
          <w:sz w:val="18"/>
          <w:szCs w:val="18"/>
        </w:rPr>
        <w:t>Figure S5</w:t>
      </w:r>
      <w:r>
        <w:rPr>
          <w:rFonts w:ascii="Palatino Linotype" w:eastAsia="Palatino Linotype" w:hAnsi="Palatino Linotype" w:cs="Palatino Linotype"/>
          <w:sz w:val="18"/>
          <w:szCs w:val="18"/>
        </w:rPr>
        <w:t xml:space="preserve"> KEGG enrichment of the gastric acid secretion pathway (hsa04971) using genes </w:t>
      </w:r>
      <w:proofErr w:type="gramStart"/>
      <w:r>
        <w:rPr>
          <w:rFonts w:ascii="Palatino Linotype" w:eastAsia="Palatino Linotype" w:hAnsi="Palatino Linotype" w:cs="Palatino Linotype"/>
          <w:sz w:val="18"/>
          <w:szCs w:val="18"/>
        </w:rPr>
        <w:t>up-regulated</w:t>
      </w:r>
      <w:proofErr w:type="gramEnd"/>
      <w:r>
        <w:rPr>
          <w:rFonts w:ascii="Palatino Linotype" w:eastAsia="Palatino Linotype" w:hAnsi="Palatino Linotype" w:cs="Palatino Linotype"/>
          <w:sz w:val="18"/>
          <w:szCs w:val="18"/>
        </w:rPr>
        <w:t xml:space="preserve"> in normal mucosa vs normal muscular</w:t>
      </w:r>
      <w:r>
        <w:rPr>
          <w:noProof/>
        </w:rPr>
        <w:t xml:space="preserve"> </w:t>
      </w:r>
      <w:r w:rsidR="006320FC">
        <w:rPr>
          <w:noProof/>
        </w:rPr>
        <w:drawing>
          <wp:inline distT="0" distB="0" distL="0" distR="0">
            <wp:extent cx="6332220" cy="3562985"/>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apositiva1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sdt>
      <w:sdtPr>
        <w:tag w:val="goog_rdk_374"/>
        <w:id w:val="-2132935753"/>
      </w:sdtPr>
      <w:sdtEndPr/>
      <w:sdtContent>
        <w:p w:rsidR="00565603" w:rsidRDefault="00565603" w:rsidP="00565603">
          <w:pPr>
            <w:spacing w:line="240" w:lineRule="auto"/>
            <w:ind w:hanging="2"/>
            <w:rPr>
              <w:rFonts w:ascii="Palatino Linotype" w:eastAsia="Palatino Linotype" w:hAnsi="Palatino Linotype" w:cs="Palatino Linotype"/>
              <w:sz w:val="18"/>
              <w:szCs w:val="18"/>
            </w:rPr>
          </w:pPr>
          <w:r>
            <w:rPr>
              <w:rFonts w:ascii="Palatino Linotype" w:eastAsia="Palatino Linotype" w:hAnsi="Palatino Linotype" w:cs="Palatino Linotype"/>
              <w:b/>
              <w:sz w:val="18"/>
              <w:szCs w:val="18"/>
            </w:rPr>
            <w:t>Figure S6.</w:t>
          </w:r>
          <w:r>
            <w:rPr>
              <w:rFonts w:ascii="Palatino Linotype" w:eastAsia="Palatino Linotype" w:hAnsi="Palatino Linotype" w:cs="Palatino Linotype"/>
              <w:sz w:val="18"/>
              <w:szCs w:val="18"/>
            </w:rPr>
            <w:t xml:space="preserve"> Heat map of the top 900 DEGs between normal mucosa vs normal muscular samples. </w:t>
          </w:r>
          <w:proofErr w:type="gramStart"/>
          <w:r>
            <w:rPr>
              <w:rFonts w:ascii="Palatino Linotype" w:eastAsia="Palatino Linotype" w:hAnsi="Palatino Linotype" w:cs="Palatino Linotype"/>
              <w:sz w:val="18"/>
              <w:szCs w:val="18"/>
            </w:rPr>
            <w:t>log2FCs</w:t>
          </w:r>
          <w:proofErr w:type="gramEnd"/>
          <w:r>
            <w:rPr>
              <w:rFonts w:ascii="Palatino Linotype" w:eastAsia="Palatino Linotype" w:hAnsi="Palatino Linotype" w:cs="Palatino Linotype"/>
              <w:sz w:val="18"/>
              <w:szCs w:val="18"/>
            </w:rPr>
            <w:t xml:space="preserve"> in red-green color scale. In legend, above the HM, normal mucosa in cyan while normal muscular in red</w:t>
          </w:r>
        </w:p>
      </w:sdtContent>
    </w:sdt>
    <w:p w:rsidR="00565603" w:rsidRDefault="006320FC" w:rsidP="00565603">
      <w:r>
        <w:rPr>
          <w:noProof/>
        </w:rPr>
        <w:lastRenderedPageBreak/>
        <w:drawing>
          <wp:inline distT="0" distB="0" distL="0" distR="0">
            <wp:extent cx="5905500" cy="332288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iapositiva1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10879" cy="3325907"/>
                    </a:xfrm>
                    <a:prstGeom prst="rect">
                      <a:avLst/>
                    </a:prstGeom>
                  </pic:spPr>
                </pic:pic>
              </a:graphicData>
            </a:graphic>
          </wp:inline>
        </w:drawing>
      </w:r>
    </w:p>
    <w:sdt>
      <w:sdtPr>
        <w:tag w:val="goog_rdk_375"/>
        <w:id w:val="295958413"/>
      </w:sdtPr>
      <w:sdtEndPr/>
      <w:sdtContent>
        <w:p w:rsidR="00565603" w:rsidRDefault="00565603" w:rsidP="00565603">
          <w:pPr>
            <w:spacing w:line="240" w:lineRule="auto"/>
            <w:ind w:hanging="2"/>
            <w:rPr>
              <w:rFonts w:ascii="Palatino Linotype" w:eastAsia="Palatino Linotype" w:hAnsi="Palatino Linotype" w:cs="Palatino Linotype"/>
              <w:sz w:val="18"/>
              <w:szCs w:val="18"/>
            </w:rPr>
          </w:pPr>
          <w:r>
            <w:rPr>
              <w:rFonts w:ascii="Palatino Linotype" w:eastAsia="Palatino Linotype" w:hAnsi="Palatino Linotype" w:cs="Palatino Linotype"/>
              <w:b/>
              <w:sz w:val="18"/>
              <w:szCs w:val="18"/>
            </w:rPr>
            <w:t>Figure S7.</w:t>
          </w:r>
          <w:r>
            <w:rPr>
              <w:rFonts w:ascii="Palatino Linotype" w:eastAsia="Palatino Linotype" w:hAnsi="Palatino Linotype" w:cs="Palatino Linotype"/>
              <w:sz w:val="18"/>
              <w:szCs w:val="18"/>
            </w:rPr>
            <w:t xml:space="preserve"> Scatter plot of the E_MTAB_1338 paired samples after dimensionality reduction procedure. A) GC in purple, gNAT in orange and normal tissue in green</w:t>
          </w:r>
        </w:p>
      </w:sdtContent>
    </w:sdt>
    <w:p w:rsidR="00565603" w:rsidRDefault="00251768" w:rsidP="00565603">
      <w:r>
        <w:rPr>
          <w:noProof/>
        </w:rPr>
        <w:drawing>
          <wp:inline distT="0" distB="0" distL="0" distR="0">
            <wp:extent cx="6332220" cy="356298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S8.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p w:rsidR="00565603" w:rsidRDefault="00565603" w:rsidP="00565603">
      <w:r>
        <w:rPr>
          <w:rFonts w:ascii="Palatino Linotype" w:eastAsia="Palatino Linotype" w:hAnsi="Palatino Linotype" w:cs="Palatino Linotype"/>
          <w:b/>
          <w:sz w:val="18"/>
          <w:szCs w:val="18"/>
        </w:rPr>
        <w:t>Figure S8.</w:t>
      </w:r>
      <w:r>
        <w:rPr>
          <w:rFonts w:ascii="Palatino Linotype" w:eastAsia="Palatino Linotype" w:hAnsi="Palatino Linotype" w:cs="Palatino Linotype"/>
          <w:sz w:val="18"/>
          <w:szCs w:val="18"/>
        </w:rPr>
        <w:t xml:space="preserve"> KEGG pathways enrichment in E_MTAB_1338 database using DEGs between the right-low cluster and the middle-high cluster of normal samples, respectively. A</w:t>
      </w:r>
      <w:r w:rsidR="00251768">
        <w:rPr>
          <w:rFonts w:ascii="Palatino Linotype" w:eastAsia="Palatino Linotype" w:hAnsi="Palatino Linotype" w:cs="Palatino Linotype"/>
          <w:sz w:val="18"/>
          <w:szCs w:val="18"/>
        </w:rPr>
        <w:t>)</w:t>
      </w:r>
      <w:r>
        <w:rPr>
          <w:rFonts w:ascii="Palatino Linotype" w:eastAsia="Palatino Linotype" w:hAnsi="Palatino Linotype" w:cs="Palatino Linotype"/>
          <w:sz w:val="18"/>
          <w:szCs w:val="18"/>
        </w:rPr>
        <w:t xml:space="preserve"> Gastric acid secretion pathway (hsa04971). B</w:t>
      </w:r>
      <w:r w:rsidR="00251768">
        <w:rPr>
          <w:rFonts w:ascii="Palatino Linotype" w:eastAsia="Palatino Linotype" w:hAnsi="Palatino Linotype" w:cs="Palatino Linotype"/>
          <w:sz w:val="18"/>
          <w:szCs w:val="18"/>
        </w:rPr>
        <w:t>)</w:t>
      </w:r>
      <w:r>
        <w:rPr>
          <w:rFonts w:ascii="Palatino Linotype" w:eastAsia="Palatino Linotype" w:hAnsi="Palatino Linotype" w:cs="Palatino Linotype"/>
          <w:sz w:val="18"/>
          <w:szCs w:val="18"/>
        </w:rPr>
        <w:t xml:space="preserve"> Vascular smooth muscle contraction pathway (hsa04270</w:t>
      </w:r>
      <w:r w:rsidR="00251768" w:rsidRPr="00251768">
        <w:rPr>
          <w:rFonts w:ascii="Palatino Linotype" w:eastAsia="Palatino Linotype" w:hAnsi="Palatino Linotype" w:cs="Palatino Linotype"/>
          <w:sz w:val="18"/>
          <w:szCs w:val="18"/>
        </w:rPr>
        <w:t>)</w:t>
      </w:r>
      <w:r w:rsidR="00251768">
        <w:rPr>
          <w:rFonts w:ascii="Palatino Linotype" w:eastAsia="Palatino Linotype" w:hAnsi="Palatino Linotype" w:cs="Palatino Linotype"/>
          <w:sz w:val="18"/>
          <w:szCs w:val="18"/>
        </w:rPr>
        <w:t xml:space="preserve">. Only the </w:t>
      </w:r>
      <w:r w:rsidR="00251768">
        <w:rPr>
          <w:rFonts w:ascii="Palatino Linotype" w:eastAsia="Palatino Linotype" w:hAnsi="Palatino Linotype" w:cs="Palatino Linotype"/>
          <w:sz w:val="18"/>
          <w:szCs w:val="18"/>
        </w:rPr>
        <w:t>Gastric acid secretion pathway</w:t>
      </w:r>
      <w:r w:rsidR="00251768">
        <w:rPr>
          <w:rFonts w:ascii="Palatino Linotype" w:eastAsia="Palatino Linotype" w:hAnsi="Palatino Linotype" w:cs="Palatino Linotype"/>
          <w:sz w:val="18"/>
          <w:szCs w:val="18"/>
        </w:rPr>
        <w:t xml:space="preserve"> </w:t>
      </w:r>
      <w:proofErr w:type="gramStart"/>
      <w:r w:rsidR="00251768">
        <w:rPr>
          <w:rFonts w:ascii="Palatino Linotype" w:eastAsia="Palatino Linotype" w:hAnsi="Palatino Linotype" w:cs="Palatino Linotype"/>
          <w:sz w:val="18"/>
          <w:szCs w:val="18"/>
        </w:rPr>
        <w:t>is significantly enriched</w:t>
      </w:r>
      <w:proofErr w:type="gramEnd"/>
      <w:r w:rsidR="00251768">
        <w:rPr>
          <w:rFonts w:ascii="Palatino Linotype" w:eastAsia="Palatino Linotype" w:hAnsi="Palatino Linotype" w:cs="Palatino Linotype"/>
          <w:sz w:val="18"/>
          <w:szCs w:val="18"/>
        </w:rPr>
        <w:t>.</w:t>
      </w:r>
    </w:p>
    <w:p w:rsidR="00565603" w:rsidRDefault="006320FC" w:rsidP="00565603">
      <w:r>
        <w:rPr>
          <w:noProof/>
        </w:rPr>
        <w:drawing>
          <wp:inline distT="0" distB="0" distL="0" distR="0">
            <wp:extent cx="6332220" cy="356298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iapositiva1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sdt>
      <w:sdtPr>
        <w:tag w:val="goog_rdk_377"/>
        <w:id w:val="1317929072"/>
      </w:sdtPr>
      <w:sdtEndPr/>
      <w:sdtContent>
        <w:p w:rsidR="00565603" w:rsidRDefault="00565603" w:rsidP="00565603">
          <w:pPr>
            <w:spacing w:line="240" w:lineRule="auto"/>
            <w:ind w:hanging="2"/>
            <w:rPr>
              <w:rFonts w:ascii="Palatino Linotype" w:eastAsia="Palatino Linotype" w:hAnsi="Palatino Linotype" w:cs="Palatino Linotype"/>
              <w:sz w:val="18"/>
              <w:szCs w:val="18"/>
            </w:rPr>
          </w:pPr>
          <w:r>
            <w:rPr>
              <w:rFonts w:ascii="Palatino Linotype" w:eastAsia="Palatino Linotype" w:hAnsi="Palatino Linotype" w:cs="Palatino Linotype"/>
              <w:b/>
              <w:sz w:val="18"/>
              <w:szCs w:val="18"/>
            </w:rPr>
            <w:t>Figure S9.</w:t>
          </w:r>
          <w:r>
            <w:rPr>
              <w:rFonts w:ascii="Palatino Linotype" w:eastAsia="Palatino Linotype" w:hAnsi="Palatino Linotype" w:cs="Palatino Linotype"/>
              <w:sz w:val="18"/>
              <w:szCs w:val="18"/>
            </w:rPr>
            <w:t xml:space="preserve"> Overlap of the enriched hallmark and GO gene sets; A and B depict the results of the overlap between gNAT vs normal and gNAT vs tumor;  C and D depict the results of the overlap between tumor vs gNAT vs tumor vs normal.</w:t>
          </w:r>
        </w:p>
      </w:sdtContent>
    </w:sdt>
    <w:p w:rsidR="00565603" w:rsidRDefault="00565603" w:rsidP="00565603"/>
    <w:p w:rsidR="00565603" w:rsidRDefault="006320FC" w:rsidP="00565603">
      <w:r>
        <w:rPr>
          <w:noProof/>
        </w:rPr>
        <w:drawing>
          <wp:inline distT="0" distB="0" distL="0" distR="0">
            <wp:extent cx="6134100" cy="3451508"/>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iapositiva16.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36487" cy="3452851"/>
                    </a:xfrm>
                    <a:prstGeom prst="rect">
                      <a:avLst/>
                    </a:prstGeom>
                  </pic:spPr>
                </pic:pic>
              </a:graphicData>
            </a:graphic>
          </wp:inline>
        </w:drawing>
      </w:r>
    </w:p>
    <w:sdt>
      <w:sdtPr>
        <w:tag w:val="goog_rdk_378"/>
        <w:id w:val="126591548"/>
      </w:sdtPr>
      <w:sdtEndPr/>
      <w:sdtContent>
        <w:p w:rsidR="00565603" w:rsidRDefault="00565603" w:rsidP="00565603">
          <w:pPr>
            <w:spacing w:line="240" w:lineRule="auto"/>
            <w:ind w:hanging="2"/>
            <w:rPr>
              <w:rFonts w:ascii="Palatino Linotype" w:eastAsia="Palatino Linotype" w:hAnsi="Palatino Linotype" w:cs="Palatino Linotype"/>
              <w:sz w:val="18"/>
              <w:szCs w:val="18"/>
            </w:rPr>
          </w:pPr>
          <w:r w:rsidRPr="00565603">
            <w:rPr>
              <w:rFonts w:ascii="Palatino Linotype" w:eastAsia="Palatino Linotype" w:hAnsi="Palatino Linotype" w:cs="Palatino Linotype"/>
              <w:b/>
              <w:sz w:val="18"/>
              <w:szCs w:val="18"/>
            </w:rPr>
            <w:t>Figure S10</w:t>
          </w:r>
          <w:r>
            <w:rPr>
              <w:rFonts w:ascii="Palatino Linotype" w:eastAsia="Palatino Linotype" w:hAnsi="Palatino Linotype" w:cs="Palatino Linotype"/>
              <w:b/>
              <w:sz w:val="18"/>
              <w:szCs w:val="18"/>
            </w:rPr>
            <w:t>.</w:t>
          </w:r>
          <w:r>
            <w:rPr>
              <w:rFonts w:ascii="Palatino Linotype" w:eastAsia="Palatino Linotype" w:hAnsi="Palatino Linotype" w:cs="Palatino Linotype"/>
              <w:sz w:val="18"/>
              <w:szCs w:val="18"/>
            </w:rPr>
            <w:t xml:space="preserve"> gene set analysis (GSA) of the GO categories using the DEGs between tumor or gNAT vs each of the other 2 tissues, respectively. Adjusted p-value in red-blue color scale. Gene ratio in dot size scale. Red, blue and green arrows highlight interesting exclusive and common gene sets, respectively.  A) Tumor centered analysis, B) gNAT centered analysis.</w:t>
          </w:r>
        </w:p>
      </w:sdtContent>
    </w:sdt>
    <w:p w:rsidR="00565603" w:rsidRDefault="006320FC" w:rsidP="00565603">
      <w:r>
        <w:rPr>
          <w:noProof/>
        </w:rPr>
        <w:drawing>
          <wp:inline distT="0" distB="0" distL="0" distR="0">
            <wp:extent cx="6332220" cy="3562985"/>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iapositiva18.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p w:rsidR="00405A3E" w:rsidRPr="00966A0B" w:rsidRDefault="00405A3E" w:rsidP="00405A3E">
      <w:pPr>
        <w:spacing w:line="240" w:lineRule="auto"/>
        <w:ind w:hanging="2"/>
        <w:rPr>
          <w:rFonts w:ascii="Palatino Linotype" w:eastAsia="Palatino Linotype" w:hAnsi="Palatino Linotype" w:cs="Palatino Linotype"/>
          <w:sz w:val="18"/>
          <w:szCs w:val="18"/>
        </w:rPr>
      </w:pPr>
      <w:r w:rsidRPr="00405A3E">
        <w:rPr>
          <w:rFonts w:ascii="Palatino Linotype" w:eastAsia="Palatino Linotype" w:hAnsi="Palatino Linotype" w:cs="Palatino Linotype"/>
          <w:b/>
          <w:sz w:val="18"/>
          <w:szCs w:val="18"/>
        </w:rPr>
        <w:t>Figure S11</w:t>
      </w:r>
      <w:r>
        <w:rPr>
          <w:rFonts w:ascii="Palatino Linotype" w:eastAsia="Palatino Linotype" w:hAnsi="Palatino Linotype" w:cs="Palatino Linotype"/>
          <w:b/>
          <w:sz w:val="18"/>
          <w:szCs w:val="18"/>
        </w:rPr>
        <w:t>.</w:t>
      </w:r>
      <w:r w:rsidRPr="00405A3E">
        <w:rPr>
          <w:rFonts w:ascii="Palatino Linotype" w:eastAsia="Palatino Linotype" w:hAnsi="Palatino Linotype" w:cs="Palatino Linotype"/>
          <w:sz w:val="18"/>
          <w:szCs w:val="18"/>
        </w:rPr>
        <w:t xml:space="preserve"> Association of the histological grade with hallmark early and late ER pathways activity in gNAT and tumor</w:t>
      </w:r>
      <w:r>
        <w:rPr>
          <w:noProof/>
        </w:rPr>
        <w:t xml:space="preserve"> </w:t>
      </w:r>
      <w:r w:rsidR="006320FC">
        <w:rPr>
          <w:noProof/>
        </w:rPr>
        <w:drawing>
          <wp:inline distT="0" distB="0" distL="0" distR="0">
            <wp:extent cx="6332220" cy="3562985"/>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iapositiva19.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r w:rsidRPr="00405A3E">
        <w:t xml:space="preserve"> </w:t>
      </w:r>
      <w:sdt>
        <w:sdtPr>
          <w:tag w:val="goog_rdk_382"/>
          <w:id w:val="-484858123"/>
        </w:sdtPr>
        <w:sdtEndPr/>
        <w:sdtContent>
          <w:r w:rsidRPr="00966A0B">
            <w:rPr>
              <w:rFonts w:ascii="Palatino Linotype" w:eastAsia="Palatino Linotype" w:hAnsi="Palatino Linotype" w:cs="Palatino Linotype"/>
              <w:sz w:val="18"/>
              <w:szCs w:val="18"/>
            </w:rPr>
            <w:t xml:space="preserve"> </w:t>
          </w:r>
          <w:r>
            <w:rPr>
              <w:rFonts w:ascii="Palatino Linotype" w:eastAsia="Palatino Linotype" w:hAnsi="Palatino Linotype" w:cs="Palatino Linotype"/>
              <w:b/>
              <w:sz w:val="18"/>
              <w:szCs w:val="18"/>
            </w:rPr>
            <w:t>Figure S12.</w:t>
          </w:r>
          <w:r w:rsidRPr="00966A0B">
            <w:rPr>
              <w:rFonts w:ascii="Palatino Linotype" w:eastAsia="Palatino Linotype" w:hAnsi="Palatino Linotype" w:cs="Palatino Linotype"/>
              <w:sz w:val="18"/>
              <w:szCs w:val="18"/>
            </w:rPr>
            <w:t xml:space="preserve">  Association of JGCA anatomical part (A) and gender (B) with hallmark early and late ER pathways activity in gNAT and GC</w:t>
          </w:r>
        </w:sdtContent>
      </w:sdt>
    </w:p>
    <w:p w:rsidR="00405A3E" w:rsidRPr="00966A0B" w:rsidRDefault="006320FC" w:rsidP="00405A3E">
      <w:pPr>
        <w:spacing w:line="240" w:lineRule="auto"/>
        <w:ind w:hanging="2"/>
        <w:rPr>
          <w:rFonts w:ascii="Palatino Linotype" w:eastAsia="Palatino Linotype" w:hAnsi="Palatino Linotype" w:cs="Palatino Linotype"/>
          <w:sz w:val="18"/>
          <w:szCs w:val="18"/>
        </w:rPr>
      </w:pPr>
      <w:r>
        <w:rPr>
          <w:noProof/>
        </w:rPr>
        <w:drawing>
          <wp:inline distT="0" distB="0" distL="0" distR="0">
            <wp:extent cx="6332220" cy="3562985"/>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iapositiva20.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r w:rsidR="00405A3E" w:rsidRPr="00405A3E">
        <w:t xml:space="preserve"> </w:t>
      </w:r>
      <w:sdt>
        <w:sdtPr>
          <w:tag w:val="goog_rdk_383"/>
          <w:id w:val="1914741350"/>
        </w:sdtPr>
        <w:sdtEndPr/>
        <w:sdtContent>
          <w:r w:rsidR="00405A3E">
            <w:rPr>
              <w:rFonts w:ascii="Palatino Linotype" w:eastAsia="Palatino Linotype" w:hAnsi="Palatino Linotype" w:cs="Palatino Linotype"/>
              <w:b/>
              <w:sz w:val="18"/>
              <w:szCs w:val="18"/>
            </w:rPr>
            <w:t>Figure S13.</w:t>
          </w:r>
          <w:r w:rsidR="00405A3E" w:rsidRPr="00966A0B">
            <w:rPr>
              <w:rFonts w:ascii="Palatino Linotype" w:eastAsia="Palatino Linotype" w:hAnsi="Palatino Linotype" w:cs="Palatino Linotype"/>
              <w:sz w:val="18"/>
              <w:szCs w:val="18"/>
            </w:rPr>
            <w:t xml:space="preserve">  Association of therapy tissue type and grade with hallmark late ER pathway activity according to gender (A) or JCGA anatomical site (B), respectively</w:t>
          </w:r>
        </w:sdtContent>
      </w:sdt>
    </w:p>
    <w:p w:rsidR="003A738F" w:rsidRDefault="00405A3E" w:rsidP="00405A3E">
      <w:r>
        <w:rPr>
          <w:noProof/>
        </w:rPr>
        <w:t xml:space="preserve"> </w:t>
      </w:r>
      <w:r w:rsidR="006320FC">
        <w:rPr>
          <w:noProof/>
        </w:rPr>
        <w:drawing>
          <wp:inline distT="0" distB="0" distL="0" distR="0">
            <wp:extent cx="6332220" cy="3562985"/>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iapositiva2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332220" cy="3562985"/>
                    </a:xfrm>
                    <a:prstGeom prst="rect">
                      <a:avLst/>
                    </a:prstGeom>
                  </pic:spPr>
                </pic:pic>
              </a:graphicData>
            </a:graphic>
          </wp:inline>
        </w:drawing>
      </w:r>
    </w:p>
    <w:sdt>
      <w:sdtPr>
        <w:tag w:val="goog_rdk_384"/>
        <w:id w:val="-2077190803"/>
      </w:sdtPr>
      <w:sdtEndPr/>
      <w:sdtContent>
        <w:p w:rsidR="00405A3E" w:rsidRDefault="00405A3E" w:rsidP="00405A3E">
          <w:pPr>
            <w:spacing w:line="240" w:lineRule="auto"/>
            <w:ind w:hanging="2"/>
            <w:rPr>
              <w:rFonts w:ascii="Palatino Linotype" w:eastAsia="Palatino Linotype" w:hAnsi="Palatino Linotype" w:cs="Palatino Linotype"/>
              <w:sz w:val="18"/>
              <w:szCs w:val="18"/>
            </w:rPr>
          </w:pPr>
          <w:r>
            <w:rPr>
              <w:rFonts w:ascii="Palatino Linotype" w:eastAsia="Palatino Linotype" w:hAnsi="Palatino Linotype" w:cs="Palatino Linotype"/>
              <w:b/>
              <w:sz w:val="18"/>
              <w:szCs w:val="18"/>
            </w:rPr>
            <w:t>Figure S14.</w:t>
          </w:r>
          <w:r>
            <w:rPr>
              <w:rFonts w:ascii="Palatino Linotype" w:eastAsia="Palatino Linotype" w:hAnsi="Palatino Linotype" w:cs="Palatino Linotype"/>
              <w:sz w:val="18"/>
              <w:szCs w:val="18"/>
            </w:rPr>
            <w:t xml:space="preserve"> </w:t>
          </w:r>
          <w:bookmarkStart w:id="0" w:name="_GoBack"/>
          <w:bookmarkEnd w:id="0"/>
          <w:r w:rsidR="00AD2727">
            <w:rPr>
              <w:rFonts w:ascii="Palatino Linotype" w:eastAsia="Palatino Linotype" w:hAnsi="Palatino Linotype" w:cs="Palatino Linotype"/>
              <w:sz w:val="18"/>
              <w:szCs w:val="18"/>
            </w:rPr>
            <w:t>Multidimensional</w:t>
          </w:r>
          <w:r>
            <w:rPr>
              <w:rFonts w:ascii="Palatino Linotype" w:eastAsia="Palatino Linotype" w:hAnsi="Palatino Linotype" w:cs="Palatino Linotype"/>
              <w:sz w:val="18"/>
              <w:szCs w:val="18"/>
            </w:rPr>
            <w:t xml:space="preserve"> scaling plot of the RNA samples in which distances correspond to leading log-fold-changes between each pair of RNA samples. Tumor in purple, gNAT in orange, labels represents the name of the samples.</w:t>
          </w:r>
        </w:p>
      </w:sdtContent>
    </w:sdt>
    <w:p w:rsidR="006320FC" w:rsidRDefault="006320FC"/>
    <w:p w:rsidR="006320FC" w:rsidRPr="007B389D" w:rsidRDefault="006320FC" w:rsidP="006320FC">
      <w:pPr>
        <w:spacing w:line="240" w:lineRule="auto"/>
        <w:ind w:hanging="2"/>
      </w:pPr>
      <w:r w:rsidRPr="007B389D">
        <w:rPr>
          <w:rFonts w:ascii="Arial" w:hAnsi="Arial" w:cs="Arial"/>
          <w:b/>
          <w:bCs/>
          <w:color w:val="333333"/>
          <w:sz w:val="20"/>
          <w:szCs w:val="20"/>
          <w:shd w:val="clear" w:color="auto" w:fill="FFFFFF"/>
        </w:rPr>
        <w:t>Table S1</w:t>
      </w:r>
      <w:r w:rsidRPr="007B389D">
        <w:rPr>
          <w:rFonts w:ascii="Arial" w:hAnsi="Arial" w:cs="Arial"/>
          <w:bCs/>
          <w:color w:val="333333"/>
          <w:sz w:val="20"/>
          <w:szCs w:val="20"/>
          <w:shd w:val="clear" w:color="auto" w:fill="FFFFFF"/>
        </w:rPr>
        <w:t>. Summary of the differentially expressed genes among adjacent, normal and tumor samples.</w:t>
      </w:r>
    </w:p>
    <w:tbl>
      <w:tblPr>
        <w:tblStyle w:val="MDPI41threelinetablePIE"/>
        <w:tblW w:w="9972" w:type="dxa"/>
        <w:tblBorders>
          <w:top w:val="single" w:sz="12" w:space="0" w:color="auto"/>
        </w:tblBorders>
        <w:tblLook w:val="04A0" w:firstRow="1" w:lastRow="0" w:firstColumn="1" w:lastColumn="0" w:noHBand="0" w:noVBand="1"/>
      </w:tblPr>
      <w:tblGrid>
        <w:gridCol w:w="3535"/>
        <w:gridCol w:w="1121"/>
        <w:gridCol w:w="2423"/>
        <w:gridCol w:w="2893"/>
      </w:tblGrid>
      <w:tr w:rsidR="006320FC" w:rsidRPr="007B389D" w:rsidTr="005F1E9F">
        <w:trPr>
          <w:trHeight w:val="435"/>
        </w:trPr>
        <w:tc>
          <w:tcPr>
            <w:tcW w:w="0" w:type="auto"/>
            <w:vAlign w:val="center"/>
            <w:hideMark/>
          </w:tcPr>
          <w:p w:rsidR="006320FC" w:rsidRPr="007B389D" w:rsidRDefault="006320FC" w:rsidP="005F1E9F">
            <w:pPr>
              <w:suppressAutoHyphens w:val="0"/>
              <w:spacing w:line="240" w:lineRule="auto"/>
              <w:ind w:leftChars="0" w:left="0" w:firstLineChars="0" w:firstLine="0"/>
              <w:jc w:val="left"/>
              <w:textDirection w:val="lrTb"/>
              <w:textAlignment w:val="auto"/>
              <w:outlineLvl w:val="9"/>
              <w:rPr>
                <w:color w:val="auto"/>
                <w:position w:val="0"/>
              </w:rPr>
            </w:pPr>
          </w:p>
        </w:tc>
        <w:tc>
          <w:tcPr>
            <w:tcW w:w="0" w:type="auto"/>
            <w:vAlign w:val="center"/>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b/>
                <w:bCs/>
                <w:color w:val="333333"/>
                <w:position w:val="0"/>
                <w:sz w:val="20"/>
                <w:szCs w:val="20"/>
                <w:shd w:val="clear" w:color="auto" w:fill="FFFFFF"/>
              </w:rPr>
              <w:t>TOT</w:t>
            </w:r>
          </w:p>
        </w:tc>
        <w:tc>
          <w:tcPr>
            <w:tcW w:w="0" w:type="auto"/>
            <w:vAlign w:val="center"/>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b/>
                <w:bCs/>
                <w:color w:val="333333"/>
                <w:position w:val="0"/>
                <w:sz w:val="20"/>
                <w:szCs w:val="20"/>
                <w:shd w:val="clear" w:color="auto" w:fill="FFFFFF"/>
              </w:rPr>
              <w:t>up-regulated</w:t>
            </w:r>
          </w:p>
        </w:tc>
        <w:tc>
          <w:tcPr>
            <w:tcW w:w="0" w:type="auto"/>
            <w:vAlign w:val="center"/>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b/>
                <w:bCs/>
                <w:color w:val="333333"/>
                <w:position w:val="0"/>
                <w:sz w:val="20"/>
                <w:szCs w:val="20"/>
                <w:shd w:val="clear" w:color="auto" w:fill="FFFFFF"/>
              </w:rPr>
              <w:t>down-regulated</w:t>
            </w:r>
          </w:p>
        </w:tc>
      </w:tr>
      <w:tr w:rsidR="006320FC" w:rsidRPr="00C8748D" w:rsidTr="005F1E9F">
        <w:tc>
          <w:tcPr>
            <w:tcW w:w="0" w:type="auto"/>
            <w:hideMark/>
          </w:tcPr>
          <w:p w:rsidR="006320FC" w:rsidRPr="007B389D" w:rsidRDefault="006320FC" w:rsidP="005F1E9F">
            <w:pPr>
              <w:suppressAutoHyphens w:val="0"/>
              <w:spacing w:line="240" w:lineRule="auto"/>
              <w:ind w:leftChars="0" w:left="0" w:firstLineChars="0" w:firstLine="0"/>
              <w:jc w:val="left"/>
              <w:textDirection w:val="lrTb"/>
              <w:textAlignment w:val="auto"/>
              <w:outlineLvl w:val="9"/>
              <w:rPr>
                <w:color w:val="auto"/>
                <w:position w:val="0"/>
              </w:rPr>
            </w:pPr>
            <w:r w:rsidRPr="007B389D">
              <w:rPr>
                <w:rFonts w:ascii="Arial" w:hAnsi="Arial" w:cs="Arial"/>
                <w:b/>
                <w:bCs/>
                <w:color w:val="333333"/>
                <w:position w:val="0"/>
                <w:sz w:val="20"/>
                <w:szCs w:val="20"/>
                <w:shd w:val="clear" w:color="auto" w:fill="FFFFFF"/>
              </w:rPr>
              <w:t>Adjacent vs Normal</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color w:val="333333"/>
                <w:position w:val="0"/>
                <w:sz w:val="20"/>
                <w:szCs w:val="20"/>
                <w:shd w:val="clear" w:color="auto" w:fill="FFFFFF"/>
              </w:rPr>
              <w:t>5415</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color w:val="333333"/>
                <w:position w:val="0"/>
                <w:sz w:val="20"/>
                <w:szCs w:val="20"/>
                <w:shd w:val="clear" w:color="auto" w:fill="FFFFFF"/>
              </w:rPr>
              <w:t>3711</w:t>
            </w:r>
          </w:p>
        </w:tc>
        <w:tc>
          <w:tcPr>
            <w:tcW w:w="0" w:type="auto"/>
            <w:hideMark/>
          </w:tcPr>
          <w:p w:rsidR="006320FC" w:rsidRPr="00C8748D" w:rsidRDefault="006320FC" w:rsidP="005F1E9F">
            <w:pPr>
              <w:suppressAutoHyphens w:val="0"/>
              <w:spacing w:line="240" w:lineRule="auto"/>
              <w:ind w:leftChars="0" w:left="0" w:firstLineChars="0" w:firstLine="0"/>
              <w:textDirection w:val="lrTb"/>
              <w:textAlignment w:val="auto"/>
              <w:outlineLvl w:val="9"/>
              <w:rPr>
                <w:i/>
                <w:color w:val="auto"/>
                <w:position w:val="0"/>
              </w:rPr>
            </w:pPr>
            <w:r w:rsidRPr="007B389D">
              <w:rPr>
                <w:rFonts w:ascii="Arial" w:hAnsi="Arial" w:cs="Arial"/>
                <w:color w:val="333333"/>
                <w:position w:val="0"/>
                <w:sz w:val="20"/>
                <w:szCs w:val="20"/>
                <w:shd w:val="clear" w:color="auto" w:fill="FFFFFF"/>
              </w:rPr>
              <w:t>170</w:t>
            </w:r>
            <w:r w:rsidRPr="00C8748D">
              <w:rPr>
                <w:rFonts w:ascii="Arial" w:hAnsi="Arial" w:cs="Arial"/>
                <w:i/>
                <w:color w:val="333333"/>
                <w:position w:val="0"/>
                <w:sz w:val="20"/>
                <w:szCs w:val="20"/>
                <w:shd w:val="clear" w:color="auto" w:fill="FFFFFF"/>
              </w:rPr>
              <w:t>4</w:t>
            </w:r>
          </w:p>
        </w:tc>
      </w:tr>
      <w:tr w:rsidR="006320FC" w:rsidRPr="007B389D" w:rsidTr="005F1E9F">
        <w:tc>
          <w:tcPr>
            <w:tcW w:w="0" w:type="auto"/>
            <w:hideMark/>
          </w:tcPr>
          <w:p w:rsidR="006320FC" w:rsidRPr="00C8748D" w:rsidRDefault="006320FC" w:rsidP="005F1E9F">
            <w:pPr>
              <w:suppressAutoHyphens w:val="0"/>
              <w:spacing w:line="240" w:lineRule="auto"/>
              <w:ind w:leftChars="0" w:left="0" w:firstLineChars="0" w:firstLine="0"/>
              <w:jc w:val="left"/>
              <w:textDirection w:val="lrTb"/>
              <w:textAlignment w:val="auto"/>
              <w:outlineLvl w:val="9"/>
              <w:rPr>
                <w:b/>
                <w:color w:val="auto"/>
                <w:position w:val="0"/>
              </w:rPr>
            </w:pPr>
            <w:r w:rsidRPr="00C8748D">
              <w:rPr>
                <w:rFonts w:ascii="Arial" w:hAnsi="Arial" w:cs="Arial"/>
                <w:b/>
                <w:bCs/>
                <w:i/>
                <w:color w:val="333333"/>
                <w:position w:val="0"/>
                <w:sz w:val="20"/>
                <w:szCs w:val="20"/>
                <w:shd w:val="clear" w:color="auto" w:fill="FFFFFF"/>
              </w:rPr>
              <w:t>Adjacent vs Tum</w:t>
            </w:r>
            <w:r w:rsidRPr="007B389D">
              <w:rPr>
                <w:rFonts w:ascii="Arial" w:hAnsi="Arial" w:cs="Arial"/>
                <w:b/>
                <w:bCs/>
                <w:color w:val="333333"/>
                <w:position w:val="0"/>
                <w:sz w:val="20"/>
                <w:szCs w:val="20"/>
                <w:shd w:val="clear" w:color="auto" w:fill="FFFFFF"/>
              </w:rPr>
              <w:t>o</w:t>
            </w:r>
            <w:r w:rsidRPr="00C8748D">
              <w:rPr>
                <w:rFonts w:ascii="Arial" w:hAnsi="Arial" w:cs="Arial"/>
                <w:b/>
                <w:bCs/>
                <w:color w:val="333333"/>
                <w:position w:val="0"/>
                <w:sz w:val="20"/>
                <w:szCs w:val="20"/>
                <w:shd w:val="clear" w:color="auto" w:fill="FFFFFF"/>
              </w:rPr>
              <w:t>r</w:t>
            </w:r>
          </w:p>
        </w:tc>
        <w:tc>
          <w:tcPr>
            <w:tcW w:w="0" w:type="auto"/>
            <w:hideMark/>
          </w:tcPr>
          <w:p w:rsidR="006320FC" w:rsidRPr="00C8748D" w:rsidRDefault="006320FC" w:rsidP="005F1E9F">
            <w:pPr>
              <w:suppressAutoHyphens w:val="0"/>
              <w:spacing w:line="240" w:lineRule="auto"/>
              <w:ind w:leftChars="0" w:left="0" w:firstLineChars="0" w:firstLine="0"/>
              <w:textDirection w:val="lrTb"/>
              <w:textAlignment w:val="auto"/>
              <w:outlineLvl w:val="9"/>
              <w:rPr>
                <w:i/>
                <w:color w:val="auto"/>
                <w:position w:val="0"/>
              </w:rPr>
            </w:pPr>
            <w:r w:rsidRPr="00C8748D">
              <w:rPr>
                <w:rFonts w:ascii="Arial" w:hAnsi="Arial" w:cs="Arial"/>
                <w:b/>
                <w:color w:val="333333"/>
                <w:position w:val="0"/>
                <w:sz w:val="20"/>
                <w:szCs w:val="20"/>
                <w:shd w:val="clear" w:color="auto" w:fill="FFFFFF"/>
              </w:rPr>
              <w:t>33</w:t>
            </w:r>
            <w:r w:rsidRPr="007B389D">
              <w:rPr>
                <w:rFonts w:ascii="Arial" w:hAnsi="Arial" w:cs="Arial"/>
                <w:color w:val="333333"/>
                <w:position w:val="0"/>
                <w:sz w:val="20"/>
                <w:szCs w:val="20"/>
                <w:shd w:val="clear" w:color="auto" w:fill="FFFFFF"/>
              </w:rPr>
              <w:t>30</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C8748D">
              <w:rPr>
                <w:rFonts w:ascii="Arial" w:hAnsi="Arial" w:cs="Arial"/>
                <w:i/>
                <w:color w:val="333333"/>
                <w:position w:val="0"/>
                <w:sz w:val="20"/>
                <w:szCs w:val="20"/>
                <w:shd w:val="clear" w:color="auto" w:fill="FFFFFF"/>
              </w:rPr>
              <w:t>1</w:t>
            </w:r>
            <w:r w:rsidRPr="007B389D">
              <w:rPr>
                <w:rFonts w:ascii="Arial" w:hAnsi="Arial" w:cs="Arial"/>
                <w:color w:val="333333"/>
                <w:position w:val="0"/>
                <w:sz w:val="20"/>
                <w:szCs w:val="20"/>
                <w:shd w:val="clear" w:color="auto" w:fill="FFFFFF"/>
              </w:rPr>
              <w:t>797</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color w:val="333333"/>
                <w:position w:val="0"/>
                <w:sz w:val="20"/>
                <w:szCs w:val="20"/>
                <w:shd w:val="clear" w:color="auto" w:fill="FFFFFF"/>
              </w:rPr>
              <w:t>1533</w:t>
            </w:r>
          </w:p>
        </w:tc>
      </w:tr>
      <w:tr w:rsidR="006320FC" w:rsidRPr="007B389D" w:rsidTr="005F1E9F">
        <w:tc>
          <w:tcPr>
            <w:tcW w:w="0" w:type="auto"/>
            <w:hideMark/>
          </w:tcPr>
          <w:p w:rsidR="006320FC" w:rsidRPr="007B389D" w:rsidRDefault="006320FC" w:rsidP="005F1E9F">
            <w:pPr>
              <w:suppressAutoHyphens w:val="0"/>
              <w:spacing w:line="240" w:lineRule="auto"/>
              <w:ind w:leftChars="0" w:left="0" w:firstLineChars="0" w:firstLine="0"/>
              <w:jc w:val="left"/>
              <w:textDirection w:val="lrTb"/>
              <w:textAlignment w:val="auto"/>
              <w:outlineLvl w:val="9"/>
              <w:rPr>
                <w:color w:val="auto"/>
                <w:position w:val="0"/>
              </w:rPr>
            </w:pPr>
            <w:r w:rsidRPr="007B389D">
              <w:rPr>
                <w:rFonts w:ascii="Arial" w:hAnsi="Arial" w:cs="Arial"/>
                <w:b/>
                <w:bCs/>
                <w:color w:val="333333"/>
                <w:position w:val="0"/>
                <w:sz w:val="20"/>
                <w:szCs w:val="20"/>
                <w:shd w:val="clear" w:color="auto" w:fill="FFFFFF"/>
              </w:rPr>
              <w:t>Tumor vs Normal</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color w:val="333333"/>
                <w:position w:val="0"/>
                <w:sz w:val="20"/>
                <w:szCs w:val="20"/>
                <w:shd w:val="clear" w:color="auto" w:fill="FFFFFF"/>
              </w:rPr>
              <w:t>5248</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color w:val="333333"/>
                <w:position w:val="0"/>
                <w:sz w:val="20"/>
                <w:szCs w:val="20"/>
                <w:shd w:val="clear" w:color="auto" w:fill="FFFFFF"/>
              </w:rPr>
              <w:t>3646</w:t>
            </w:r>
          </w:p>
        </w:tc>
        <w:tc>
          <w:tcPr>
            <w:tcW w:w="0" w:type="auto"/>
            <w:hideMark/>
          </w:tcPr>
          <w:p w:rsidR="006320FC" w:rsidRPr="007B389D" w:rsidRDefault="006320FC" w:rsidP="005F1E9F">
            <w:pPr>
              <w:suppressAutoHyphens w:val="0"/>
              <w:spacing w:line="240" w:lineRule="auto"/>
              <w:ind w:leftChars="0" w:left="0" w:firstLineChars="0" w:firstLine="0"/>
              <w:textDirection w:val="lrTb"/>
              <w:textAlignment w:val="auto"/>
              <w:outlineLvl w:val="9"/>
              <w:rPr>
                <w:color w:val="auto"/>
                <w:position w:val="0"/>
              </w:rPr>
            </w:pPr>
            <w:r w:rsidRPr="007B389D">
              <w:rPr>
                <w:rFonts w:ascii="Arial" w:hAnsi="Arial" w:cs="Arial"/>
                <w:color w:val="333333"/>
                <w:position w:val="0"/>
                <w:sz w:val="20"/>
                <w:szCs w:val="20"/>
                <w:shd w:val="clear" w:color="auto" w:fill="FFFFFF"/>
              </w:rPr>
              <w:t>1602</w:t>
            </w:r>
          </w:p>
        </w:tc>
      </w:tr>
    </w:tbl>
    <w:p w:rsidR="006320FC" w:rsidRDefault="006320FC" w:rsidP="006320FC">
      <w:pPr>
        <w:spacing w:line="240" w:lineRule="auto"/>
        <w:ind w:hanging="2"/>
        <w:rPr>
          <w:rFonts w:ascii="Palatino Linotype" w:eastAsia="Palatino Linotype" w:hAnsi="Palatino Linotype" w:cs="Palatino Linotype"/>
          <w:sz w:val="18"/>
          <w:szCs w:val="18"/>
        </w:rPr>
      </w:pPr>
    </w:p>
    <w:p w:rsidR="006320FC" w:rsidRDefault="006320FC" w:rsidP="006320FC">
      <w:pPr>
        <w:spacing w:line="240" w:lineRule="auto"/>
        <w:ind w:hanging="2"/>
        <w:rPr>
          <w:rFonts w:ascii="Palatino Linotype" w:hAnsi="Palatino Linotype" w:cs="Arial"/>
          <w:sz w:val="18"/>
          <w:szCs w:val="18"/>
        </w:rPr>
      </w:pPr>
    </w:p>
    <w:sdt>
      <w:sdtPr>
        <w:tag w:val="goog_rdk_389"/>
        <w:id w:val="425550068"/>
      </w:sdtPr>
      <w:sdtEndPr/>
      <w:sdtContent>
        <w:p w:rsidR="00405A3E" w:rsidRDefault="00405A3E" w:rsidP="00405A3E">
          <w:pPr>
            <w:spacing w:line="240" w:lineRule="auto"/>
            <w:ind w:hanging="2"/>
            <w:rPr>
              <w:rFonts w:ascii="Palatino Linotype" w:eastAsia="Palatino Linotype" w:hAnsi="Palatino Linotype" w:cs="Palatino Linotype"/>
              <w:sz w:val="18"/>
              <w:szCs w:val="18"/>
            </w:rPr>
          </w:pPr>
          <w:r>
            <w:rPr>
              <w:rFonts w:ascii="Palatino Linotype" w:eastAsia="Palatino Linotype" w:hAnsi="Palatino Linotype" w:cs="Palatino Linotype"/>
              <w:b/>
              <w:sz w:val="18"/>
              <w:szCs w:val="18"/>
            </w:rPr>
            <w:t xml:space="preserve"> Data S1.</w:t>
          </w:r>
          <w:r>
            <w:rPr>
              <w:rFonts w:ascii="Palatino Linotype" w:eastAsia="Palatino Linotype" w:hAnsi="Palatino Linotype" w:cs="Palatino Linotype"/>
              <w:sz w:val="18"/>
              <w:szCs w:val="18"/>
            </w:rPr>
            <w:t xml:space="preserve"> TCGA DEGs tumor vs adjacent vs normal</w:t>
          </w:r>
        </w:p>
      </w:sdtContent>
    </w:sdt>
    <w:sdt>
      <w:sdtPr>
        <w:tag w:val="goog_rdk_390"/>
        <w:id w:val="-1252115215"/>
      </w:sdtPr>
      <w:sdtEndPr/>
      <w:sdtContent>
        <w:p w:rsidR="00405A3E" w:rsidRDefault="00405A3E" w:rsidP="00405A3E">
          <w:pPr>
            <w:spacing w:line="240" w:lineRule="auto"/>
            <w:ind w:hanging="2"/>
            <w:rPr>
              <w:rFonts w:ascii="Palatino Linotype" w:eastAsia="Palatino Linotype" w:hAnsi="Palatino Linotype" w:cs="Palatino Linotype"/>
              <w:sz w:val="18"/>
              <w:szCs w:val="18"/>
            </w:rPr>
          </w:pPr>
          <w:r>
            <w:rPr>
              <w:rFonts w:ascii="Palatino Linotype" w:eastAsia="Palatino Linotype" w:hAnsi="Palatino Linotype" w:cs="Palatino Linotype"/>
              <w:b/>
              <w:sz w:val="18"/>
              <w:szCs w:val="18"/>
            </w:rPr>
            <w:t xml:space="preserve"> Data S2.</w:t>
          </w:r>
          <w:r>
            <w:rPr>
              <w:rFonts w:ascii="Palatino Linotype" w:eastAsia="Palatino Linotype" w:hAnsi="Palatino Linotype" w:cs="Palatino Linotype"/>
              <w:sz w:val="18"/>
              <w:szCs w:val="18"/>
            </w:rPr>
            <w:t xml:space="preserve"> Enriched hallmark in TCGA gNAT</w:t>
          </w:r>
        </w:p>
      </w:sdtContent>
    </w:sdt>
    <w:bookmarkStart w:id="1" w:name="_heading=h.1fob9te" w:colFirst="0" w:colLast="0" w:displacedByCustomXml="next"/>
    <w:bookmarkEnd w:id="1" w:displacedByCustomXml="next"/>
    <w:sdt>
      <w:sdtPr>
        <w:tag w:val="goog_rdk_391"/>
        <w:id w:val="983885956"/>
      </w:sdtPr>
      <w:sdtEndPr/>
      <w:sdtContent>
        <w:p w:rsidR="00405A3E" w:rsidRDefault="00405A3E" w:rsidP="00405A3E">
          <w:pPr>
            <w:spacing w:line="240" w:lineRule="auto"/>
            <w:ind w:hanging="2"/>
            <w:rPr>
              <w:rFonts w:ascii="Palatino Linotype" w:eastAsia="Palatino Linotype" w:hAnsi="Palatino Linotype" w:cs="Palatino Linotype"/>
              <w:sz w:val="18"/>
              <w:szCs w:val="18"/>
            </w:rPr>
          </w:pPr>
          <w:r w:rsidRPr="00405A3E">
            <w:rPr>
              <w:rFonts w:ascii="Palatino Linotype" w:eastAsia="Palatino Linotype" w:hAnsi="Palatino Linotype" w:cs="Palatino Linotype"/>
              <w:b/>
              <w:sz w:val="18"/>
              <w:szCs w:val="18"/>
            </w:rPr>
            <w:t xml:space="preserve"> </w:t>
          </w:r>
          <w:r>
            <w:rPr>
              <w:rFonts w:ascii="Palatino Linotype" w:eastAsia="Palatino Linotype" w:hAnsi="Palatino Linotype" w:cs="Palatino Linotype"/>
              <w:b/>
              <w:sz w:val="18"/>
              <w:szCs w:val="18"/>
            </w:rPr>
            <w:t>Data S3.</w:t>
          </w:r>
          <w:r>
            <w:rPr>
              <w:rFonts w:ascii="Palatino Linotype" w:eastAsia="Palatino Linotype" w:hAnsi="Palatino Linotype" w:cs="Palatino Linotype"/>
              <w:sz w:val="18"/>
              <w:szCs w:val="18"/>
            </w:rPr>
            <w:t xml:space="preserve"> U</w:t>
          </w:r>
          <w:r w:rsidRPr="00405A3E">
            <w:rPr>
              <w:rFonts w:ascii="Palatino Linotype" w:eastAsia="Palatino Linotype" w:hAnsi="Palatino Linotype" w:cs="Palatino Linotype"/>
              <w:sz w:val="18"/>
              <w:szCs w:val="18"/>
            </w:rPr>
            <w:t>nivariate analysis of the most interesting clinical variables (grade, TNM, anatomic positions, etc.) on the TCGA data</w:t>
          </w:r>
        </w:p>
      </w:sdtContent>
    </w:sdt>
    <w:sdt>
      <w:sdtPr>
        <w:tag w:val="goog_rdk_392"/>
        <w:id w:val="1816611593"/>
      </w:sdtPr>
      <w:sdtEndPr/>
      <w:sdtContent>
        <w:p w:rsidR="00405A3E" w:rsidRPr="000772B1" w:rsidRDefault="00405A3E" w:rsidP="00405A3E">
          <w:pPr>
            <w:ind w:hanging="2"/>
          </w:pPr>
          <w:r>
            <w:rPr>
              <w:rFonts w:ascii="Palatino Linotype" w:eastAsia="Palatino Linotype" w:hAnsi="Palatino Linotype" w:cs="Palatino Linotype"/>
              <w:b/>
              <w:sz w:val="18"/>
              <w:szCs w:val="18"/>
            </w:rPr>
            <w:t xml:space="preserve"> Data S4.</w:t>
          </w:r>
          <w:r>
            <w:rPr>
              <w:rFonts w:ascii="Palatino Linotype" w:eastAsia="Palatino Linotype" w:hAnsi="Palatino Linotype" w:cs="Palatino Linotype"/>
              <w:sz w:val="18"/>
              <w:szCs w:val="18"/>
            </w:rPr>
            <w:t xml:space="preserve"> </w:t>
          </w:r>
          <w:proofErr w:type="spellStart"/>
          <w:proofErr w:type="gramStart"/>
          <w:r>
            <w:rPr>
              <w:rFonts w:ascii="Palatino Linotype" w:eastAsia="Palatino Linotype" w:hAnsi="Palatino Linotype" w:cs="Palatino Linotype"/>
              <w:sz w:val="18"/>
              <w:szCs w:val="18"/>
            </w:rPr>
            <w:t>inHouse</w:t>
          </w:r>
          <w:proofErr w:type="spellEnd"/>
          <w:proofErr w:type="gramEnd"/>
          <w:r>
            <w:rPr>
              <w:rFonts w:ascii="Palatino Linotype" w:eastAsia="Palatino Linotype" w:hAnsi="Palatino Linotype" w:cs="Palatino Linotype"/>
              <w:sz w:val="18"/>
              <w:szCs w:val="18"/>
            </w:rPr>
            <w:t xml:space="preserve"> DEGs in GC vs gNAT</w:t>
          </w:r>
        </w:p>
      </w:sdtContent>
    </w:sdt>
    <w:p w:rsidR="006320FC" w:rsidRDefault="006320FC"/>
    <w:sectPr w:rsidR="006320FC">
      <w:pgSz w:w="12240" w:h="15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20FC"/>
    <w:rsid w:val="00165C82"/>
    <w:rsid w:val="00221496"/>
    <w:rsid w:val="00251768"/>
    <w:rsid w:val="0030422E"/>
    <w:rsid w:val="00405A3E"/>
    <w:rsid w:val="004C5AFA"/>
    <w:rsid w:val="00565603"/>
    <w:rsid w:val="006320FC"/>
    <w:rsid w:val="006506B8"/>
    <w:rsid w:val="008E1436"/>
    <w:rsid w:val="00A775FF"/>
    <w:rsid w:val="00AD2727"/>
    <w:rsid w:val="00B97B66"/>
    <w:rsid w:val="00CD6764"/>
    <w:rsid w:val="00DD34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722CE29-0F5E-48A6-BE0A-9F5071571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MDPI41threelinetablePIE">
    <w:name w:val="MDPI_4.1_three_line_table PIE"/>
    <w:basedOn w:val="Tabellanormale"/>
    <w:rsid w:val="006320FC"/>
    <w:pPr>
      <w:suppressAutoHyphens/>
      <w:adjustRightInd w:val="0"/>
      <w:spacing w:after="0" w:line="1" w:lineRule="atLeast"/>
      <w:ind w:leftChars="-1" w:left="-1" w:hangingChars="1" w:hanging="1"/>
      <w:jc w:val="center"/>
      <w:textDirection w:val="btLr"/>
      <w:textAlignment w:val="top"/>
      <w:outlineLvl w:val="0"/>
    </w:pPr>
    <w:rPr>
      <w:rFonts w:ascii="Palatino Linotype" w:eastAsia="SimSun" w:hAnsi="Palatino Linotype" w:cs="Times New Roman"/>
      <w:color w:val="000000"/>
      <w:position w:val="-1"/>
      <w:sz w:val="24"/>
      <w:szCs w:val="24"/>
    </w:rPr>
    <w:tblPr>
      <w:tblBorders>
        <w:insideH w:val="single" w:sz="8"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8</Pages>
  <Words>511</Words>
  <Characters>2919</Characters>
  <Application>Microsoft Office Word</Application>
  <DocSecurity>0</DocSecurity>
  <Lines>24</Lines>
  <Paragraphs>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3424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Pietro Zoppoli</dc:creator>
  <cp:keywords/>
  <dc:description/>
  <cp:lastModifiedBy>Pietro Zoppoli</cp:lastModifiedBy>
  <cp:revision>5</cp:revision>
  <dcterms:created xsi:type="dcterms:W3CDTF">2019-08-01T15:31:00Z</dcterms:created>
  <dcterms:modified xsi:type="dcterms:W3CDTF">2019-08-02T12:39:00Z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ileId">
    <vt:lpwstr>721570</vt:lpwstr>
  </property>
  <property fmtid="{D5CDD505-2E9C-101B-9397-08002B2CF9AE}" pid="3" name="ProjectId">
    <vt:lpwstr>0</vt:lpwstr>
  </property>
  <property fmtid="{D5CDD505-2E9C-101B-9397-08002B2CF9AE}" pid="4" name="InsertAsFootnote">
    <vt:lpwstr>False</vt:lpwstr>
  </property>
  <property fmtid="{D5CDD505-2E9C-101B-9397-08002B2CF9AE}" pid="5" name="StyleId">
    <vt:lpwstr>http://www.zotero.org/styles/vancouver</vt:lpwstr>
  </property>
</Properties>
</file>