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F6" w:rsidRPr="00B20C04" w:rsidRDefault="00BD07F6" w:rsidP="00BD07F6">
      <w:pPr>
        <w:pStyle w:val="MDPI12title"/>
      </w:pPr>
      <w:r w:rsidRPr="00B20C04">
        <w:t>Deep Sequencing Analysis Reveals Distinctive Non-Coding RNAs When Comparing Tumor Multidrug</w:t>
      </w:r>
      <w:r>
        <w:t>-</w:t>
      </w:r>
      <w:r w:rsidRPr="00B20C04">
        <w:t>Resistant Cells and Extracellular Vesicles with Drug-Sensitive Counterparts</w:t>
      </w:r>
    </w:p>
    <w:p w:rsidR="00BD07F6" w:rsidRPr="00B20C04" w:rsidRDefault="00BD07F6" w:rsidP="00BD07F6">
      <w:pPr>
        <w:pStyle w:val="MDPI13authornames"/>
      </w:pPr>
      <w:r w:rsidRPr="00B20C04">
        <w:t>Diana Sousa</w:t>
      </w:r>
      <w:r>
        <w:t>,</w:t>
      </w:r>
      <w:r w:rsidRPr="00B20C04">
        <w:t xml:space="preserve"> Rune </w:t>
      </w:r>
      <w:proofErr w:type="spellStart"/>
      <w:r w:rsidRPr="00B20C04">
        <w:t>Matthiesen</w:t>
      </w:r>
      <w:proofErr w:type="spellEnd"/>
      <w:r w:rsidRPr="00B20C04">
        <w:t xml:space="preserve">, </w:t>
      </w:r>
      <w:r w:rsidRPr="0065019A">
        <w:t xml:space="preserve">Raquel T. Lima and M. Helena </w:t>
      </w:r>
      <w:proofErr w:type="spellStart"/>
      <w:r w:rsidRPr="0065019A">
        <w:t>Vasconcelos</w:t>
      </w:r>
      <w:proofErr w:type="spellEnd"/>
    </w:p>
    <w:p w:rsidR="00DD2F32" w:rsidRPr="00BD07F6" w:rsidRDefault="00DD2F32" w:rsidP="00BD07F6">
      <w:pPr>
        <w:pStyle w:val="MDPI61Supplementary"/>
        <w:adjustRightInd w:val="0"/>
        <w:snapToGrid w:val="0"/>
        <w:spacing w:line="240" w:lineRule="auto"/>
        <w:rPr>
          <w:b/>
          <w:color w:val="auto"/>
          <w:szCs w:val="18"/>
        </w:rPr>
      </w:pPr>
      <w:r w:rsidRPr="00BD07F6">
        <w:rPr>
          <w:b/>
          <w:color w:val="auto"/>
          <w:szCs w:val="18"/>
        </w:rPr>
        <w:t>Supplementary Materials:</w:t>
      </w:r>
      <w:r w:rsidRPr="00BD07F6">
        <w:rPr>
          <w:color w:val="auto"/>
          <w:szCs w:val="18"/>
        </w:rPr>
        <w:t xml:space="preserve"> </w:t>
      </w:r>
    </w:p>
    <w:p w:rsidR="00DD2F32" w:rsidRPr="00BD07F6" w:rsidRDefault="00DD2F32" w:rsidP="00BD07F6">
      <w:pPr>
        <w:adjustRightInd w:val="0"/>
        <w:snapToGrid w:val="0"/>
        <w:spacing w:line="240" w:lineRule="auto"/>
        <w:rPr>
          <w:rFonts w:ascii="Palatino Linotype" w:hAnsi="Palatino Linotype" w:cstheme="minorHAnsi"/>
          <w:b/>
          <w:bCs/>
          <w:color w:val="auto"/>
          <w:sz w:val="18"/>
          <w:szCs w:val="18"/>
        </w:rPr>
      </w:pPr>
      <w:r w:rsidRPr="00BD07F6">
        <w:rPr>
          <w:rFonts w:ascii="Palatino Linotype" w:hAnsi="Palatino Linotype" w:cstheme="minorHAnsi"/>
          <w:b/>
          <w:bCs/>
          <w:color w:val="auto"/>
          <w:sz w:val="18"/>
          <w:szCs w:val="18"/>
        </w:rPr>
        <w:t>Supplementary Figures:</w:t>
      </w:r>
    </w:p>
    <w:p w:rsidR="00DD2F32" w:rsidRPr="00BD07F6" w:rsidRDefault="00DD2F32" w:rsidP="00BD07F6">
      <w:pPr>
        <w:pStyle w:val="MDPI52figure"/>
        <w:rPr>
          <w:rFonts w:cstheme="minorHAnsi"/>
          <w:color w:val="auto"/>
          <w:sz w:val="18"/>
          <w:szCs w:val="18"/>
        </w:rPr>
      </w:pPr>
      <w:r w:rsidRPr="00BD07F6">
        <w:rPr>
          <w:noProof/>
          <w:lang w:eastAsia="zh-CN" w:bidi="ar-SA"/>
        </w:rPr>
        <mc:AlternateContent>
          <mc:Choice Requires="wpg">
            <w:drawing>
              <wp:inline distT="0" distB="0" distL="0" distR="0" wp14:anchorId="6A8EE798" wp14:editId="0757AA42">
                <wp:extent cx="4178775" cy="2118398"/>
                <wp:effectExtent l="0" t="0" r="12700" b="15240"/>
                <wp:docPr id="1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8775" cy="2118398"/>
                          <a:chOff x="0" y="0"/>
                          <a:chExt cx="4178775" cy="2118398"/>
                        </a:xfrm>
                      </wpg:grpSpPr>
                      <wpg:graphicFrame>
                        <wpg:cNvPr id="20" name="Chart 3"/>
                        <wpg:cNvFrPr/>
                        <wpg:xfrm>
                          <a:off x="0" y="0"/>
                          <a:ext cx="4178775" cy="2118398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g:graphicFrame>
                      <wps:wsp>
                        <wps:cNvPr id="24" name="Rectangle 9"/>
                        <wps:cNvSpPr/>
                        <wps:spPr>
                          <a:xfrm>
                            <a:off x="2140612" y="1957950"/>
                            <a:ext cx="478292" cy="14908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48023F" id="Group 3" o:spid="_x0000_s1026" style="width:329.05pt;height:166.8pt;mso-position-horizontal-relative:char;mso-position-vertical-relative:line" coordsize="41787,21183" o:gfxdata="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3" o:spid="_x0000_s1027" type="#_x0000_t75" style="position:absolute;width:41818;height:212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Egzx&#10;1MEAAADbAAAADwAAAGRycy9kb3ducmV2LnhtbERPz2vCMBS+D/wfwht4m6kVtlKNIsKGeNhQq+dH&#10;80zrmpfSxLb775fDYMeP7/dqM9pG9NT52rGC+SwBQVw6XbNRUJzfXzIQPiBrbByTgh/ysFlPnlaY&#10;azfwkfpTMCKGsM9RQRVCm0vpy4os+plriSN3c53FEGFnpO5wiOG2kWmSvEqLNceGClvaVVR+nx5W&#10;wSGkR/N1u7/5z+Ljmi3k3GwfF6Wmz+N2CSLQGP7Ff+69VpDG9fFL/AFy/Qs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ASDPHUwQAAANsAAAAPAAAAAAAAAAAAAAAAAJsCAABkcnMvZG93&#10;bnJldi54bWxQSwUGAAAAAAQABADzAAAAiQMAAAAA&#10;">
                  <v:imagedata r:id="rId9" o:title=""/>
                  <o:lock v:ext="edit" aspectratio="f"/>
                </v:shape>
                <v:rect id="Rectangle 9" o:spid="_x0000_s1028" style="position:absolute;left:21406;top:19579;width:4783;height:14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TZcUA&#10;AADbAAAADwAAAGRycy9kb3ducmV2LnhtbESPQWsCMRSE74X+h/AKvdWsWqSsRlFRLLQXbUGPj83r&#10;ZunmJSapu/XXN4VCj8PMfMPMFr1txYVCbBwrGA4KEMSV0w3XCt7ftg9PIGJC1tg6JgXfFGExv72Z&#10;Yaldx3u6HFItMoRjiQpMSr6UMlaGLMaB88TZ+3DBYsoy1FIH7DLctnJUFBNpseG8YNDT2lD1efiy&#10;CrzZnbvdRJpQrK7Xzcvr+OSPR6Xu7/rlFESiPv2H/9rPWsHoEX6/5B8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BNlxQAAANsAAAAPAAAAAAAAAAAAAAAAAJgCAABkcnMv&#10;ZG93bnJldi54bWxQSwUGAAAAAAQABAD1AAAAigMAAAAA&#10;" fillcolor="white [3212]" stroked="f" strokeweight=".5pt"/>
                <w10:anchorlock/>
              </v:group>
            </w:pict>
          </mc:Fallback>
        </mc:AlternateContent>
      </w:r>
    </w:p>
    <w:p w:rsidR="00DD2F32" w:rsidRDefault="00BD07F6" w:rsidP="00BD07F6">
      <w:pPr>
        <w:pStyle w:val="MDPI51figurecaption"/>
        <w:rPr>
          <w:lang w:eastAsia="pt-PT"/>
        </w:rPr>
      </w:pPr>
      <w:r w:rsidRPr="00BD07F6">
        <w:rPr>
          <w:b/>
          <w:lang w:eastAsia="pt-PT"/>
        </w:rPr>
        <w:t xml:space="preserve">Figure </w:t>
      </w:r>
      <w:r>
        <w:rPr>
          <w:b/>
          <w:lang w:eastAsia="pt-PT"/>
        </w:rPr>
        <w:t>S</w:t>
      </w:r>
      <w:r w:rsidRPr="00BD07F6">
        <w:rPr>
          <w:b/>
          <w:lang w:eastAsia="pt-PT"/>
        </w:rPr>
        <w:t xml:space="preserve">1. </w:t>
      </w:r>
      <w:r w:rsidR="00DD2F32" w:rsidRPr="00BD07F6">
        <w:rPr>
          <w:lang w:eastAsia="pt-PT"/>
        </w:rPr>
        <w:t xml:space="preserve">Effect of EVs released by MDR cells on the viable cell number of drug-sensitive recipient cells treated with </w:t>
      </w:r>
      <w:proofErr w:type="spellStart"/>
      <w:r w:rsidR="00DD2F32" w:rsidRPr="00BD07F6">
        <w:rPr>
          <w:lang w:eastAsia="pt-PT"/>
        </w:rPr>
        <w:t>doxorrubicin</w:t>
      </w:r>
      <w:proofErr w:type="spellEnd"/>
      <w:r w:rsidR="00DD2F32" w:rsidRPr="00BD07F6">
        <w:rPr>
          <w:lang w:eastAsia="pt-PT"/>
        </w:rPr>
        <w:t>, in the CML model.</w:t>
      </w:r>
      <w:r w:rsidR="00DD2F32" w:rsidRPr="00BD07F6">
        <w:rPr>
          <w:b/>
          <w:lang w:eastAsia="pt-PT"/>
        </w:rPr>
        <w:t xml:space="preserve"> </w:t>
      </w:r>
      <w:r w:rsidR="00DD2F32" w:rsidRPr="00BD07F6">
        <w:rPr>
          <w:lang w:eastAsia="pt-PT"/>
        </w:rPr>
        <w:t xml:space="preserve">Viable cell number of drug-sensitive K562 cells, co-cultured with (grey) or without (black) EVs released by drug-resistant K562Dox cells, following treatment with doxorubicin, determined with the </w:t>
      </w:r>
      <w:proofErr w:type="spellStart"/>
      <w:r w:rsidR="00DD2F32" w:rsidRPr="00BD07F6">
        <w:rPr>
          <w:lang w:eastAsia="pt-PT"/>
        </w:rPr>
        <w:t>trypan</w:t>
      </w:r>
      <w:proofErr w:type="spellEnd"/>
      <w:r w:rsidR="00DD2F32" w:rsidRPr="00BD07F6">
        <w:rPr>
          <w:lang w:eastAsia="pt-PT"/>
        </w:rPr>
        <w:t xml:space="preserve"> blue exclusion assay.</w:t>
      </w:r>
    </w:p>
    <w:tbl>
      <w:tblPr>
        <w:tblStyle w:val="TableGrid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9"/>
      </w:tblGrid>
      <w:tr w:rsidR="00BD07F6" w:rsidTr="00BD07F6">
        <w:tc>
          <w:tcPr>
            <w:tcW w:w="8834" w:type="dxa"/>
          </w:tcPr>
          <w:p w:rsidR="00BD07F6" w:rsidRDefault="00BD07F6" w:rsidP="00BD07F6">
            <w:pPr>
              <w:pStyle w:val="MDPI52figure"/>
              <w:rPr>
                <w:lang w:eastAsia="pt-PT"/>
              </w:rPr>
            </w:pPr>
            <w:r w:rsidRPr="00BD07F6">
              <w:rPr>
                <w:noProof/>
                <w:lang w:eastAsia="zh-CN" w:bidi="ar-SA"/>
              </w:rPr>
              <w:lastRenderedPageBreak/>
              <w:drawing>
                <wp:inline distT="0" distB="0" distL="0" distR="0" wp14:anchorId="646A7C6C" wp14:editId="643426AE">
                  <wp:extent cx="3721100" cy="3714750"/>
                  <wp:effectExtent l="0" t="0" r="0" b="0"/>
                  <wp:docPr id="18" name="Picture 18" descr="C:\Users\dds_d\Desktop\RESUBMISSÂO\Figuras para submeter\SUBMISSÃO\Figure S1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ds_d\Desktop\RESUBMISSÂO\Figuras para submeter\SUBMISSÃO\Figure S1a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2" t="2614" r="5555" b="1798"/>
                          <a:stretch/>
                        </pic:blipFill>
                        <pic:spPr bwMode="auto">
                          <a:xfrm>
                            <a:off x="0" y="0"/>
                            <a:ext cx="3721100" cy="371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7F6" w:rsidTr="00BD07F6">
        <w:tc>
          <w:tcPr>
            <w:tcW w:w="8834" w:type="dxa"/>
          </w:tcPr>
          <w:p w:rsidR="00BD07F6" w:rsidRDefault="00BD07F6" w:rsidP="00BD07F6">
            <w:pPr>
              <w:pStyle w:val="MDPI52figure"/>
              <w:rPr>
                <w:lang w:eastAsia="pt-PT"/>
              </w:rPr>
            </w:pPr>
            <w:r w:rsidRPr="00BD07F6">
              <w:rPr>
                <w:noProof/>
                <w:lang w:eastAsia="zh-CN" w:bidi="ar-SA"/>
              </w:rPr>
              <w:drawing>
                <wp:inline distT="0" distB="0" distL="0" distR="0" wp14:anchorId="7A2E87A0" wp14:editId="661602DA">
                  <wp:extent cx="3790950" cy="3854450"/>
                  <wp:effectExtent l="0" t="0" r="0" b="0"/>
                  <wp:docPr id="21" name="Picture 21" descr="C:\Users\dds_d\Desktop\RESUBMISSÂO\Figuras para submeter\SUBMISSÃO\Figure S1b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ds_d\Desktop\RESUBMISSÂO\Figuras para submeter\SUBMISSÃO\Figure S1b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9" t="2254" r="4321"/>
                          <a:stretch/>
                        </pic:blipFill>
                        <pic:spPr bwMode="auto">
                          <a:xfrm>
                            <a:off x="0" y="0"/>
                            <a:ext cx="3790950" cy="385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F32" w:rsidRDefault="00BD07F6" w:rsidP="00BD07F6">
      <w:pPr>
        <w:pStyle w:val="MDPI51figurecaption"/>
      </w:pPr>
      <w:r w:rsidRPr="00BD07F6">
        <w:rPr>
          <w:b/>
        </w:rPr>
        <w:t xml:space="preserve">Figure </w:t>
      </w:r>
      <w:r w:rsidR="005F07E5">
        <w:rPr>
          <w:b/>
        </w:rPr>
        <w:t>S</w:t>
      </w:r>
      <w:r w:rsidRPr="00BD07F6">
        <w:rPr>
          <w:b/>
        </w:rPr>
        <w:t xml:space="preserve">2. </w:t>
      </w:r>
      <w:r w:rsidR="00DD2F32" w:rsidRPr="00BD07F6">
        <w:t>Multiple dimensional scaling using read counts of all mapped RNA transcripts (</w:t>
      </w:r>
      <w:r w:rsidR="00DD2F32" w:rsidRPr="00BD07F6">
        <w:rPr>
          <w:b/>
        </w:rPr>
        <w:t>a</w:t>
      </w:r>
      <w:r w:rsidR="00DD2F32" w:rsidRPr="00BD07F6">
        <w:t xml:space="preserve">) and all mapped </w:t>
      </w:r>
      <w:proofErr w:type="spellStart"/>
      <w:r w:rsidR="00DD2F32" w:rsidRPr="00BD07F6">
        <w:t>miRs</w:t>
      </w:r>
      <w:proofErr w:type="spellEnd"/>
      <w:r w:rsidR="00DD2F32" w:rsidRPr="00BD07F6">
        <w:t xml:space="preserve"> (</w:t>
      </w:r>
      <w:r w:rsidR="00DD2F32" w:rsidRPr="00BD07F6">
        <w:rPr>
          <w:b/>
        </w:rPr>
        <w:t>b</w:t>
      </w:r>
      <w:r w:rsidR="00DD2F32" w:rsidRPr="00BD07F6">
        <w:t>) as input.</w:t>
      </w:r>
    </w:p>
    <w:tbl>
      <w:tblPr>
        <w:tblStyle w:val="TableGrid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7563"/>
      </w:tblGrid>
      <w:tr w:rsidR="00BD07F6" w:rsidTr="006D340D">
        <w:tc>
          <w:tcPr>
            <w:tcW w:w="846" w:type="dxa"/>
          </w:tcPr>
          <w:p w:rsidR="00BD07F6" w:rsidRDefault="00BD07F6" w:rsidP="00BD07F6">
            <w:pPr>
              <w:pStyle w:val="MDPI51figurecaption"/>
              <w:ind w:left="0"/>
            </w:pPr>
            <w:r>
              <w:lastRenderedPageBreak/>
              <w:t>a)</w:t>
            </w:r>
          </w:p>
        </w:tc>
        <w:tc>
          <w:tcPr>
            <w:tcW w:w="7563" w:type="dxa"/>
          </w:tcPr>
          <w:p w:rsidR="00BD07F6" w:rsidRDefault="00BD07F6" w:rsidP="00BD07F6">
            <w:pPr>
              <w:pStyle w:val="MDPI51figurecaption"/>
              <w:ind w:left="0"/>
            </w:pPr>
            <w:r w:rsidRPr="00BD07F6">
              <w:rPr>
                <w:noProof/>
                <w:lang w:eastAsia="zh-CN" w:bidi="ar-SA"/>
              </w:rPr>
              <w:drawing>
                <wp:inline distT="0" distB="0" distL="0" distR="0" wp14:anchorId="45D96B4D" wp14:editId="40F63C4B">
                  <wp:extent cx="3495675" cy="3386455"/>
                  <wp:effectExtent l="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AmRNA.emf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47"/>
                          <a:stretch/>
                        </pic:blipFill>
                        <pic:spPr bwMode="auto">
                          <a:xfrm>
                            <a:off x="0" y="0"/>
                            <a:ext cx="3495675" cy="3386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07F6" w:rsidTr="006D340D">
        <w:tc>
          <w:tcPr>
            <w:tcW w:w="846" w:type="dxa"/>
          </w:tcPr>
          <w:p w:rsidR="00BD07F6" w:rsidRDefault="00BD07F6" w:rsidP="00BD07F6">
            <w:pPr>
              <w:pStyle w:val="MDPI51figurecaption"/>
              <w:ind w:left="0"/>
            </w:pPr>
            <w:r>
              <w:t>b)</w:t>
            </w:r>
          </w:p>
        </w:tc>
        <w:tc>
          <w:tcPr>
            <w:tcW w:w="7563" w:type="dxa"/>
          </w:tcPr>
          <w:p w:rsidR="00BD07F6" w:rsidRDefault="00BD07F6" w:rsidP="00BD07F6">
            <w:pPr>
              <w:pStyle w:val="MDPI51figurecaption"/>
              <w:ind w:left="0"/>
            </w:pPr>
            <w:r w:rsidRPr="00BD07F6">
              <w:rPr>
                <w:noProof/>
                <w:lang w:eastAsia="zh-CN" w:bidi="ar-SA"/>
              </w:rPr>
              <w:drawing>
                <wp:inline distT="0" distB="0" distL="0" distR="0" wp14:anchorId="31AFC806" wp14:editId="3F995968">
                  <wp:extent cx="3613150" cy="3486150"/>
                  <wp:effectExtent l="0" t="0" r="635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AmiRNA.emf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23"/>
                          <a:stretch/>
                        </pic:blipFill>
                        <pic:spPr bwMode="auto">
                          <a:xfrm>
                            <a:off x="0" y="0"/>
                            <a:ext cx="3613150" cy="3486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F32" w:rsidRPr="00BD07F6" w:rsidRDefault="00BD07F6" w:rsidP="00BD07F6">
      <w:pPr>
        <w:pStyle w:val="MDPI51figurecaption"/>
      </w:pPr>
      <w:r w:rsidRPr="00BD07F6">
        <w:rPr>
          <w:b/>
        </w:rPr>
        <w:t xml:space="preserve">Figure </w:t>
      </w:r>
      <w:r w:rsidR="005F07E5">
        <w:rPr>
          <w:b/>
        </w:rPr>
        <w:t>S</w:t>
      </w:r>
      <w:bookmarkStart w:id="0" w:name="_GoBack"/>
      <w:bookmarkEnd w:id="0"/>
      <w:r w:rsidRPr="00BD07F6">
        <w:rPr>
          <w:b/>
        </w:rPr>
        <w:t xml:space="preserve">3. </w:t>
      </w:r>
      <w:r w:rsidR="00DD2F32" w:rsidRPr="00BD07F6">
        <w:t>Principal Component Analysis using read counts per million of all mapped RNA transcripts (</w:t>
      </w:r>
      <w:r w:rsidR="00DD2F32" w:rsidRPr="00BD07F6">
        <w:rPr>
          <w:b/>
        </w:rPr>
        <w:t>a</w:t>
      </w:r>
      <w:r w:rsidR="00DD2F32" w:rsidRPr="00BD07F6">
        <w:t xml:space="preserve">) and all mapped </w:t>
      </w:r>
      <w:proofErr w:type="spellStart"/>
      <w:r w:rsidR="00DD2F32" w:rsidRPr="00BD07F6">
        <w:t>miRs</w:t>
      </w:r>
      <w:proofErr w:type="spellEnd"/>
      <w:r w:rsidR="00DD2F32" w:rsidRPr="00BD07F6">
        <w:t xml:space="preserve"> (</w:t>
      </w:r>
      <w:r w:rsidR="00DD2F32" w:rsidRPr="00BD07F6">
        <w:rPr>
          <w:b/>
        </w:rPr>
        <w:t>b</w:t>
      </w:r>
      <w:r w:rsidR="00DD2F32" w:rsidRPr="00BD07F6">
        <w:t>) as input.</w:t>
      </w:r>
    </w:p>
    <w:p w:rsidR="00BD07F6" w:rsidRDefault="00DD2F32" w:rsidP="00BD07F6">
      <w:pPr>
        <w:pStyle w:val="MDPI52figure"/>
      </w:pPr>
      <w:r w:rsidRPr="00BD07F6">
        <w:rPr>
          <w:noProof/>
          <w:lang w:eastAsia="zh-CN" w:bidi="ar-SA"/>
        </w:rPr>
        <w:lastRenderedPageBreak/>
        <w:drawing>
          <wp:inline distT="0" distB="0" distL="0" distR="0" wp14:anchorId="18F16377" wp14:editId="7F81815A">
            <wp:extent cx="5054600" cy="2646746"/>
            <wp:effectExtent l="0" t="0" r="0" b="1270"/>
            <wp:docPr id="23" name="Picture 23" descr="C:\Users\dds_d\Desktop\RESUBMISSÂO\Figuras para submeter\SUBMISSÃO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ds_d\Desktop\RESUBMISSÂO\Figuras para submeter\SUBMISSÃO\Figure S2.t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187" cy="265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F32" w:rsidRPr="00BD07F6" w:rsidRDefault="00BD07F6" w:rsidP="00BD07F6">
      <w:pPr>
        <w:pStyle w:val="MDPI51figurecaption"/>
        <w:rPr>
          <w:bCs/>
          <w:lang w:eastAsia="pt-PT"/>
        </w:rPr>
      </w:pPr>
      <w:r w:rsidRPr="00BD07F6">
        <w:rPr>
          <w:b/>
          <w:bCs/>
        </w:rPr>
        <w:t xml:space="preserve">Figure </w:t>
      </w:r>
      <w:r>
        <w:rPr>
          <w:b/>
          <w:bCs/>
        </w:rPr>
        <w:t>S</w:t>
      </w:r>
      <w:r w:rsidRPr="00BD07F6">
        <w:rPr>
          <w:b/>
          <w:bCs/>
        </w:rPr>
        <w:t xml:space="preserve">4. </w:t>
      </w:r>
      <w:r w:rsidR="00DD2F32" w:rsidRPr="00BD07F6">
        <w:t xml:space="preserve">Functional analysis of the possible target mRNAs of the </w:t>
      </w:r>
      <w:proofErr w:type="spellStart"/>
      <w:r w:rsidR="00DD2F32" w:rsidRPr="00BD07F6">
        <w:t>miRs</w:t>
      </w:r>
      <w:proofErr w:type="spellEnd"/>
      <w:r w:rsidR="00DD2F32" w:rsidRPr="00BD07F6">
        <w:t xml:space="preserve"> found significantly altered. The functional analyses were performed by DAVID.</w:t>
      </w:r>
    </w:p>
    <w:p w:rsidR="00DD2F32" w:rsidRPr="00BD07F6" w:rsidRDefault="00DD2F32" w:rsidP="00BD07F6">
      <w:pPr>
        <w:pStyle w:val="MDPI52figure"/>
      </w:pPr>
      <w:r w:rsidRPr="00BD07F6">
        <w:rPr>
          <w:noProof/>
          <w:lang w:eastAsia="zh-CN" w:bidi="ar-SA"/>
        </w:rPr>
        <w:drawing>
          <wp:inline distT="0" distB="0" distL="0" distR="0" wp14:anchorId="264C5195" wp14:editId="58E28C95">
            <wp:extent cx="5327650" cy="2948208"/>
            <wp:effectExtent l="0" t="0" r="6350" b="5080"/>
            <wp:docPr id="17" name="Picture 17" descr="C:\Users\dds_d\Desktop\RESUBMISSÂO\Figuras para submeter\SUBMISSÃO\Figure 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ds_d\Desktop\RESUBMISSÂO\Figuras para submeter\SUBMISSÃO\Figure 9.t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603" cy="295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F32" w:rsidRPr="00BD07F6" w:rsidRDefault="00BD07F6" w:rsidP="00BD07F6">
      <w:pPr>
        <w:pStyle w:val="MDPI51figurecaption"/>
        <w:rPr>
          <w:color w:val="auto"/>
          <w:lang w:eastAsia="en-US"/>
        </w:rPr>
      </w:pPr>
      <w:r w:rsidRPr="00BD07F6">
        <w:rPr>
          <w:b/>
        </w:rPr>
        <w:t xml:space="preserve">Figure </w:t>
      </w:r>
      <w:r>
        <w:rPr>
          <w:b/>
        </w:rPr>
        <w:t>S</w:t>
      </w:r>
      <w:r w:rsidRPr="00BD07F6">
        <w:rPr>
          <w:b/>
        </w:rPr>
        <w:t xml:space="preserve">5. </w:t>
      </w:r>
      <w:r w:rsidR="00DD2F32" w:rsidRPr="00BD07F6">
        <w:t xml:space="preserve">Molecular function of the possible target mRNAs of the significant regulated </w:t>
      </w:r>
      <w:proofErr w:type="spellStart"/>
      <w:r w:rsidR="00DD2F32" w:rsidRPr="00BD07F6">
        <w:t>miRs</w:t>
      </w:r>
      <w:proofErr w:type="spellEnd"/>
      <w:r w:rsidR="00DD2F32" w:rsidRPr="00BD07F6">
        <w:t xml:space="preserve"> (obtained by Venn diagram analysis and extracted targets mRNAs) were obtained from </w:t>
      </w:r>
      <w:proofErr w:type="spellStart"/>
      <w:r w:rsidR="00DD2F32" w:rsidRPr="00BD07F6">
        <w:rPr>
          <w:rFonts w:eastAsia="Noto Sans CJK SC Regular"/>
          <w:bCs/>
        </w:rPr>
        <w:t>miRTarBase</w:t>
      </w:r>
      <w:proofErr w:type="spellEnd"/>
      <w:r w:rsidR="00DD2F32" w:rsidRPr="00BD07F6">
        <w:rPr>
          <w:rFonts w:eastAsia="Noto Sans CJK SC Regular"/>
          <w:bCs/>
        </w:rPr>
        <w:t xml:space="preserve"> </w:t>
      </w:r>
      <w:r w:rsidR="00DD2F32" w:rsidRPr="00BD07F6">
        <w:rPr>
          <w:rFonts w:eastAsia="Noto Sans CJK SC Regular"/>
          <w:bCs/>
        </w:rPr>
        <w:fldChar w:fldCharType="begin"/>
      </w:r>
      <w:r w:rsidR="00DD2F32" w:rsidRPr="00BD07F6">
        <w:rPr>
          <w:rFonts w:eastAsia="Noto Sans CJK SC Regular"/>
          <w:bCs/>
        </w:rPr>
        <w:instrText xml:space="preserve"> ADDIN EN.CITE &lt;EndNote&gt;&lt;Cite&gt;&lt;Author&gt;Hsu&lt;/Author&gt;&lt;Year&gt;2011&lt;/Year&gt;&lt;RecNum&gt;153&lt;/RecNum&gt;&lt;DisplayText&gt;&lt;style size="10"&gt;[81]&lt;/style&gt;&lt;/DisplayText&gt;&lt;record&gt;&lt;rec-number&gt;153&lt;/rec-number&gt;&lt;foreign-keys&gt;&lt;key app="EN" db-id="f5t22arsaz9sv3e2xfjvtt2d95a9v5ats0dd" timestamp="1577382144"&gt;153&lt;/key&gt;&lt;/foreign-keys&gt;&lt;ref-type name="Journal Article"&gt;17&lt;/ref-type&gt;&lt;contributors&gt;&lt;authors&gt;&lt;author&gt;Hsu, S. D.&lt;/author&gt;&lt;author&gt;Lin, F. M.&lt;/author&gt;&lt;author&gt;Wu, W. Y.&lt;/author&gt;&lt;author&gt;Liang, C.&lt;/author&gt;&lt;author&gt;Huang, W. C.&lt;/author&gt;&lt;author&gt;Chan, W. L.&lt;/author&gt;&lt;author&gt;Tsai, W. T.&lt;/author&gt;&lt;author&gt;Chen, G. Z.&lt;/author&gt;&lt;author&gt;Lee, C. J.&lt;/author&gt;&lt;author&gt;Chiu, C. M.&lt;/author&gt;&lt;author&gt;Chien, C. H.&lt;/author&gt;&lt;author&gt;Wu, M. C.&lt;/author&gt;&lt;author&gt;Huang, C. Y.&lt;/author&gt;&lt;author&gt;Tsou, A. P.&lt;/author&gt;&lt;author&gt;Huang, H. D.&lt;/author&gt;&lt;/authors&gt;&lt;/contributors&gt;&lt;auth-address&gt;Institute of Bioinformatics and Systems Biology, National Chiao Tung University, Hsin-Chu 300, Taiwan.&lt;/auth-address&gt;&lt;titles&gt;&lt;title&gt;miRTarBase: a database curates experimentally validated microRNA-target interactions&lt;/title&gt;&lt;secondary-title&gt;Nucleic Acids Res&lt;/secondary-title&gt;&lt;/titles&gt;&lt;periodical&gt;&lt;full-title&gt;Nucleic Acids Res&lt;/full-title&gt;&lt;/periodical&gt;&lt;pages&gt;D163-9&lt;/pages&gt;&lt;volume&gt;39&lt;/volume&gt;&lt;number&gt;Database issue&lt;/number&gt;&lt;edition&gt;2010/11/13&lt;/edition&gt;&lt;keywords&gt;&lt;keyword&gt;*Databases, Nucleic Acid&lt;/keyword&gt;&lt;keyword&gt;Gene Expression Regulation&lt;/keyword&gt;&lt;keyword&gt;MicroRNAs/*metabolism&lt;/keyword&gt;&lt;keyword&gt;RNA Interference&lt;/keyword&gt;&lt;keyword&gt;RNA, Messenger/metabolism&lt;/keyword&gt;&lt;keyword&gt;Reproducibility of Results&lt;/keyword&gt;&lt;keyword&gt;Systems Integration&lt;/keyword&gt;&lt;keyword&gt;User-Computer Interface&lt;/keyword&gt;&lt;/keywords&gt;&lt;dates&gt;&lt;year&gt;2011&lt;/year&gt;&lt;pub-dates&gt;&lt;date&gt;Jan&lt;/date&gt;&lt;/pub-dates&gt;&lt;/dates&gt;&lt;isbn&gt;1362-4962 (Electronic)&amp;#xD;0305-1048 (Linking)&lt;/isbn&gt;&lt;accession-num&gt;21071411&lt;/accession-num&gt;&lt;urls&gt;&lt;related-urls&gt;&lt;url&gt;https://www.ncbi.nlm.nih.gov/pubmed/21071411&lt;/url&gt;&lt;/related-urls&gt;&lt;/urls&gt;&lt;custom2&gt;PMC3013699&lt;/custom2&gt;&lt;electronic-resource-num&gt;10.1093/nar/gkq1107&lt;/electronic-resource-num&gt;&lt;/record&gt;&lt;/Cite&gt;&lt;/EndNote&gt;</w:instrText>
      </w:r>
      <w:r w:rsidR="00DD2F32" w:rsidRPr="00BD07F6">
        <w:rPr>
          <w:rFonts w:eastAsia="Noto Sans CJK SC Regular"/>
          <w:bCs/>
        </w:rPr>
        <w:fldChar w:fldCharType="separate"/>
      </w:r>
      <w:r w:rsidR="00DD2F32" w:rsidRPr="00BD07F6">
        <w:rPr>
          <w:rFonts w:eastAsia="Noto Sans CJK SC Regular"/>
          <w:bCs/>
        </w:rPr>
        <w:t>[81]</w:t>
      </w:r>
      <w:r w:rsidR="00DD2F32" w:rsidRPr="00BD07F6">
        <w:rPr>
          <w:rFonts w:eastAsia="Noto Sans CJK SC Regular"/>
          <w:bCs/>
        </w:rPr>
        <w:fldChar w:fldCharType="end"/>
      </w:r>
      <w:r w:rsidR="00DD2F32" w:rsidRPr="00BD07F6">
        <w:rPr>
          <w:rFonts w:eastAsia="Noto Sans CJK SC Regular"/>
          <w:bCs/>
        </w:rPr>
        <w:t>.</w:t>
      </w:r>
      <w:r w:rsidR="00DD2F32" w:rsidRPr="00BD07F6">
        <w:rPr>
          <w:color w:val="FF0000"/>
        </w:rPr>
        <w:t xml:space="preserve"> </w:t>
      </w:r>
      <w:r w:rsidR="00DD2F32" w:rsidRPr="00BD07F6">
        <w:t>Functional analysis performed by DAVID analysis.</w:t>
      </w:r>
    </w:p>
    <w:p w:rsidR="00DD2F32" w:rsidRPr="00BD07F6" w:rsidRDefault="00DD2F32" w:rsidP="00BD07F6">
      <w:pPr>
        <w:adjustRightInd w:val="0"/>
        <w:snapToGrid w:val="0"/>
        <w:spacing w:line="240" w:lineRule="auto"/>
        <w:rPr>
          <w:rFonts w:ascii="Palatino Linotype" w:hAnsi="Palatino Linotype" w:cstheme="minorHAnsi"/>
          <w:b/>
          <w:color w:val="auto"/>
          <w:sz w:val="20"/>
          <w:shd w:val="clear" w:color="auto" w:fill="FFFFFF"/>
        </w:rPr>
      </w:pPr>
      <w:r w:rsidRPr="00BD07F6">
        <w:rPr>
          <w:rFonts w:ascii="Palatino Linotype" w:hAnsi="Palatino Linotype" w:cstheme="minorHAnsi"/>
          <w:b/>
          <w:color w:val="auto"/>
          <w:sz w:val="20"/>
          <w:shd w:val="clear" w:color="auto" w:fill="FFFFFF"/>
        </w:rPr>
        <w:t>Supplementary Tables: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1. </w:t>
      </w:r>
      <w:r w:rsidR="00DD2F32" w:rsidRPr="00BD07F6">
        <w:t xml:space="preserve">Total number of sequenced reads, number of processed reads after FASTQ quality control, number of alignments mapped to human genome (HG19) and reads obtained in </w:t>
      </w:r>
      <w:proofErr w:type="spellStart"/>
      <w:r w:rsidR="00DD2F32" w:rsidRPr="00BD07F6">
        <w:t>FeatureCounts</w:t>
      </w:r>
      <w:proofErr w:type="spellEnd"/>
      <w:r w:rsidR="00DD2F32" w:rsidRPr="00BD07F6">
        <w:t xml:space="preserve"> (RNA species) for each biological replicate of drug-sensitive and MDR cells, as well as respective EVs, in both CML (K562,K562Dox) and NSCLC (NCI-H460,NCI-H460/R) cell models.</w:t>
      </w:r>
    </w:p>
    <w:p w:rsidR="00DD2F32" w:rsidRPr="00BD07F6" w:rsidRDefault="00BD07F6" w:rsidP="00BD07F6">
      <w:pPr>
        <w:pStyle w:val="MDPI41tablecaption"/>
        <w:rPr>
          <w:b/>
        </w:rPr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>2</w:t>
      </w:r>
      <w:r>
        <w:rPr>
          <w:b/>
        </w:rPr>
        <w:t>–</w:t>
      </w:r>
      <w:r w:rsidR="00DD2F32" w:rsidRPr="00BD07F6">
        <w:rPr>
          <w:b/>
        </w:rPr>
        <w:t xml:space="preserve">S9: </w:t>
      </w:r>
      <w:r w:rsidR="00DD2F32" w:rsidRPr="00BD07F6">
        <w:t>attached excel Files</w:t>
      </w:r>
      <w:r>
        <w:t>.</w:t>
      </w:r>
    </w:p>
    <w:p w:rsidR="00DD2F32" w:rsidRPr="00BD07F6" w:rsidRDefault="00DD2F32" w:rsidP="00BD07F6">
      <w:pPr>
        <w:adjustRightInd w:val="0"/>
        <w:snapToGrid w:val="0"/>
        <w:spacing w:line="240" w:lineRule="auto"/>
        <w:rPr>
          <w:rFonts w:ascii="Palatino Linotype" w:hAnsi="Palatino Linotype" w:cstheme="minorHAnsi"/>
          <w:b/>
          <w:sz w:val="20"/>
        </w:rPr>
      </w:pPr>
      <w:r w:rsidRPr="00BD07F6">
        <w:rPr>
          <w:rFonts w:ascii="Palatino Linotype" w:hAnsi="Palatino Linotype" w:cstheme="minorHAnsi"/>
          <w:b/>
          <w:sz w:val="20"/>
        </w:rPr>
        <w:t>Supplementary Tables legends: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lastRenderedPageBreak/>
        <w:t xml:space="preserve">Table </w:t>
      </w:r>
      <w:r>
        <w:rPr>
          <w:b/>
        </w:rPr>
        <w:t>S</w:t>
      </w:r>
      <w:r w:rsidRPr="00BD07F6">
        <w:rPr>
          <w:b/>
        </w:rPr>
        <w:t xml:space="preserve">2. </w:t>
      </w:r>
      <w:r w:rsidR="00DD2F32" w:rsidRPr="00BD07F6">
        <w:t>Log Fold Change of RNA species expression between drug-sensitive (NCI-H460) cells and their MDR (NCI-H460/R)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3. </w:t>
      </w:r>
      <w:r w:rsidR="00DD2F32" w:rsidRPr="00BD07F6">
        <w:t>Log Fold Change of RNA species expression between drug-sensitive (K562) cells and their MDR (K562Dox)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4. </w:t>
      </w:r>
      <w:r w:rsidR="00DD2F32" w:rsidRPr="00BD07F6">
        <w:t>Log Fold Change of RNA species expression between EVs released by drug-sensitive (NCI-H460) cells and the EVs released by their MDR (NCI-H460/R)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5. </w:t>
      </w:r>
      <w:r w:rsidR="00DD2F32" w:rsidRPr="00BD07F6">
        <w:t>Log Fold Change of levels of RNA species between EVs released by drug-sensitive (K562) cells and EVs released by their MDR (K562Dox)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6. </w:t>
      </w:r>
      <w:r w:rsidR="00DD2F32" w:rsidRPr="00BD07F6">
        <w:t xml:space="preserve">Log Fold Change of levels of </w:t>
      </w:r>
      <w:proofErr w:type="spellStart"/>
      <w:r w:rsidR="00DD2F32" w:rsidRPr="00BD07F6">
        <w:t>miRs</w:t>
      </w:r>
      <w:proofErr w:type="spellEnd"/>
      <w:r w:rsidR="00DD2F32" w:rsidRPr="00BD07F6">
        <w:t xml:space="preserve"> between drug-sensitive (NCI-H460) cells and their MDR (NCI-H460/R)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7. </w:t>
      </w:r>
      <w:r w:rsidR="00DD2F32" w:rsidRPr="00BD07F6">
        <w:t xml:space="preserve">Log Fold Change of </w:t>
      </w:r>
      <w:proofErr w:type="spellStart"/>
      <w:r w:rsidR="00DD2F32" w:rsidRPr="00BD07F6">
        <w:t>miRs</w:t>
      </w:r>
      <w:proofErr w:type="spellEnd"/>
      <w:r w:rsidR="00DD2F32" w:rsidRPr="00BD07F6">
        <w:t xml:space="preserve"> expression between drug-sensitive (K562) cells and their MDR (K562Dox)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8. </w:t>
      </w:r>
      <w:r w:rsidR="00DD2F32" w:rsidRPr="00BD07F6">
        <w:t xml:space="preserve">Log Fold Change of levels of </w:t>
      </w:r>
      <w:proofErr w:type="spellStart"/>
      <w:r w:rsidR="00DD2F32" w:rsidRPr="00BD07F6">
        <w:t>miRs</w:t>
      </w:r>
      <w:proofErr w:type="spellEnd"/>
      <w:r w:rsidR="00DD2F32" w:rsidRPr="00BD07F6">
        <w:t xml:space="preserve"> between EVs released by drug-sensitive (NCI-H460) cells and EVs released by their MDR (NCI-H460/R) counterparts. Log FC above &gt; 1 and P value &lt; 0.05 indicate up regulation in MDR condition.</w:t>
      </w:r>
    </w:p>
    <w:p w:rsidR="00DD2F32" w:rsidRPr="00BD07F6" w:rsidRDefault="00BD07F6" w:rsidP="00BD07F6">
      <w:pPr>
        <w:pStyle w:val="MDPI41tablecaption"/>
      </w:pPr>
      <w:r w:rsidRPr="00BD07F6">
        <w:rPr>
          <w:b/>
        </w:rPr>
        <w:t xml:space="preserve">Table </w:t>
      </w:r>
      <w:r>
        <w:rPr>
          <w:b/>
        </w:rPr>
        <w:t>S</w:t>
      </w:r>
      <w:r w:rsidRPr="00BD07F6">
        <w:rPr>
          <w:b/>
        </w:rPr>
        <w:t xml:space="preserve">9. </w:t>
      </w:r>
      <w:r w:rsidR="00DD2F32" w:rsidRPr="00BD07F6">
        <w:t xml:space="preserve">Log Fold Change of </w:t>
      </w:r>
      <w:proofErr w:type="spellStart"/>
      <w:r w:rsidR="00DD2F32" w:rsidRPr="00BD07F6">
        <w:t>miRs</w:t>
      </w:r>
      <w:proofErr w:type="spellEnd"/>
      <w:r w:rsidR="00DD2F32" w:rsidRPr="00BD07F6">
        <w:t xml:space="preserve"> expression between drug-sensitive (K562) cells and EVs derived from their MDR (K562Dox) counterparts. Log FC above &gt; 1 and P value &lt; 0.05 indicate up regulation in MDR condition.</w:t>
      </w:r>
    </w:p>
    <w:sectPr w:rsidR="00DD2F32" w:rsidRPr="00BD07F6" w:rsidSect="00BD07F6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D6A" w:rsidRDefault="00006D6A" w:rsidP="00C1340D">
      <w:r>
        <w:separator/>
      </w:r>
    </w:p>
  </w:endnote>
  <w:endnote w:type="continuationSeparator" w:id="0">
    <w:p w:rsidR="00006D6A" w:rsidRDefault="00006D6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oto Sans CJK SC Regular">
    <w:altName w:val="Malgun Gothic Semilight"/>
    <w:panose1 w:val="00000000000000000000"/>
    <w:charset w:val="80"/>
    <w:family w:val="swiss"/>
    <w:notTrueType/>
    <w:pitch w:val="variable"/>
    <w:sig w:usb0="00000000" w:usb1="2BDF3C10" w:usb2="00000016" w:usb3="00000000" w:csb0="002E01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5F07E5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7F6" w:rsidRPr="008B308E" w:rsidRDefault="00BD07F6" w:rsidP="00BD07F6">
    <w:pPr>
      <w:pStyle w:val="MDPIfooterfirstpage"/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Pr="00F71A8C">
      <w:rPr>
        <w:b/>
      </w:rPr>
      <w:t>20</w:t>
    </w:r>
    <w:r>
      <w:rPr>
        <w:b/>
      </w:rPr>
      <w:t>20</w:t>
    </w:r>
    <w:r w:rsidRPr="00F71A8C">
      <w:t xml:space="preserve">, </w:t>
    </w:r>
    <w:r w:rsidRPr="00F71A8C">
      <w:rPr>
        <w:i/>
      </w:rPr>
      <w:t>1</w:t>
    </w:r>
    <w:r w:rsidRPr="00F71A8C">
      <w:t xml:space="preserve">, </w:t>
    </w:r>
    <w:r>
      <w:t xml:space="preserve">x; </w:t>
    </w:r>
    <w:proofErr w:type="spellStart"/>
    <w:r>
      <w:t>doi</w:t>
    </w:r>
    <w:proofErr w:type="spellEnd"/>
    <w:r>
      <w:t>:</w:t>
    </w:r>
    <w:r w:rsidRPr="008B308E">
      <w:rPr>
        <w:lang w:val="fr-CH"/>
      </w:rPr>
      <w:tab/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D6A" w:rsidRDefault="00006D6A" w:rsidP="00C1340D">
      <w:r>
        <w:separator/>
      </w:r>
    </w:p>
  </w:footnote>
  <w:footnote w:type="continuationSeparator" w:id="0">
    <w:p w:rsidR="00006D6A" w:rsidRDefault="00006D6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7F6" w:rsidRPr="00836BB8" w:rsidRDefault="00BD07F6" w:rsidP="00BD07F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5F07E5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5F07E5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7F6" w:rsidRDefault="00BD07F6" w:rsidP="00BD07F6">
    <w:pPr>
      <w:pStyle w:val="MDPIheaderjournallogo"/>
    </w:pPr>
    <w:r w:rsidRPr="00A04686">
      <w:rPr>
        <w:noProof/>
        <w:lang w:eastAsia="zh-CN"/>
      </w:rPr>
      <w:drawing>
        <wp:inline distT="0" distB="0" distL="0" distR="0" wp14:anchorId="7E66B725" wp14:editId="458D005A">
          <wp:extent cx="1687830" cy="430530"/>
          <wp:effectExtent l="0" t="0" r="0" b="7620"/>
          <wp:docPr id="1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830" cy="43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D53448D" wp14:editId="0E79B67C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07F6" w:rsidRDefault="00BD07F6" w:rsidP="00BD07F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6CBE8A26" wp14:editId="64C6BEE0">
                                <wp:extent cx="536575" cy="351790"/>
                                <wp:effectExtent l="0" t="0" r="0" b="0"/>
                                <wp:docPr id="12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6575" cy="3517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5344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BD07F6" w:rsidRDefault="00BD07F6" w:rsidP="00BD07F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CBE8A26" wp14:editId="64C6BEE0">
                          <wp:extent cx="536575" cy="351790"/>
                          <wp:effectExtent l="0" t="0" r="0" b="0"/>
                          <wp:docPr id="12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6575" cy="3517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CF360136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3C3AE9AC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F0801E40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27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6D6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CE6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7E5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0D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7F6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4B27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2B4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553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2F3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4CC595-79C1-4FED-BCEC-2FACF9F4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F32"/>
    <w:pPr>
      <w:spacing w:line="340" w:lineRule="atLeast"/>
    </w:pPr>
    <w:rPr>
      <w:rFonts w:ascii="Times New Roman" w:eastAsia="Times New Roman" w:hAnsi="Times New Roman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BD07F6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BD07F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BD07F6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BD07F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BD07F6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BD07F6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BD07F6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BD07F6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BD07F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BD07F6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BD07F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rsid w:val="007C0926"/>
  </w:style>
  <w:style w:type="character" w:styleId="CommentReference">
    <w:name w:val="annotation reference"/>
    <w:basedOn w:val="DefaultParagraphFont"/>
    <w:uiPriority w:val="99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BD07F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BD07F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BD07F6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BD07F6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D07F6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BD07F6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D07F6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BD07F6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BD07F6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BD07F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BD07F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BD07F6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BD07F6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BD07F6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BD07F6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BD07F6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BD07F6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BD07F6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BD07F6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BD07F6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BD07F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D07F6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D07F6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BD07F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BD07F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BD07F6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BD07F6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BD07F6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BD07F6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BD07F6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BD07F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BD07F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BD07F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BD07F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BD07F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b/>
      <w:sz w:val="22"/>
      <w:szCs w:val="22"/>
      <w:lang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BD07F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BD07F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tiff"/><Relationship Id="rId5" Type="http://schemas.openxmlformats.org/officeDocument/2006/relationships/webSettings" Target="webSettings.xml"/><Relationship Id="rId15" Type="http://schemas.openxmlformats.org/officeDocument/2006/relationships/image" Target="media/image6.tiff"/><Relationship Id="rId10" Type="http://schemas.openxmlformats.org/officeDocument/2006/relationships/image" Target="media/image1.tiff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tiff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0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hp\Desktop\PhD\TASK%200-%20preliminary%20work\Co-cultura\co-cultura%2023.1.2015_K56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851371514379214"/>
          <c:y val="0.33621019279663217"/>
          <c:w val="0.556990984199915"/>
          <c:h val="0.54268036506832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Sheet1!$F$18</c:f>
              <c:strCache>
                <c:ptCount val="1"/>
                <c:pt idx="0">
                  <c:v>K562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noFill/>
            </a:ln>
          </c:spPr>
          <c:invertIfNegative val="0"/>
          <c:cat>
            <c:numRef>
              <c:f>(Sheet1!$E$22,Sheet1!$E$23)</c:f>
              <c:numCache>
                <c:formatCode>General</c:formatCode>
                <c:ptCount val="2"/>
                <c:pt idx="0">
                  <c:v>18</c:v>
                </c:pt>
                <c:pt idx="1">
                  <c:v>24</c:v>
                </c:pt>
              </c:numCache>
            </c:numRef>
          </c:cat>
          <c:val>
            <c:numRef>
              <c:f>Sheet1!$F$23</c:f>
              <c:numCache>
                <c:formatCode>General</c:formatCode>
                <c:ptCount val="1"/>
                <c:pt idx="0">
                  <c:v>960000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09D-46CD-9C15-5A5BCAC37612}"/>
            </c:ext>
          </c:extLst>
        </c:ser>
        <c:ser>
          <c:idx val="1"/>
          <c:order val="1"/>
          <c:tx>
            <c:strRef>
              <c:f>Sheet1!$G$18</c:f>
              <c:strCache>
                <c:ptCount val="1"/>
                <c:pt idx="0">
                  <c:v>K562 + Doxorubicin 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</c:spPr>
          <c:invertIfNegative val="0"/>
          <c:cat>
            <c:numRef>
              <c:f>(Sheet1!$E$22,Sheet1!$E$23)</c:f>
              <c:numCache>
                <c:formatCode>General</c:formatCode>
                <c:ptCount val="2"/>
                <c:pt idx="0">
                  <c:v>18</c:v>
                </c:pt>
                <c:pt idx="1">
                  <c:v>24</c:v>
                </c:pt>
              </c:numCache>
            </c:numRef>
          </c:cat>
          <c:val>
            <c:numRef>
              <c:f>Sheet1!$G$23</c:f>
              <c:numCache>
                <c:formatCode>General</c:formatCode>
                <c:ptCount val="1"/>
                <c:pt idx="0">
                  <c:v>635000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09D-46CD-9C15-5A5BCAC37612}"/>
            </c:ext>
          </c:extLst>
        </c:ser>
        <c:ser>
          <c:idx val="2"/>
          <c:order val="2"/>
          <c:tx>
            <c:strRef>
              <c:f>Sheet1!$H$18</c:f>
              <c:strCache>
                <c:ptCount val="1"/>
                <c:pt idx="0">
                  <c:v>K562 + Doxorubicin + EVs_K562Dox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(Sheet1!$E$22,Sheet1!$E$23)</c:f>
              <c:numCache>
                <c:formatCode>General</c:formatCode>
                <c:ptCount val="2"/>
                <c:pt idx="0">
                  <c:v>18</c:v>
                </c:pt>
                <c:pt idx="1">
                  <c:v>24</c:v>
                </c:pt>
              </c:numCache>
            </c:numRef>
          </c:cat>
          <c:val>
            <c:numRef>
              <c:f>Sheet1!$H$23</c:f>
              <c:numCache>
                <c:formatCode>General</c:formatCode>
                <c:ptCount val="1"/>
                <c:pt idx="0">
                  <c:v>715000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09D-46CD-9C15-5A5BCAC376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94"/>
        <c:overlap val="-100"/>
        <c:axId val="-17410960"/>
        <c:axId val="-17407152"/>
      </c:barChart>
      <c:catAx>
        <c:axId val="-1741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17407152"/>
        <c:crosses val="autoZero"/>
        <c:auto val="1"/>
        <c:lblAlgn val="ctr"/>
        <c:lblOffset val="100"/>
        <c:noMultiLvlLbl val="0"/>
      </c:catAx>
      <c:valAx>
        <c:axId val="-17407152"/>
        <c:scaling>
          <c:orientation val="minMax"/>
          <c:min val="40000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1050">
                    <a:latin typeface="+mn-lt"/>
                  </a:defRPr>
                </a:pPr>
                <a:r>
                  <a:rPr lang="en-US" sz="1050">
                    <a:latin typeface="+mn-lt"/>
                  </a:rPr>
                  <a:t>Viable cell number</a:t>
                </a:r>
              </a:p>
            </c:rich>
          </c:tx>
          <c:layout>
            <c:manualLayout>
              <c:xMode val="edge"/>
              <c:yMode val="edge"/>
              <c:x val="8.1675371370796473E-2"/>
              <c:y val="0.3104558255814063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en-US"/>
          </a:p>
        </c:txPr>
        <c:crossAx val="-17410960"/>
        <c:crosses val="autoZero"/>
        <c:crossBetween val="between"/>
        <c:majorUnit val="200000"/>
      </c:valAx>
    </c:plotArea>
    <c:legend>
      <c:legendPos val="r"/>
      <c:layout>
        <c:manualLayout>
          <c:xMode val="edge"/>
          <c:yMode val="edge"/>
          <c:x val="0.15850865385190638"/>
          <c:y val="1.8135402318166842E-2"/>
          <c:w val="0.69944879486354727"/>
          <c:h val="0.24120596356505158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legend>
    <c:plotVisOnly val="1"/>
    <c:dispBlanksAs val="gap"/>
    <c:showDLblsOverMax val="0"/>
  </c:chart>
  <c:txPr>
    <a:bodyPr/>
    <a:lstStyle/>
    <a:p>
      <a:pPr>
        <a:defRPr>
          <a:latin typeface="Raleway Regular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EB50D-1E38-4756-9FEF-510500BA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547</Words>
  <Characters>2966</Characters>
  <Application>Microsoft Office Word</Application>
  <DocSecurity>0</DocSecurity>
  <Lines>60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3</cp:revision>
  <dcterms:created xsi:type="dcterms:W3CDTF">2020-01-10T02:38:00Z</dcterms:created>
  <dcterms:modified xsi:type="dcterms:W3CDTF">2020-01-14T00:41:00Z</dcterms:modified>
</cp:coreProperties>
</file>