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52C6" w:rsidRDefault="00420BBD" w:rsidP="000159B3">
      <w:pPr>
        <w:pStyle w:val="MDPI51figurecaption"/>
        <w:spacing w:line="360" w:lineRule="auto"/>
        <w:jc w:val="center"/>
        <w:rPr>
          <w:rFonts w:eastAsiaTheme="minorEastAsia"/>
          <w:b/>
          <w:lang w:eastAsia="zh-TW"/>
        </w:rPr>
      </w:pPr>
      <w:r>
        <w:rPr>
          <w:rFonts w:eastAsiaTheme="minorEastAsia" w:hint="eastAsia"/>
          <w:b/>
          <w:noProof/>
          <w:lang w:eastAsia="zh-TW" w:bidi="ar-SA"/>
        </w:rPr>
        <w:drawing>
          <wp:inline distT="0" distB="0" distL="0" distR="0" wp14:anchorId="7665D38E" wp14:editId="3B71F24F">
            <wp:extent cx="5020440" cy="3538330"/>
            <wp:effectExtent l="0" t="0" r="8890" b="508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S1.tif"/>
                    <pic:cNvPicPr/>
                  </pic:nvPicPr>
                  <pic:blipFill rotWithShape="1">
                    <a:blip r:embed="rId8">
                      <a:extLst>
                        <a:ext uri="{28A0092B-C50C-407E-A947-70E740481C1C}">
                          <a14:useLocalDpi xmlns:a14="http://schemas.microsoft.com/office/drawing/2010/main" val="0"/>
                        </a:ext>
                      </a:extLst>
                    </a:blip>
                    <a:srcRect t="6036"/>
                    <a:stretch/>
                  </pic:blipFill>
                  <pic:spPr bwMode="auto">
                    <a:xfrm>
                      <a:off x="0" y="0"/>
                      <a:ext cx="5025841" cy="3542137"/>
                    </a:xfrm>
                    <a:prstGeom prst="rect">
                      <a:avLst/>
                    </a:prstGeom>
                    <a:ln>
                      <a:noFill/>
                    </a:ln>
                    <a:extLst>
                      <a:ext uri="{53640926-AAD7-44D8-BBD7-CCE9431645EC}">
                        <a14:shadowObscured xmlns:a14="http://schemas.microsoft.com/office/drawing/2010/main"/>
                      </a:ext>
                    </a:extLst>
                  </pic:spPr>
                </pic:pic>
              </a:graphicData>
            </a:graphic>
          </wp:inline>
        </w:drawing>
      </w:r>
    </w:p>
    <w:p w:rsidR="00E952C6" w:rsidRPr="00B05B28" w:rsidRDefault="00E952C6" w:rsidP="00B05B28">
      <w:pPr>
        <w:pStyle w:val="MDPI51figurecaption"/>
        <w:rPr>
          <w:rFonts w:eastAsiaTheme="minorEastAsia"/>
        </w:rPr>
      </w:pPr>
      <w:r w:rsidRPr="00B05B28">
        <w:rPr>
          <w:rFonts w:hint="eastAsia"/>
          <w:b/>
        </w:rPr>
        <w:t xml:space="preserve">Figure </w:t>
      </w:r>
      <w:r w:rsidR="005F5B3A">
        <w:rPr>
          <w:rFonts w:eastAsiaTheme="minorEastAsia" w:hint="eastAsia"/>
          <w:b/>
        </w:rPr>
        <w:t>S</w:t>
      </w:r>
      <w:r w:rsidR="007604A9">
        <w:rPr>
          <w:rFonts w:eastAsiaTheme="minorEastAsia" w:hint="eastAsia"/>
          <w:b/>
          <w:lang w:eastAsia="zh-TW"/>
        </w:rPr>
        <w:t>1</w:t>
      </w:r>
      <w:r w:rsidRPr="00B05B28">
        <w:rPr>
          <w:rFonts w:hint="eastAsia"/>
          <w:b/>
        </w:rPr>
        <w:t xml:space="preserve">. </w:t>
      </w:r>
      <w:r w:rsidRPr="00B05B28">
        <w:rPr>
          <w:rFonts w:eastAsiaTheme="minorEastAsia" w:hint="eastAsia"/>
          <w:b/>
        </w:rPr>
        <w:t>Pairwise comparisons of survival prognosis between predicted and observed groups</w:t>
      </w:r>
      <w:r w:rsidRPr="00B05B28">
        <w:rPr>
          <w:rFonts w:hint="eastAsia"/>
          <w:b/>
        </w:rPr>
        <w:t>.</w:t>
      </w:r>
      <w:r w:rsidRPr="00B05B28">
        <w:rPr>
          <w:rFonts w:hint="eastAsia"/>
        </w:rPr>
        <w:t xml:space="preserve"> </w:t>
      </w:r>
      <w:r w:rsidR="00420BBD" w:rsidRPr="00B05B28">
        <w:rPr>
          <w:rFonts w:eastAsiaTheme="minorEastAsia" w:hint="eastAsia"/>
        </w:rPr>
        <w:t xml:space="preserve">The median overall survival (mOS) times of curves is represented by a dotted red line. </w:t>
      </w:r>
      <w:r w:rsidRPr="00B05B28">
        <w:rPr>
          <w:rFonts w:eastAsiaTheme="minorEastAsia" w:hint="eastAsia"/>
        </w:rPr>
        <w:t xml:space="preserve">The </w:t>
      </w:r>
      <w:r w:rsidR="00420BBD" w:rsidRPr="00B05B28">
        <w:rPr>
          <w:rFonts w:eastAsiaTheme="minorEastAsia" w:hint="eastAsia"/>
        </w:rPr>
        <w:t>mOS</w:t>
      </w:r>
      <w:r w:rsidRPr="00B05B28">
        <w:rPr>
          <w:rFonts w:eastAsiaTheme="minorEastAsia" w:hint="eastAsia"/>
        </w:rPr>
        <w:t xml:space="preserve"> days of observed groups G1, G2, G3, G4, and G5 are 408, 266, 867, 330, and 357 days, respectively. </w:t>
      </w:r>
      <w:r w:rsidR="00A54AC7" w:rsidRPr="00B05B28">
        <w:rPr>
          <w:rFonts w:eastAsiaTheme="minorEastAsia" w:hint="eastAsia"/>
        </w:rPr>
        <w:t>In contrast, the mOS days predicted groups G1, G2, G3, and G4 are 388, 175, 505, and 424 days. Pairwise comparisons of survival curves between predicted and observed G1, G2, G3, G4, and G5 groups are shown as (a), (b), (c), (d), and (e) in sequence.</w:t>
      </w:r>
    </w:p>
    <w:p w:rsidR="007A1A61" w:rsidRDefault="007A1A61">
      <w:pPr>
        <w:widowControl/>
      </w:pPr>
      <w:r>
        <w:br w:type="page"/>
      </w:r>
    </w:p>
    <w:p w:rsidR="007604A9" w:rsidRDefault="007604A9" w:rsidP="007604A9">
      <w:pPr>
        <w:pStyle w:val="MDPI51figurecaption"/>
        <w:spacing w:line="360" w:lineRule="auto"/>
        <w:jc w:val="left"/>
        <w:rPr>
          <w:rFonts w:eastAsiaTheme="minorEastAsia"/>
          <w:b/>
          <w:noProof/>
          <w:lang w:eastAsia="zh-TW" w:bidi="ar-SA"/>
        </w:rPr>
      </w:pPr>
      <w:r>
        <w:rPr>
          <w:rFonts w:eastAsiaTheme="minorEastAsia" w:hint="eastAsia"/>
          <w:b/>
          <w:noProof/>
          <w:lang w:eastAsia="zh-TW" w:bidi="ar-SA"/>
        </w:rPr>
        <w:lastRenderedPageBreak/>
        <w:drawing>
          <wp:inline distT="0" distB="0" distL="0" distR="0" wp14:anchorId="212F69DF" wp14:editId="32FD4B6E">
            <wp:extent cx="4301656" cy="3951797"/>
            <wp:effectExtent l="0" t="0" r="381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S1.tif"/>
                    <pic:cNvPicPr/>
                  </pic:nvPicPr>
                  <pic:blipFill rotWithShape="1">
                    <a:blip r:embed="rId9">
                      <a:extLst>
                        <a:ext uri="{28A0092B-C50C-407E-A947-70E740481C1C}">
                          <a14:useLocalDpi xmlns:a14="http://schemas.microsoft.com/office/drawing/2010/main" val="0"/>
                        </a:ext>
                      </a:extLst>
                    </a:blip>
                    <a:srcRect l="21732" r="9148"/>
                    <a:stretch/>
                  </pic:blipFill>
                  <pic:spPr bwMode="auto">
                    <a:xfrm>
                      <a:off x="0" y="0"/>
                      <a:ext cx="4306285" cy="3956050"/>
                    </a:xfrm>
                    <a:prstGeom prst="rect">
                      <a:avLst/>
                    </a:prstGeom>
                    <a:ln>
                      <a:noFill/>
                    </a:ln>
                    <a:extLst>
                      <a:ext uri="{53640926-AAD7-44D8-BBD7-CCE9431645EC}">
                        <a14:shadowObscured xmlns:a14="http://schemas.microsoft.com/office/drawing/2010/main"/>
                      </a:ext>
                    </a:extLst>
                  </pic:spPr>
                </pic:pic>
              </a:graphicData>
            </a:graphic>
          </wp:inline>
        </w:drawing>
      </w:r>
    </w:p>
    <w:p w:rsidR="007604A9" w:rsidRDefault="007604A9" w:rsidP="007604A9">
      <w:pPr>
        <w:pStyle w:val="MDPI51figurecaption"/>
        <w:spacing w:line="360" w:lineRule="auto"/>
        <w:rPr>
          <w:rFonts w:eastAsiaTheme="minorEastAsia"/>
          <w:b/>
          <w:noProof/>
          <w:lang w:eastAsia="zh-TW" w:bidi="ar-SA"/>
        </w:rPr>
      </w:pPr>
      <w:r w:rsidRPr="00B05B28">
        <w:rPr>
          <w:rFonts w:hint="eastAsia"/>
          <w:b/>
        </w:rPr>
        <w:t xml:space="preserve">Figure </w:t>
      </w:r>
      <w:r>
        <w:rPr>
          <w:rFonts w:eastAsiaTheme="minorEastAsia" w:hint="eastAsia"/>
          <w:b/>
        </w:rPr>
        <w:t>S</w:t>
      </w:r>
      <w:r>
        <w:rPr>
          <w:rFonts w:eastAsiaTheme="minorEastAsia" w:hint="eastAsia"/>
          <w:b/>
          <w:lang w:eastAsia="zh-TW"/>
        </w:rPr>
        <w:t>2</w:t>
      </w:r>
      <w:bookmarkStart w:id="0" w:name="_GoBack"/>
      <w:bookmarkEnd w:id="0"/>
      <w:r w:rsidRPr="00B05B28">
        <w:rPr>
          <w:rFonts w:hint="eastAsia"/>
          <w:b/>
        </w:rPr>
        <w:t xml:space="preserve">. </w:t>
      </w:r>
      <w:r>
        <w:rPr>
          <w:rFonts w:eastAsiaTheme="minorEastAsia" w:hint="eastAsia"/>
          <w:b/>
          <w:lang w:eastAsia="zh-TW"/>
        </w:rPr>
        <w:t>Enrichment levels of immune cell subsets between G2 and G3 with RNASeq data</w:t>
      </w:r>
      <w:r w:rsidRPr="00B05B28">
        <w:rPr>
          <w:rFonts w:hint="eastAsia"/>
          <w:b/>
        </w:rPr>
        <w:t>.</w:t>
      </w:r>
      <w:r w:rsidRPr="00B05B28">
        <w:rPr>
          <w:rFonts w:hint="eastAsia"/>
        </w:rPr>
        <w:t xml:space="preserve"> </w:t>
      </w:r>
      <w:r>
        <w:rPr>
          <w:rFonts w:eastAsiaTheme="minorEastAsia" w:hint="eastAsia"/>
          <w:lang w:eastAsia="zh-TW"/>
        </w:rPr>
        <w:t>X-axis indicates groups with different immune phenotypes, which represented in Figure 1. Y-axis indicates enrichment levels of immune cell subsets with normalized enrichment scores (NES). (</w:t>
      </w:r>
      <w:r>
        <w:rPr>
          <w:rFonts w:eastAsiaTheme="minorEastAsia"/>
          <w:lang w:eastAsia="zh-TW"/>
        </w:rPr>
        <w:t>a</w:t>
      </w:r>
      <w:r>
        <w:rPr>
          <w:rFonts w:eastAsiaTheme="minorEastAsia" w:hint="eastAsia"/>
          <w:lang w:eastAsia="zh-TW"/>
        </w:rPr>
        <w:t>). CTL, aDC, Treg, and MDSC immune cell subsets enriched levels were evaluated with the 5, 51, 26, and 58 genes, respectively, in metagene lists and were the same as Figure 1. (b). Immune cell subsets enriched levels were evaluated with the modified gene sets such as 3, 50, 24, and 55 genes for CTL, aDC, Treg, and MDSC, respectively.</w:t>
      </w:r>
    </w:p>
    <w:p w:rsidR="00FB2232" w:rsidRDefault="007A1A61" w:rsidP="007A1A61">
      <w:pPr>
        <w:pStyle w:val="MDPI51figurecaption"/>
        <w:rPr>
          <w:rFonts w:eastAsiaTheme="minorEastAsia"/>
          <w:lang w:eastAsia="zh-TW"/>
        </w:rPr>
      </w:pPr>
      <w:r>
        <w:rPr>
          <w:noProof/>
          <w:lang w:eastAsia="zh-TW" w:bidi="ar-SA"/>
        </w:rPr>
        <w:lastRenderedPageBreak/>
        <w:drawing>
          <wp:inline distT="0" distB="0" distL="0" distR="0" wp14:anchorId="0887E383" wp14:editId="602FD49B">
            <wp:extent cx="4325510" cy="3966373"/>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S2.tif"/>
                    <pic:cNvPicPr/>
                  </pic:nvPicPr>
                  <pic:blipFill rotWithShape="1">
                    <a:blip r:embed="rId10">
                      <a:extLst>
                        <a:ext uri="{28A0092B-C50C-407E-A947-70E740481C1C}">
                          <a14:useLocalDpi xmlns:a14="http://schemas.microsoft.com/office/drawing/2010/main" val="0"/>
                        </a:ext>
                      </a:extLst>
                    </a:blip>
                    <a:srcRect l="12978" t="6036" r="13295" b="3832"/>
                    <a:stretch/>
                  </pic:blipFill>
                  <pic:spPr bwMode="auto">
                    <a:xfrm>
                      <a:off x="0" y="0"/>
                      <a:ext cx="4343678" cy="3983032"/>
                    </a:xfrm>
                    <a:prstGeom prst="rect">
                      <a:avLst/>
                    </a:prstGeom>
                    <a:ln>
                      <a:noFill/>
                    </a:ln>
                    <a:extLst>
                      <a:ext uri="{53640926-AAD7-44D8-BBD7-CCE9431645EC}">
                        <a14:shadowObscured xmlns:a14="http://schemas.microsoft.com/office/drawing/2010/main"/>
                      </a:ext>
                    </a:extLst>
                  </pic:spPr>
                </pic:pic>
              </a:graphicData>
            </a:graphic>
          </wp:inline>
        </w:drawing>
      </w:r>
    </w:p>
    <w:p w:rsidR="007A1A61" w:rsidRPr="00B05B28" w:rsidRDefault="007A1A61" w:rsidP="00B05B28">
      <w:pPr>
        <w:pStyle w:val="MDPI51figurecaption"/>
        <w:rPr>
          <w:rFonts w:eastAsiaTheme="minorEastAsia"/>
        </w:rPr>
      </w:pPr>
      <w:r w:rsidRPr="00B05B28">
        <w:rPr>
          <w:rFonts w:hint="eastAsia"/>
          <w:b/>
        </w:rPr>
        <w:t xml:space="preserve">Figure </w:t>
      </w:r>
      <w:r w:rsidR="007604A9">
        <w:rPr>
          <w:rFonts w:eastAsiaTheme="minorEastAsia" w:hint="eastAsia"/>
          <w:b/>
        </w:rPr>
        <w:t>S</w:t>
      </w:r>
      <w:r w:rsidR="007604A9">
        <w:rPr>
          <w:rFonts w:eastAsiaTheme="minorEastAsia" w:hint="eastAsia"/>
          <w:b/>
          <w:lang w:eastAsia="zh-TW"/>
        </w:rPr>
        <w:t>3</w:t>
      </w:r>
      <w:r w:rsidRPr="00B05B28">
        <w:rPr>
          <w:rFonts w:hint="eastAsia"/>
          <w:b/>
        </w:rPr>
        <w:t xml:space="preserve">. </w:t>
      </w:r>
      <w:r w:rsidRPr="00B05B28">
        <w:rPr>
          <w:rFonts w:eastAsiaTheme="minorEastAsia" w:hint="eastAsia"/>
          <w:b/>
        </w:rPr>
        <w:t xml:space="preserve">Survival </w:t>
      </w:r>
      <w:r w:rsidR="00B05B28">
        <w:rPr>
          <w:rFonts w:eastAsiaTheme="minorEastAsia" w:hint="eastAsia"/>
          <w:b/>
          <w:lang w:eastAsia="zh-TW"/>
        </w:rPr>
        <w:t>curves</w:t>
      </w:r>
      <w:r w:rsidRPr="00B05B28">
        <w:rPr>
          <w:rFonts w:eastAsiaTheme="minorEastAsia" w:hint="eastAsia"/>
          <w:b/>
        </w:rPr>
        <w:t xml:space="preserve"> of </w:t>
      </w:r>
      <w:r w:rsidR="00B05B28">
        <w:rPr>
          <w:rFonts w:eastAsiaTheme="minorEastAsia" w:hint="eastAsia"/>
          <w:b/>
          <w:lang w:eastAsia="zh-TW"/>
        </w:rPr>
        <w:t xml:space="preserve">GBM </w:t>
      </w:r>
      <w:r w:rsidRPr="00B05B28">
        <w:rPr>
          <w:rFonts w:eastAsiaTheme="minorEastAsia" w:hint="eastAsia"/>
          <w:b/>
        </w:rPr>
        <w:t>patients with highly/lowly enriched CTL subsets</w:t>
      </w:r>
      <w:r w:rsidRPr="00B05B28">
        <w:rPr>
          <w:rFonts w:hint="eastAsia"/>
          <w:b/>
        </w:rPr>
        <w:t>.</w:t>
      </w:r>
      <w:r w:rsidRPr="00B05B28">
        <w:rPr>
          <w:rFonts w:hint="eastAsia"/>
        </w:rPr>
        <w:t xml:space="preserve"> </w:t>
      </w:r>
      <w:r w:rsidRPr="00B05B28">
        <w:rPr>
          <w:rFonts w:eastAsiaTheme="minorEastAsia" w:hint="eastAsia"/>
        </w:rPr>
        <w:t xml:space="preserve">The enrichment levels of CTL subsets within TME were estimated with GSEA method. </w:t>
      </w:r>
      <w:r w:rsidR="003D57AF" w:rsidRPr="00B05B28">
        <w:rPr>
          <w:rFonts w:eastAsiaTheme="minorEastAsia" w:hint="eastAsia"/>
        </w:rPr>
        <w:t xml:space="preserve">In Figure 1, </w:t>
      </w:r>
      <w:r w:rsidR="003D57AF" w:rsidRPr="00B05B28">
        <w:rPr>
          <w:rFonts w:eastAsiaTheme="minorEastAsia"/>
        </w:rPr>
        <w:t>enrichment</w:t>
      </w:r>
      <w:r w:rsidR="003D57AF" w:rsidRPr="00B05B28">
        <w:rPr>
          <w:rFonts w:eastAsiaTheme="minorEastAsia" w:hint="eastAsia"/>
        </w:rPr>
        <w:t xml:space="preserve"> levels</w:t>
      </w:r>
      <w:r w:rsidR="005504A9" w:rsidRPr="00B05B28">
        <w:rPr>
          <w:rFonts w:eastAsiaTheme="minorEastAsia" w:hint="eastAsia"/>
        </w:rPr>
        <w:t xml:space="preserve"> of immune cell subsets</w:t>
      </w:r>
      <w:r w:rsidR="003D57AF" w:rsidRPr="00B05B28">
        <w:rPr>
          <w:rFonts w:eastAsiaTheme="minorEastAsia" w:hint="eastAsia"/>
        </w:rPr>
        <w:t xml:space="preserve"> </w:t>
      </w:r>
      <w:r w:rsidR="005504A9" w:rsidRPr="00B05B28">
        <w:rPr>
          <w:rFonts w:eastAsiaTheme="minorEastAsia" w:hint="eastAsia"/>
        </w:rPr>
        <w:t xml:space="preserve">from low to high </w:t>
      </w:r>
      <w:r w:rsidR="003D57AF" w:rsidRPr="00B05B28">
        <w:rPr>
          <w:rFonts w:eastAsiaTheme="minorEastAsia" w:hint="eastAsia"/>
        </w:rPr>
        <w:t xml:space="preserve">are annotated with </w:t>
      </w:r>
      <w:r w:rsidR="005504A9" w:rsidRPr="00B05B28">
        <w:rPr>
          <w:rFonts w:eastAsiaTheme="minorEastAsia" w:hint="eastAsia"/>
        </w:rPr>
        <w:t xml:space="preserve">gradient colors from </w:t>
      </w:r>
      <w:r w:rsidR="003D57AF" w:rsidRPr="00B05B28">
        <w:rPr>
          <w:rFonts w:eastAsiaTheme="minorEastAsia" w:hint="eastAsia"/>
        </w:rPr>
        <w:t>green to red</w:t>
      </w:r>
      <w:r w:rsidR="005504A9" w:rsidRPr="00B05B28">
        <w:rPr>
          <w:rFonts w:eastAsiaTheme="minorEastAsia" w:hint="eastAsia"/>
        </w:rPr>
        <w:t xml:space="preserve">. </w:t>
      </w:r>
      <w:r w:rsidR="005504A9" w:rsidRPr="00B05B28">
        <w:rPr>
          <w:rFonts w:eastAsiaTheme="minorEastAsia"/>
        </w:rPr>
        <w:t>Obviously</w:t>
      </w:r>
      <w:r w:rsidR="005504A9" w:rsidRPr="00B05B28">
        <w:rPr>
          <w:rFonts w:eastAsiaTheme="minorEastAsia" w:hint="eastAsia"/>
        </w:rPr>
        <w:t xml:space="preserve">, </w:t>
      </w:r>
      <w:r w:rsidRPr="00B05B28">
        <w:rPr>
          <w:rFonts w:eastAsiaTheme="minorEastAsia" w:hint="eastAsia"/>
        </w:rPr>
        <w:t>G1 and G2 groups belong to low enrichment levels of CTL</w:t>
      </w:r>
      <w:r w:rsidR="005504A9" w:rsidRPr="00B05B28">
        <w:rPr>
          <w:rFonts w:eastAsiaTheme="minorEastAsia" w:hint="eastAsia"/>
        </w:rPr>
        <w:t xml:space="preserve"> (CTL-low)</w:t>
      </w:r>
      <w:r w:rsidRPr="00B05B28">
        <w:rPr>
          <w:rFonts w:eastAsiaTheme="minorEastAsia" w:hint="eastAsia"/>
        </w:rPr>
        <w:t xml:space="preserve"> and G3, G4, and G5 groups belong to high</w:t>
      </w:r>
      <w:r w:rsidR="005504A9" w:rsidRPr="00B05B28">
        <w:rPr>
          <w:rFonts w:eastAsiaTheme="minorEastAsia" w:hint="eastAsia"/>
        </w:rPr>
        <w:t xml:space="preserve"> enrichment levels of CTL (CTL-high). The survival curves of CTL-low and CTL-high are annotated with red and green colors, respectively.</w:t>
      </w:r>
    </w:p>
    <w:p w:rsidR="007A1A61" w:rsidRPr="00E952C6" w:rsidRDefault="007A1A61" w:rsidP="007A1A61">
      <w:pPr>
        <w:pStyle w:val="MDPI51figurecaption"/>
        <w:spacing w:line="360" w:lineRule="auto"/>
        <w:rPr>
          <w:rFonts w:eastAsiaTheme="minorEastAsia"/>
          <w:lang w:eastAsia="zh-TW"/>
        </w:rPr>
      </w:pPr>
      <w:r>
        <w:rPr>
          <w:rFonts w:eastAsiaTheme="minorEastAsia" w:hint="eastAsia"/>
          <w:lang w:eastAsia="zh-TW"/>
        </w:rPr>
        <w:t xml:space="preserve"> </w:t>
      </w:r>
    </w:p>
    <w:p w:rsidR="007A1A61" w:rsidRPr="007A1A61" w:rsidRDefault="007A1A61" w:rsidP="007A1A61">
      <w:pPr>
        <w:pStyle w:val="MDPI51figurecaption"/>
        <w:rPr>
          <w:rFonts w:eastAsiaTheme="minorEastAsia"/>
          <w:lang w:eastAsia="zh-TW"/>
        </w:rPr>
      </w:pPr>
    </w:p>
    <w:sectPr w:rsidR="007A1A61" w:rsidRPr="007A1A61">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488" w:rsidRDefault="000D0488" w:rsidP="00E952C6">
      <w:r>
        <w:separator/>
      </w:r>
    </w:p>
  </w:endnote>
  <w:endnote w:type="continuationSeparator" w:id="0">
    <w:p w:rsidR="000D0488" w:rsidRDefault="000D0488" w:rsidP="00E95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488" w:rsidRDefault="000D0488" w:rsidP="00E952C6">
      <w:r>
        <w:separator/>
      </w:r>
    </w:p>
  </w:footnote>
  <w:footnote w:type="continuationSeparator" w:id="0">
    <w:p w:rsidR="000D0488" w:rsidRDefault="000D0488" w:rsidP="00E952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943"/>
    <w:rsid w:val="000159B3"/>
    <w:rsid w:val="000D0488"/>
    <w:rsid w:val="00190F81"/>
    <w:rsid w:val="003710EE"/>
    <w:rsid w:val="003D57AF"/>
    <w:rsid w:val="003F23B0"/>
    <w:rsid w:val="00420BBD"/>
    <w:rsid w:val="004420AE"/>
    <w:rsid w:val="0046149A"/>
    <w:rsid w:val="0054598F"/>
    <w:rsid w:val="005504A9"/>
    <w:rsid w:val="00582451"/>
    <w:rsid w:val="005F5B3A"/>
    <w:rsid w:val="006B01F3"/>
    <w:rsid w:val="007604A9"/>
    <w:rsid w:val="007947F8"/>
    <w:rsid w:val="007A1A61"/>
    <w:rsid w:val="008B55BB"/>
    <w:rsid w:val="00A54AC7"/>
    <w:rsid w:val="00B03943"/>
    <w:rsid w:val="00B05B28"/>
    <w:rsid w:val="00B95A00"/>
    <w:rsid w:val="00C87F1B"/>
    <w:rsid w:val="00E4079B"/>
    <w:rsid w:val="00E952C6"/>
    <w:rsid w:val="00EA0E6F"/>
    <w:rsid w:val="00FB223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952C6"/>
    <w:pPr>
      <w:tabs>
        <w:tab w:val="center" w:pos="4153"/>
        <w:tab w:val="right" w:pos="8306"/>
      </w:tabs>
      <w:snapToGrid w:val="0"/>
    </w:pPr>
    <w:rPr>
      <w:sz w:val="20"/>
      <w:szCs w:val="20"/>
    </w:rPr>
  </w:style>
  <w:style w:type="character" w:customStyle="1" w:styleId="a4">
    <w:name w:val="頁首 字元"/>
    <w:basedOn w:val="a0"/>
    <w:link w:val="a3"/>
    <w:uiPriority w:val="99"/>
    <w:rsid w:val="00E952C6"/>
    <w:rPr>
      <w:sz w:val="20"/>
      <w:szCs w:val="20"/>
    </w:rPr>
  </w:style>
  <w:style w:type="paragraph" w:styleId="a5">
    <w:name w:val="footer"/>
    <w:basedOn w:val="a"/>
    <w:link w:val="a6"/>
    <w:uiPriority w:val="99"/>
    <w:unhideWhenUsed/>
    <w:rsid w:val="00E952C6"/>
    <w:pPr>
      <w:tabs>
        <w:tab w:val="center" w:pos="4153"/>
        <w:tab w:val="right" w:pos="8306"/>
      </w:tabs>
      <w:snapToGrid w:val="0"/>
    </w:pPr>
    <w:rPr>
      <w:sz w:val="20"/>
      <w:szCs w:val="20"/>
    </w:rPr>
  </w:style>
  <w:style w:type="character" w:customStyle="1" w:styleId="a6">
    <w:name w:val="頁尾 字元"/>
    <w:basedOn w:val="a0"/>
    <w:link w:val="a5"/>
    <w:uiPriority w:val="99"/>
    <w:rsid w:val="00E952C6"/>
    <w:rPr>
      <w:sz w:val="20"/>
      <w:szCs w:val="20"/>
    </w:rPr>
  </w:style>
  <w:style w:type="paragraph" w:customStyle="1" w:styleId="MDPI51figurecaption">
    <w:name w:val="MDPI_5.1_figure_caption"/>
    <w:basedOn w:val="a"/>
    <w:qFormat/>
    <w:rsid w:val="00E952C6"/>
    <w:pPr>
      <w:widowControl/>
      <w:adjustRightInd w:val="0"/>
      <w:snapToGrid w:val="0"/>
      <w:spacing w:before="120" w:after="240" w:line="260" w:lineRule="atLeast"/>
      <w:ind w:left="425" w:right="425"/>
      <w:jc w:val="both"/>
    </w:pPr>
    <w:rPr>
      <w:rFonts w:ascii="Palatino Linotype" w:eastAsia="Times New Roman" w:hAnsi="Palatino Linotype" w:cs="Times New Roman"/>
      <w:color w:val="000000"/>
      <w:kern w:val="0"/>
      <w:sz w:val="18"/>
      <w:szCs w:val="20"/>
      <w:lang w:eastAsia="de-DE" w:bidi="en-US"/>
    </w:rPr>
  </w:style>
  <w:style w:type="paragraph" w:styleId="a7">
    <w:name w:val="Balloon Text"/>
    <w:basedOn w:val="a"/>
    <w:link w:val="a8"/>
    <w:uiPriority w:val="99"/>
    <w:semiHidden/>
    <w:unhideWhenUsed/>
    <w:rsid w:val="00E952C6"/>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E952C6"/>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952C6"/>
    <w:pPr>
      <w:tabs>
        <w:tab w:val="center" w:pos="4153"/>
        <w:tab w:val="right" w:pos="8306"/>
      </w:tabs>
      <w:snapToGrid w:val="0"/>
    </w:pPr>
    <w:rPr>
      <w:sz w:val="20"/>
      <w:szCs w:val="20"/>
    </w:rPr>
  </w:style>
  <w:style w:type="character" w:customStyle="1" w:styleId="a4">
    <w:name w:val="頁首 字元"/>
    <w:basedOn w:val="a0"/>
    <w:link w:val="a3"/>
    <w:uiPriority w:val="99"/>
    <w:rsid w:val="00E952C6"/>
    <w:rPr>
      <w:sz w:val="20"/>
      <w:szCs w:val="20"/>
    </w:rPr>
  </w:style>
  <w:style w:type="paragraph" w:styleId="a5">
    <w:name w:val="footer"/>
    <w:basedOn w:val="a"/>
    <w:link w:val="a6"/>
    <w:uiPriority w:val="99"/>
    <w:unhideWhenUsed/>
    <w:rsid w:val="00E952C6"/>
    <w:pPr>
      <w:tabs>
        <w:tab w:val="center" w:pos="4153"/>
        <w:tab w:val="right" w:pos="8306"/>
      </w:tabs>
      <w:snapToGrid w:val="0"/>
    </w:pPr>
    <w:rPr>
      <w:sz w:val="20"/>
      <w:szCs w:val="20"/>
    </w:rPr>
  </w:style>
  <w:style w:type="character" w:customStyle="1" w:styleId="a6">
    <w:name w:val="頁尾 字元"/>
    <w:basedOn w:val="a0"/>
    <w:link w:val="a5"/>
    <w:uiPriority w:val="99"/>
    <w:rsid w:val="00E952C6"/>
    <w:rPr>
      <w:sz w:val="20"/>
      <w:szCs w:val="20"/>
    </w:rPr>
  </w:style>
  <w:style w:type="paragraph" w:customStyle="1" w:styleId="MDPI51figurecaption">
    <w:name w:val="MDPI_5.1_figure_caption"/>
    <w:basedOn w:val="a"/>
    <w:qFormat/>
    <w:rsid w:val="00E952C6"/>
    <w:pPr>
      <w:widowControl/>
      <w:adjustRightInd w:val="0"/>
      <w:snapToGrid w:val="0"/>
      <w:spacing w:before="120" w:after="240" w:line="260" w:lineRule="atLeast"/>
      <w:ind w:left="425" w:right="425"/>
      <w:jc w:val="both"/>
    </w:pPr>
    <w:rPr>
      <w:rFonts w:ascii="Palatino Linotype" w:eastAsia="Times New Roman" w:hAnsi="Palatino Linotype" w:cs="Times New Roman"/>
      <w:color w:val="000000"/>
      <w:kern w:val="0"/>
      <w:sz w:val="18"/>
      <w:szCs w:val="20"/>
      <w:lang w:eastAsia="de-DE" w:bidi="en-US"/>
    </w:rPr>
  </w:style>
  <w:style w:type="paragraph" w:styleId="a7">
    <w:name w:val="Balloon Text"/>
    <w:basedOn w:val="a"/>
    <w:link w:val="a8"/>
    <w:uiPriority w:val="99"/>
    <w:semiHidden/>
    <w:unhideWhenUsed/>
    <w:rsid w:val="00E952C6"/>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E952C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tif"/><Relationship Id="rId4" Type="http://schemas.openxmlformats.org/officeDocument/2006/relationships/settings" Target="settings.xml"/><Relationship Id="rId9" Type="http://schemas.openxmlformats.org/officeDocument/2006/relationships/image" Target="media/image2.ti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B4691A-66FF-452B-9445-988A0EA21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3</Pages>
  <Words>254</Words>
  <Characters>1451</Characters>
  <Application>Microsoft Office Word</Application>
  <DocSecurity>0</DocSecurity>
  <Lines>12</Lines>
  <Paragraphs>3</Paragraphs>
  <ScaleCrop>false</ScaleCrop>
  <Company/>
  <LinksUpToDate>false</LinksUpToDate>
  <CharactersWithSpaces>1702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BoKai HSU</dc:creator>
  <cp:keywords/>
  <dc:description/>
  <cp:lastModifiedBy>JHsu</cp:lastModifiedBy>
  <cp:revision>11</cp:revision>
  <dcterms:created xsi:type="dcterms:W3CDTF">2020-08-12T06:16:00Z</dcterms:created>
  <dcterms:modified xsi:type="dcterms:W3CDTF">2020-10-17T16:16:00Z</dcterms:modified>
</cp:coreProperties>
</file>