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82B9F" w14:textId="77777777" w:rsidR="00793B23" w:rsidRPr="002A1387" w:rsidRDefault="00793B23" w:rsidP="00793B23">
      <w:pPr>
        <w:pStyle w:val="MDPI12title"/>
        <w:suppressAutoHyphens/>
      </w:pPr>
      <w:r w:rsidRPr="002A1387">
        <w:t xml:space="preserve">IL-2 and Anti-TGF-β </w:t>
      </w:r>
      <w:r>
        <w:t>P</w:t>
      </w:r>
      <w:r w:rsidRPr="002A1387">
        <w:t xml:space="preserve">romote </w:t>
      </w:r>
      <w:r w:rsidRPr="00A92A08">
        <w:t>NK Cell Reconstitution and Anti-tumor Effects after Syngeneic Hematopoietic Stem Cell Transplantation</w:t>
      </w:r>
    </w:p>
    <w:p w14:paraId="42F9DDE1" w14:textId="69B76E1B" w:rsidR="002E77D6" w:rsidRPr="00D8758E" w:rsidRDefault="002E77D6" w:rsidP="002E77D6">
      <w:pPr>
        <w:pStyle w:val="MDPI13authornames"/>
        <w:suppressAutoHyphens/>
        <w:rPr>
          <w:color w:val="auto"/>
        </w:rPr>
      </w:pPr>
      <w:proofErr w:type="spellStart"/>
      <w:r w:rsidRPr="00D8758E">
        <w:rPr>
          <w:color w:val="auto"/>
        </w:rPr>
        <w:t>Maite</w:t>
      </w:r>
      <w:proofErr w:type="spellEnd"/>
      <w:r w:rsidRPr="00D8758E">
        <w:rPr>
          <w:color w:val="auto"/>
        </w:rPr>
        <w:t xml:space="preserve"> Alvarez, </w:t>
      </w:r>
      <w:proofErr w:type="spellStart"/>
      <w:r w:rsidRPr="00D8758E">
        <w:rPr>
          <w:color w:val="auto"/>
        </w:rPr>
        <w:t>Cordelia</w:t>
      </w:r>
      <w:proofErr w:type="spellEnd"/>
      <w:r w:rsidRPr="00D8758E">
        <w:rPr>
          <w:color w:val="auto"/>
        </w:rPr>
        <w:t xml:space="preserve"> </w:t>
      </w:r>
      <w:proofErr w:type="spellStart"/>
      <w:r w:rsidRPr="00D8758E">
        <w:rPr>
          <w:color w:val="auto"/>
        </w:rPr>
        <w:t>Dunai</w:t>
      </w:r>
      <w:proofErr w:type="spellEnd"/>
      <w:r w:rsidRPr="00D8758E">
        <w:rPr>
          <w:color w:val="auto"/>
        </w:rPr>
        <w:t xml:space="preserve">, Lam T. </w:t>
      </w:r>
      <w:proofErr w:type="spellStart"/>
      <w:r w:rsidRPr="00D8758E">
        <w:rPr>
          <w:color w:val="auto"/>
        </w:rPr>
        <w:t>Khuat</w:t>
      </w:r>
      <w:proofErr w:type="spellEnd"/>
      <w:r w:rsidRPr="00D8758E">
        <w:rPr>
          <w:color w:val="auto"/>
        </w:rPr>
        <w:t xml:space="preserve">, Ethan G. Aguilar, </w:t>
      </w:r>
      <w:bookmarkStart w:id="0" w:name="OLE_LINK40"/>
      <w:bookmarkStart w:id="1" w:name="OLE_LINK41"/>
      <w:r w:rsidRPr="00D8758E">
        <w:rPr>
          <w:color w:val="auto"/>
        </w:rPr>
        <w:t xml:space="preserve">Isabel </w:t>
      </w:r>
      <w:proofErr w:type="spellStart"/>
      <w:r w:rsidRPr="00D8758E">
        <w:rPr>
          <w:color w:val="auto"/>
        </w:rPr>
        <w:t>Barao</w:t>
      </w:r>
      <w:bookmarkEnd w:id="0"/>
      <w:bookmarkEnd w:id="1"/>
      <w:proofErr w:type="spellEnd"/>
      <w:r w:rsidRPr="00D8758E">
        <w:rPr>
          <w:color w:val="auto"/>
        </w:rPr>
        <w:t xml:space="preserve">, and William J. Murphy </w:t>
      </w:r>
    </w:p>
    <w:p w14:paraId="467B577D" w14:textId="77777777" w:rsidR="00793B23" w:rsidRDefault="00793B23" w:rsidP="00E21475">
      <w:pPr>
        <w:pStyle w:val="MDPI52figure"/>
      </w:pPr>
    </w:p>
    <w:p w14:paraId="2E47E3E8" w14:textId="77777777" w:rsidR="001F544D" w:rsidRPr="00E21475" w:rsidRDefault="00420E5C" w:rsidP="00E21475">
      <w:pPr>
        <w:pStyle w:val="MDPI52figure"/>
      </w:pPr>
      <w:r w:rsidRPr="00E21475">
        <w:rPr>
          <w:noProof/>
          <w:lang w:eastAsia="zh-CN" w:bidi="ar-SA"/>
        </w:rPr>
        <w:drawing>
          <wp:inline distT="0" distB="0" distL="0" distR="0" wp14:anchorId="3009CDC1" wp14:editId="0327281A">
            <wp:extent cx="3200400" cy="158105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1019 Cancers SuppFig1.ti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072" b="63897"/>
                    <a:stretch/>
                  </pic:blipFill>
                  <pic:spPr bwMode="auto">
                    <a:xfrm>
                      <a:off x="0" y="0"/>
                      <a:ext cx="3200863" cy="1581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FF0696" w14:textId="5650601C" w:rsidR="001F544D" w:rsidRPr="00E21475" w:rsidRDefault="00E21475" w:rsidP="00E21475">
      <w:pPr>
        <w:pStyle w:val="MDPI51figurecaption"/>
      </w:pPr>
      <w:r w:rsidRPr="00E21475">
        <w:rPr>
          <w:b/>
        </w:rPr>
        <w:t xml:space="preserve">Figure </w:t>
      </w:r>
      <w:r w:rsidR="00725CB7">
        <w:rPr>
          <w:b/>
        </w:rPr>
        <w:t>S</w:t>
      </w:r>
      <w:r w:rsidRPr="00E21475">
        <w:rPr>
          <w:b/>
        </w:rPr>
        <w:t xml:space="preserve">1. </w:t>
      </w:r>
      <w:r w:rsidR="001F544D" w:rsidRPr="00E21475">
        <w:t>The additive effect of anti-TGF</w:t>
      </w:r>
      <w:r w:rsidR="009B2DA2" w:rsidRPr="00E21475">
        <w:t>-</w:t>
      </w:r>
      <w:r w:rsidR="001F544D" w:rsidRPr="00E21475">
        <w:t>β towards IL</w:t>
      </w:r>
      <w:r w:rsidR="009B2DA2" w:rsidRPr="00E21475">
        <w:t>-</w:t>
      </w:r>
      <w:r w:rsidR="001F544D" w:rsidRPr="00E21475">
        <w:t>2 therapy is attenuated at high doses of IL</w:t>
      </w:r>
      <w:r w:rsidR="009B2DA2" w:rsidRPr="00E21475">
        <w:t>-</w:t>
      </w:r>
      <w:r w:rsidR="001F544D" w:rsidRPr="00E21475">
        <w:t xml:space="preserve">2. C57BL/6 mice received </w:t>
      </w:r>
      <w:r w:rsidR="00486261" w:rsidRPr="00E21475">
        <w:t>congenic</w:t>
      </w:r>
      <w:r w:rsidR="001F544D" w:rsidRPr="00E21475">
        <w:t xml:space="preserve"> HSCT and were treated as previously described with low dose (LD:</w:t>
      </w:r>
      <w:r w:rsidR="00CF5F4D" w:rsidRPr="00E21475">
        <w:t xml:space="preserve"> </w:t>
      </w:r>
      <w:r w:rsidR="001F544D" w:rsidRPr="00E21475">
        <w:t>2</w:t>
      </w:r>
      <w:r w:rsidR="005E69FC">
        <w:t xml:space="preserve"> × </w:t>
      </w:r>
      <w:r w:rsidR="001F544D" w:rsidRPr="00E21475">
        <w:t>10</w:t>
      </w:r>
      <w:r w:rsidR="001F544D" w:rsidRPr="00E21475">
        <w:rPr>
          <w:vertAlign w:val="superscript"/>
        </w:rPr>
        <w:t>5</w:t>
      </w:r>
      <w:r w:rsidR="001F544D" w:rsidRPr="00E21475">
        <w:t xml:space="preserve"> IU), intermediate dose (ID:</w:t>
      </w:r>
      <w:r w:rsidR="00CF5F4D" w:rsidRPr="00E21475">
        <w:t xml:space="preserve"> </w:t>
      </w:r>
      <w:r w:rsidR="001F544D" w:rsidRPr="00E21475">
        <w:t>5</w:t>
      </w:r>
      <w:r w:rsidR="005E69FC">
        <w:t xml:space="preserve"> × </w:t>
      </w:r>
      <w:r w:rsidR="001F544D" w:rsidRPr="00E21475">
        <w:t>10</w:t>
      </w:r>
      <w:r w:rsidR="001F544D" w:rsidRPr="00E21475">
        <w:rPr>
          <w:vertAlign w:val="superscript"/>
        </w:rPr>
        <w:t>5</w:t>
      </w:r>
      <w:r w:rsidR="001F544D" w:rsidRPr="00E21475">
        <w:t xml:space="preserve"> IU) or high dose (HD:</w:t>
      </w:r>
      <w:r w:rsidR="00CF5F4D" w:rsidRPr="00E21475">
        <w:t xml:space="preserve"> </w:t>
      </w:r>
      <w:r w:rsidR="001F544D" w:rsidRPr="00E21475">
        <w:t>10</w:t>
      </w:r>
      <w:r w:rsidR="001F544D" w:rsidRPr="00E21475">
        <w:rPr>
          <w:vertAlign w:val="superscript"/>
        </w:rPr>
        <w:t>6</w:t>
      </w:r>
      <w:r w:rsidR="001F544D" w:rsidRPr="00E21475">
        <w:t xml:space="preserve"> IU) of IL</w:t>
      </w:r>
      <w:r w:rsidR="00486261" w:rsidRPr="00E21475">
        <w:t>-</w:t>
      </w:r>
      <w:r w:rsidR="001F544D" w:rsidRPr="00E21475">
        <w:t>2 +/- anti-TGFβ for three or seven days. Data shows the total number of NK cells (CD45</w:t>
      </w:r>
      <w:r w:rsidR="001F544D" w:rsidRPr="00E21475">
        <w:rPr>
          <w:vertAlign w:val="superscript"/>
        </w:rPr>
        <w:t>+</w:t>
      </w:r>
      <w:r w:rsidR="001F544D" w:rsidRPr="00E21475">
        <w:t>CD3</w:t>
      </w:r>
      <w:r w:rsidR="001F544D" w:rsidRPr="00E21475">
        <w:rPr>
          <w:vertAlign w:val="superscript"/>
        </w:rPr>
        <w:t>-</w:t>
      </w:r>
      <w:r w:rsidR="001F544D" w:rsidRPr="00E21475">
        <w:t>NK1.1</w:t>
      </w:r>
      <w:r w:rsidR="001F544D" w:rsidRPr="00E21475">
        <w:rPr>
          <w:vertAlign w:val="superscript"/>
        </w:rPr>
        <w:t>+</w:t>
      </w:r>
      <w:r w:rsidR="001F544D" w:rsidRPr="00E21475">
        <w:t xml:space="preserve">) after HSCT compared to naive NK cells. Data is representative of two experiments with three mice per group (mean ± SEM). One-Way </w:t>
      </w:r>
      <w:r w:rsidR="00486261" w:rsidRPr="00E21475">
        <w:t xml:space="preserve">ANOVA </w:t>
      </w:r>
      <w:r w:rsidR="001F544D" w:rsidRPr="00E21475">
        <w:t>was used to assess significance (*</w:t>
      </w:r>
      <w:r w:rsidR="001F544D" w:rsidRPr="005E69FC">
        <w:rPr>
          <w:i/>
        </w:rPr>
        <w:t>p</w:t>
      </w:r>
      <w:r w:rsidR="005E69FC">
        <w:t xml:space="preserve"> </w:t>
      </w:r>
      <w:r w:rsidR="001F544D" w:rsidRPr="00E21475">
        <w:t>&lt;</w:t>
      </w:r>
      <w:r w:rsidR="005E69FC">
        <w:t xml:space="preserve"> </w:t>
      </w:r>
      <w:r w:rsidR="001F544D" w:rsidRPr="00E21475">
        <w:t>0.05, **</w:t>
      </w:r>
      <w:r w:rsidR="001F544D" w:rsidRPr="005E69FC">
        <w:rPr>
          <w:i/>
        </w:rPr>
        <w:t>p</w:t>
      </w:r>
      <w:r w:rsidR="005E69FC">
        <w:rPr>
          <w:i/>
        </w:rPr>
        <w:t xml:space="preserve"> </w:t>
      </w:r>
      <w:r w:rsidR="001F544D" w:rsidRPr="00E21475">
        <w:t>&lt;</w:t>
      </w:r>
      <w:r w:rsidR="005E69FC">
        <w:t xml:space="preserve"> </w:t>
      </w:r>
      <w:r w:rsidR="001F544D" w:rsidRPr="00E21475">
        <w:t>0.01, ***</w:t>
      </w:r>
      <w:r w:rsidR="001F544D" w:rsidRPr="005E69FC">
        <w:rPr>
          <w:i/>
        </w:rPr>
        <w:t>p</w:t>
      </w:r>
      <w:r w:rsidR="005E69FC">
        <w:t xml:space="preserve"> </w:t>
      </w:r>
      <w:r w:rsidR="001F544D" w:rsidRPr="00E21475">
        <w:t>&lt;</w:t>
      </w:r>
      <w:r w:rsidR="005E69FC">
        <w:t xml:space="preserve"> </w:t>
      </w:r>
      <w:r w:rsidR="001F544D" w:rsidRPr="00E21475">
        <w:t xml:space="preserve">0.001; </w:t>
      </w:r>
      <w:proofErr w:type="spellStart"/>
      <w:r w:rsidR="001F544D" w:rsidRPr="00E21475">
        <w:t>n.s</w:t>
      </w:r>
      <w:proofErr w:type="spellEnd"/>
      <w:r w:rsidR="001F544D" w:rsidRPr="00E21475">
        <w:t xml:space="preserve"> no significance).</w:t>
      </w:r>
    </w:p>
    <w:p w14:paraId="24A85431" w14:textId="77777777" w:rsidR="00420E5C" w:rsidRPr="00E21475" w:rsidRDefault="00420E5C" w:rsidP="00E21475">
      <w:pPr>
        <w:pStyle w:val="MDPI52figure"/>
      </w:pPr>
      <w:r w:rsidRPr="00E21475">
        <w:rPr>
          <w:noProof/>
          <w:lang w:eastAsia="zh-CN" w:bidi="ar-SA"/>
        </w:rPr>
        <w:drawing>
          <wp:inline distT="0" distB="0" distL="0" distR="0" wp14:anchorId="103A2FC3" wp14:editId="2346F5CE">
            <wp:extent cx="3905250" cy="3778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1016 SuppFig2.ti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871" b="51508"/>
                    <a:stretch/>
                  </pic:blipFill>
                  <pic:spPr bwMode="auto">
                    <a:xfrm>
                      <a:off x="0" y="0"/>
                      <a:ext cx="3905250" cy="3778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98DDC1" w14:textId="597B8C51" w:rsidR="00CF09CD" w:rsidRPr="00E21475" w:rsidRDefault="001F544D" w:rsidP="00E21475">
      <w:pPr>
        <w:pStyle w:val="MDPI51figurecaption"/>
      </w:pPr>
      <w:r w:rsidRPr="00E21475">
        <w:rPr>
          <w:b/>
        </w:rPr>
        <w:lastRenderedPageBreak/>
        <w:t xml:space="preserve">Figure </w:t>
      </w:r>
      <w:r w:rsidR="00E21475">
        <w:rPr>
          <w:b/>
        </w:rPr>
        <w:t>S</w:t>
      </w:r>
      <w:r w:rsidRPr="00E21475">
        <w:rPr>
          <w:b/>
        </w:rPr>
        <w:t>2.</w:t>
      </w:r>
      <w:r w:rsidRPr="00E21475">
        <w:t xml:space="preserve"> Impact of the anti-TGF</w:t>
      </w:r>
      <w:r w:rsidR="009B2DA2" w:rsidRPr="00E21475">
        <w:t>-</w:t>
      </w:r>
      <w:r w:rsidRPr="00E21475">
        <w:t>β towards IL</w:t>
      </w:r>
      <w:r w:rsidR="009B2DA2" w:rsidRPr="00E21475">
        <w:t>-</w:t>
      </w:r>
      <w:r w:rsidRPr="00E21475">
        <w:t xml:space="preserve">2 therapy in the </w:t>
      </w:r>
      <w:proofErr w:type="spellStart"/>
      <w:r w:rsidRPr="00E21475">
        <w:t>Treg</w:t>
      </w:r>
      <w:proofErr w:type="spellEnd"/>
      <w:r w:rsidRPr="00E21475">
        <w:t xml:space="preserve"> compartment.</w:t>
      </w:r>
      <w:r w:rsidR="00E21475">
        <w:t xml:space="preserve"> </w:t>
      </w:r>
      <w:r w:rsidRPr="00E21475">
        <w:rPr>
          <w:b/>
        </w:rPr>
        <w:t>(A)</w:t>
      </w:r>
      <w:r w:rsidRPr="00E21475">
        <w:t xml:space="preserve"> Represen</w:t>
      </w:r>
      <w:bookmarkStart w:id="2" w:name="_GoBack"/>
      <w:bookmarkEnd w:id="2"/>
      <w:r w:rsidRPr="00E21475">
        <w:t>tative dot-plots of Foxp3 and CD25 expression on gated CD3</w:t>
      </w:r>
      <w:r w:rsidRPr="00E21475">
        <w:rPr>
          <w:vertAlign w:val="superscript"/>
        </w:rPr>
        <w:t>+</w:t>
      </w:r>
      <w:r w:rsidRPr="00E21475">
        <w:t>CD4</w:t>
      </w:r>
      <w:r w:rsidRPr="00E21475">
        <w:rPr>
          <w:vertAlign w:val="superscript"/>
        </w:rPr>
        <w:t>+</w:t>
      </w:r>
      <w:r w:rsidRPr="00E21475">
        <w:t xml:space="preserve"> T cells.</w:t>
      </w:r>
      <w:r w:rsidRPr="00E21475">
        <w:rPr>
          <w:b/>
        </w:rPr>
        <w:t xml:space="preserve"> (B) </w:t>
      </w:r>
      <w:r w:rsidRPr="00E21475">
        <w:t xml:space="preserve">Total number of </w:t>
      </w:r>
      <w:proofErr w:type="spellStart"/>
      <w:r w:rsidRPr="00E21475">
        <w:t>Tregs</w:t>
      </w:r>
      <w:proofErr w:type="spellEnd"/>
      <w:r w:rsidRPr="00E21475">
        <w:t xml:space="preserve"> (CD3</w:t>
      </w:r>
      <w:r w:rsidRPr="00E21475">
        <w:rPr>
          <w:vertAlign w:val="superscript"/>
        </w:rPr>
        <w:t>+</w:t>
      </w:r>
      <w:r w:rsidRPr="00E21475">
        <w:t>CD4</w:t>
      </w:r>
      <w:r w:rsidRPr="00E21475">
        <w:rPr>
          <w:vertAlign w:val="superscript"/>
        </w:rPr>
        <w:t>+</w:t>
      </w:r>
      <w:r w:rsidRPr="00E21475">
        <w:t>Foxp3</w:t>
      </w:r>
      <w:r w:rsidRPr="00E21475">
        <w:rPr>
          <w:vertAlign w:val="superscript"/>
        </w:rPr>
        <w:t>+</w:t>
      </w:r>
      <w:r w:rsidRPr="00E21475">
        <w:t>CD25</w:t>
      </w:r>
      <w:r w:rsidRPr="00E21475">
        <w:rPr>
          <w:vertAlign w:val="superscript"/>
        </w:rPr>
        <w:t>+</w:t>
      </w:r>
      <w:r w:rsidRPr="00E21475">
        <w:t xml:space="preserve">) is shown 14 days post-HSCT. Data is representative of two experiments with 3 mice per group (mean ± SEM). One-Way </w:t>
      </w:r>
      <w:r w:rsidR="00486261" w:rsidRPr="00E21475">
        <w:t xml:space="preserve">ANOVA </w:t>
      </w:r>
      <w:r w:rsidRPr="00E21475">
        <w:t>wa</w:t>
      </w:r>
      <w:r w:rsidR="00E21475">
        <w:t>s used to assess significance (</w:t>
      </w:r>
      <w:r w:rsidRPr="00E21475">
        <w:t>***</w:t>
      </w:r>
      <w:r w:rsidRPr="0002778E">
        <w:rPr>
          <w:i/>
        </w:rPr>
        <w:t>p</w:t>
      </w:r>
      <w:r w:rsidR="0002778E">
        <w:t xml:space="preserve"> </w:t>
      </w:r>
      <w:r w:rsidRPr="00E21475">
        <w:t>&lt;</w:t>
      </w:r>
      <w:r w:rsidR="0002778E">
        <w:t xml:space="preserve"> </w:t>
      </w:r>
      <w:r w:rsidRPr="00E21475">
        <w:t xml:space="preserve">0.001; </w:t>
      </w:r>
      <w:proofErr w:type="spellStart"/>
      <w:r w:rsidRPr="00E21475">
        <w:t>n.s</w:t>
      </w:r>
      <w:proofErr w:type="spellEnd"/>
      <w:r w:rsidRPr="00E21475">
        <w:t xml:space="preserve"> no significance).</w:t>
      </w:r>
    </w:p>
    <w:p w14:paraId="6E803311" w14:textId="77777777" w:rsidR="00CF09CD" w:rsidRPr="00E21475" w:rsidRDefault="00CF09CD" w:rsidP="00E21475">
      <w:pPr>
        <w:pStyle w:val="MDPI52figure"/>
      </w:pPr>
      <w:r w:rsidRPr="00E21475">
        <w:rPr>
          <w:noProof/>
          <w:lang w:eastAsia="zh-CN" w:bidi="ar-SA"/>
        </w:rPr>
        <w:drawing>
          <wp:inline distT="0" distB="0" distL="0" distR="0" wp14:anchorId="74509F86" wp14:editId="5404C0A7">
            <wp:extent cx="4949952" cy="2063496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01019 Cancers SuppFig3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9952" cy="2063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3F9FA" w14:textId="21C9B904" w:rsidR="001F544D" w:rsidRPr="00E21475" w:rsidRDefault="001F544D" w:rsidP="00E21475">
      <w:pPr>
        <w:pStyle w:val="MDPI51figurecaption"/>
      </w:pPr>
      <w:r w:rsidRPr="00E21475">
        <w:rPr>
          <w:b/>
        </w:rPr>
        <w:t xml:space="preserve">Figure </w:t>
      </w:r>
      <w:r w:rsidR="00E21475">
        <w:rPr>
          <w:b/>
        </w:rPr>
        <w:t>S</w:t>
      </w:r>
      <w:r w:rsidRPr="00E21475">
        <w:rPr>
          <w:b/>
        </w:rPr>
        <w:t>3.</w:t>
      </w:r>
      <w:r w:rsidRPr="00E21475">
        <w:t xml:space="preserve"> Immunotherapy treatment with anti-TGFβ and/or IL</w:t>
      </w:r>
      <w:r w:rsidR="009B2DA2" w:rsidRPr="00E21475">
        <w:t>-</w:t>
      </w:r>
      <w:r w:rsidRPr="00E21475">
        <w:t>2 results in NK cell activation. The treatment with IL</w:t>
      </w:r>
      <w:r w:rsidR="009B2DA2" w:rsidRPr="00E21475">
        <w:t>-</w:t>
      </w:r>
      <w:r w:rsidRPr="00E21475">
        <w:t xml:space="preserve">2 and CT increases the percentage of the activation marker Thy1.2 </w:t>
      </w:r>
      <w:r w:rsidRPr="00E21475">
        <w:rPr>
          <w:b/>
        </w:rPr>
        <w:t xml:space="preserve">(A) </w:t>
      </w:r>
      <w:r w:rsidRPr="00E21475">
        <w:t xml:space="preserve">and </w:t>
      </w:r>
      <w:proofErr w:type="spellStart"/>
      <w:r w:rsidRPr="00E21475">
        <w:t>granzyme</w:t>
      </w:r>
      <w:proofErr w:type="spellEnd"/>
      <w:r w:rsidRPr="00E21475">
        <w:t xml:space="preserve"> B </w:t>
      </w:r>
      <w:r w:rsidRPr="00E21475">
        <w:rPr>
          <w:b/>
        </w:rPr>
        <w:t>(B)</w:t>
      </w:r>
      <w:r w:rsidRPr="00E21475">
        <w:t xml:space="preserve"> on gated NK cells (CD45</w:t>
      </w:r>
      <w:r w:rsidRPr="00E21475">
        <w:rPr>
          <w:vertAlign w:val="superscript"/>
        </w:rPr>
        <w:t>+</w:t>
      </w:r>
      <w:r w:rsidRPr="00E21475">
        <w:t>CD3</w:t>
      </w:r>
      <w:r w:rsidRPr="00E21475">
        <w:rPr>
          <w:vertAlign w:val="superscript"/>
        </w:rPr>
        <w:t>-</w:t>
      </w:r>
      <w:r w:rsidRPr="00E21475">
        <w:t>NK1.1</w:t>
      </w:r>
      <w:r w:rsidRPr="00E21475">
        <w:rPr>
          <w:vertAlign w:val="superscript"/>
        </w:rPr>
        <w:t>+</w:t>
      </w:r>
      <w:r w:rsidRPr="00E21475">
        <w:t xml:space="preserve">). Data are representative of two experiments with 3 mice per group (mean ± SEM). One-Way </w:t>
      </w:r>
      <w:r w:rsidR="00486261" w:rsidRPr="00E21475">
        <w:t xml:space="preserve">ANOVA </w:t>
      </w:r>
      <w:r w:rsidRPr="00E21475">
        <w:t>was used to asses</w:t>
      </w:r>
      <w:r w:rsidR="00486261" w:rsidRPr="00E21475">
        <w:t>s</w:t>
      </w:r>
      <w:r w:rsidRPr="00E21475">
        <w:t xml:space="preserve"> statistical significance (*</w:t>
      </w:r>
      <w:r w:rsidRPr="0002778E">
        <w:rPr>
          <w:i/>
        </w:rPr>
        <w:t>p</w:t>
      </w:r>
      <w:r w:rsidR="0002778E">
        <w:t xml:space="preserve"> </w:t>
      </w:r>
      <w:r w:rsidRPr="00E21475">
        <w:t>&lt;</w:t>
      </w:r>
      <w:r w:rsidR="0002778E">
        <w:t xml:space="preserve"> </w:t>
      </w:r>
      <w:r w:rsidRPr="00E21475">
        <w:t>0.05, **</w:t>
      </w:r>
      <w:r w:rsidRPr="0002778E">
        <w:rPr>
          <w:i/>
        </w:rPr>
        <w:t>p</w:t>
      </w:r>
      <w:r w:rsidR="0002778E">
        <w:t xml:space="preserve"> </w:t>
      </w:r>
      <w:r w:rsidRPr="00E21475">
        <w:t>&lt;</w:t>
      </w:r>
      <w:r w:rsidR="0002778E">
        <w:t xml:space="preserve"> </w:t>
      </w:r>
      <w:r w:rsidRPr="00E21475">
        <w:t>0.01, ***</w:t>
      </w:r>
      <w:r w:rsidRPr="0002778E">
        <w:rPr>
          <w:i/>
        </w:rPr>
        <w:t>p</w:t>
      </w:r>
      <w:r w:rsidR="0002778E">
        <w:t xml:space="preserve"> </w:t>
      </w:r>
      <w:r w:rsidRPr="00E21475">
        <w:t>&lt;</w:t>
      </w:r>
      <w:r w:rsidR="0002778E">
        <w:t xml:space="preserve"> </w:t>
      </w:r>
      <w:r w:rsidRPr="00E21475">
        <w:t>0.001)</w:t>
      </w:r>
      <w:r w:rsidR="00E21475">
        <w:t>.</w:t>
      </w:r>
    </w:p>
    <w:sectPr w:rsidR="001F544D" w:rsidRPr="00E21475" w:rsidSect="00E21475">
      <w:headerReference w:type="default" r:id="rId10"/>
      <w:headerReference w:type="first" r:id="rId11"/>
      <w:footerReference w:type="first" r:id="rId12"/>
      <w:type w:val="continuous"/>
      <w:pgSz w:w="11907" w:h="16840" w:code="9"/>
      <w:pgMar w:top="1417" w:right="1531" w:bottom="1077" w:left="1531" w:header="102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4A9C0" w14:textId="77777777" w:rsidR="007F1C3A" w:rsidRDefault="007F1C3A" w:rsidP="00E21475">
      <w:pPr>
        <w:spacing w:after="0" w:line="240" w:lineRule="auto"/>
      </w:pPr>
      <w:r>
        <w:separator/>
      </w:r>
    </w:p>
  </w:endnote>
  <w:endnote w:type="continuationSeparator" w:id="0">
    <w:p w14:paraId="52BF09BB" w14:textId="77777777" w:rsidR="007F1C3A" w:rsidRDefault="007F1C3A" w:rsidP="00E2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82A50" w14:textId="5C930DCC" w:rsidR="005E69FC" w:rsidRPr="005E69FC" w:rsidRDefault="005E69FC" w:rsidP="005E69FC">
    <w:pPr>
      <w:pStyle w:val="MDPIfooterfirstpage"/>
      <w:spacing w:line="240" w:lineRule="auto"/>
      <w:jc w:val="both"/>
      <w:rPr>
        <w:lang w:val="fr-CH"/>
      </w:rPr>
    </w:pPr>
    <w:r>
      <w:rPr>
        <w:i/>
      </w:rPr>
      <w:t xml:space="preserve">Cancers </w:t>
    </w:r>
    <w:r w:rsidRPr="00F71A8C">
      <w:rPr>
        <w:b/>
      </w:rPr>
      <w:t>20</w:t>
    </w:r>
    <w:r>
      <w:rPr>
        <w:b/>
      </w:rPr>
      <w:t>20</w:t>
    </w:r>
    <w:r w:rsidRPr="00F71A8C">
      <w:t xml:space="preserve">, </w:t>
    </w:r>
    <w:r w:rsidRPr="00F71A8C">
      <w:rPr>
        <w:i/>
      </w:rPr>
      <w:t>1</w:t>
    </w:r>
    <w:r>
      <w:rPr>
        <w:i/>
      </w:rPr>
      <w:t>2</w:t>
    </w:r>
    <w:r w:rsidRPr="00F71A8C">
      <w:t xml:space="preserve">, </w:t>
    </w:r>
    <w:r>
      <w:t xml:space="preserve">x; </w:t>
    </w:r>
    <w:proofErr w:type="spellStart"/>
    <w:r>
      <w:t>doi</w:t>
    </w:r>
    <w:proofErr w:type="spellEnd"/>
    <w:r>
      <w:t>:</w:t>
    </w:r>
    <w:r w:rsidRPr="008B308E">
      <w:rPr>
        <w:lang w:val="fr-CH"/>
      </w:rPr>
      <w:tab/>
      <w:t>www.mdpi.com/journal/</w:t>
    </w:r>
    <w:r w:rsidRPr="00511F0B">
      <w:t>cancers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C4870" w14:textId="77777777" w:rsidR="007F1C3A" w:rsidRDefault="007F1C3A" w:rsidP="00E21475">
      <w:pPr>
        <w:spacing w:after="0" w:line="240" w:lineRule="auto"/>
      </w:pPr>
      <w:r>
        <w:separator/>
      </w:r>
    </w:p>
  </w:footnote>
  <w:footnote w:type="continuationSeparator" w:id="0">
    <w:p w14:paraId="0111EAFC" w14:textId="77777777" w:rsidR="007F1C3A" w:rsidRDefault="007F1C3A" w:rsidP="00E21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A747E" w14:textId="7C2E87F0" w:rsidR="00980E96" w:rsidRPr="00980E96" w:rsidRDefault="00980E96" w:rsidP="00980E96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 w:rsidRPr="00F71A8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F71A8C">
      <w:rPr>
        <w:rFonts w:ascii="Palatino Linotype" w:hAnsi="Palatino Linotype"/>
        <w:sz w:val="16"/>
      </w:rPr>
      <w:t xml:space="preserve">, </w:t>
    </w:r>
    <w:r w:rsidRPr="00F71A8C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0DE67" w14:textId="58D03482" w:rsidR="00793B23" w:rsidRDefault="00793B23" w:rsidP="00793B23">
    <w:pPr>
      <w:pStyle w:val="MDPIheaderjournallogo"/>
    </w:pPr>
    <w:bookmarkStart w:id="3" w:name="OLE_LINK6"/>
    <w:bookmarkStart w:id="4" w:name="OLE_LINK7"/>
    <w:bookmarkStart w:id="5" w:name="_Hlk50632026"/>
    <w:r w:rsidRPr="00A04686">
      <w:rPr>
        <w:noProof/>
        <w:lang w:eastAsia="zh-CN"/>
      </w:rPr>
      <w:drawing>
        <wp:inline distT="0" distB="0" distL="0" distR="0" wp14:anchorId="68AB706F" wp14:editId="14054E2F">
          <wp:extent cx="1685925" cy="428625"/>
          <wp:effectExtent l="0" t="0" r="0" b="0"/>
          <wp:docPr id="5" name="Picture 3" descr="C:\Users\home\Desktop\logos\canc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cancer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51C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2A951E38" wp14:editId="35B50636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EB2E07" w14:textId="77777777" w:rsidR="00793B23" w:rsidRDefault="00793B23" w:rsidP="00793B23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3A55A8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34C6DA56" wp14:editId="4BB2E8DD">
                                <wp:extent cx="538480" cy="35750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8480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951E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33EB2E07" w14:textId="77777777" w:rsidR="00793B23" w:rsidRDefault="00793B23" w:rsidP="00793B23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3A55A8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34C6DA56" wp14:editId="4BB2E8DD">
                          <wp:extent cx="538480" cy="35750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8480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4D"/>
    <w:rsid w:val="0002778E"/>
    <w:rsid w:val="000F46B7"/>
    <w:rsid w:val="001F544D"/>
    <w:rsid w:val="002E77D6"/>
    <w:rsid w:val="00420E5C"/>
    <w:rsid w:val="00486261"/>
    <w:rsid w:val="005E69FC"/>
    <w:rsid w:val="00725CB7"/>
    <w:rsid w:val="00793B23"/>
    <w:rsid w:val="007F1C3A"/>
    <w:rsid w:val="007F6200"/>
    <w:rsid w:val="008120AE"/>
    <w:rsid w:val="008E43ED"/>
    <w:rsid w:val="00980E96"/>
    <w:rsid w:val="009B2DA2"/>
    <w:rsid w:val="00B60EB5"/>
    <w:rsid w:val="00CF09CD"/>
    <w:rsid w:val="00CF5F4D"/>
    <w:rsid w:val="00E2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08D15"/>
  <w15:chartTrackingRefBased/>
  <w15:docId w15:val="{65FC6D5C-E760-4662-A6A9-3A8087C6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2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214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475"/>
  </w:style>
  <w:style w:type="paragraph" w:styleId="Footer">
    <w:name w:val="footer"/>
    <w:basedOn w:val="Normal"/>
    <w:link w:val="FooterChar"/>
    <w:uiPriority w:val="99"/>
    <w:unhideWhenUsed/>
    <w:rsid w:val="00E214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475"/>
  </w:style>
  <w:style w:type="paragraph" w:customStyle="1" w:styleId="MDPI11articletype">
    <w:name w:val="MDPI_1.1_article_type"/>
    <w:next w:val="Normal"/>
    <w:qFormat/>
    <w:rsid w:val="00E21475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21475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21475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21475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E21475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6affiliation">
    <w:name w:val="MDPI_1.6_affiliation"/>
    <w:qFormat/>
    <w:rsid w:val="00E21475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21475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E21475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E21475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E21475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21475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E21475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E21475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E2147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E21475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E21475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E21475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E21475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E21475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E21475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E21475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E21475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E21475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21475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E2147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21475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2147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21475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E21475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21475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E21475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E21475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E21475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E21475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E21475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E21475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E21475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E21475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E21475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E21475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E21475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21475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E2147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E21475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E21475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E21475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E21475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E2147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271</Words>
  <Characters>1384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_x000d_/_x000d_Figure 1. The additive effect of anti-TGF-β towards IL-</dc:title>
  <dc:subject/>
  <dc:creator>MDPI</dc:creator>
  <cp:keywords/>
  <dc:description/>
  <cp:lastModifiedBy>MDPI</cp:lastModifiedBy>
  <cp:revision>11</cp:revision>
  <dcterms:created xsi:type="dcterms:W3CDTF">2020-10-28T23:10:00Z</dcterms:created>
  <dcterms:modified xsi:type="dcterms:W3CDTF">2020-10-29T04:16:00Z</dcterms:modified>
</cp:coreProperties>
</file>