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CE141" w14:textId="4761572C" w:rsidR="002E7740" w:rsidRPr="005E3296" w:rsidRDefault="002E7740" w:rsidP="002E7740">
      <w:pPr>
        <w:pStyle w:val="MDPI12title"/>
      </w:pPr>
      <w:r w:rsidRPr="005E3296">
        <w:t xml:space="preserve">Supplementary Materials: </w:t>
      </w:r>
      <w:r w:rsidR="009C7D17" w:rsidRPr="00CD1D14">
        <w:t xml:space="preserve">“Open Sesame?”: Biomarker Status of Influencing the Human </w:t>
      </w:r>
      <w:proofErr w:type="spellStart"/>
      <w:r w:rsidR="009C7D17" w:rsidRPr="00CD1D14">
        <w:t>Equilibrative</w:t>
      </w:r>
      <w:proofErr w:type="spellEnd"/>
      <w:r w:rsidR="009C7D17" w:rsidRPr="00CD1D14">
        <w:t xml:space="preserve"> Nucleoside Transporter-1 and Molecular Mechanisms Influencing its Expression and Activity in the Uptake and Cytotoxicity of Gemcitabine in Pancreatic Cancer</w:t>
      </w:r>
    </w:p>
    <w:p w14:paraId="71CA52F3" w14:textId="527E8CD4" w:rsidR="002E7740" w:rsidRPr="005E3296" w:rsidRDefault="002E7740" w:rsidP="002E7740">
      <w:pPr>
        <w:pStyle w:val="MDPI13authornames"/>
        <w:rPr>
          <w:vertAlign w:val="superscript"/>
          <w:lang w:val="it-IT"/>
        </w:rPr>
      </w:pPr>
      <w:r w:rsidRPr="005E3296">
        <w:rPr>
          <w:lang w:val="it-IT"/>
        </w:rPr>
        <w:t>Ornella Randazzo, Filippo Papini, Giulia Mantini, Alessandro Gregori, Barbara Parrino, Daniel S.K. Liu, Stella Cascioferro, Daniela Carbone, Godefridus J. Peters, Adam E. Frampton, Ingrid Garajova and Elisa Giovannetti</w:t>
      </w:r>
    </w:p>
    <w:p w14:paraId="72BCA6A9" w14:textId="124EAA82" w:rsidR="00055DDB" w:rsidRPr="005E3296" w:rsidRDefault="00BA7670" w:rsidP="00BA7670">
      <w:pPr>
        <w:pStyle w:val="MDPI52figure"/>
        <w:rPr>
          <w:lang w:val="it-IT"/>
        </w:rPr>
      </w:pPr>
      <w:r w:rsidRPr="005E3296">
        <w:rPr>
          <w:noProof/>
        </w:rPr>
        <w:drawing>
          <wp:inline distT="0" distB="0" distL="0" distR="0" wp14:anchorId="3D7EA91E" wp14:editId="7E94174C">
            <wp:extent cx="4897528" cy="2740046"/>
            <wp:effectExtent l="0" t="0" r="0" b="3175"/>
            <wp:docPr id="6" name="Immagine 5">
              <a:extLst xmlns:a="http://schemas.openxmlformats.org/drawingml/2006/main">
                <a:ext uri="{FF2B5EF4-FFF2-40B4-BE49-F238E27FC236}">
                  <a16:creationId xmlns:a16="http://schemas.microsoft.com/office/drawing/2014/main" id="{4A78107D-79E1-4E2D-AC6D-0DDBC571BDE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>
                      <a:extLst>
                        <a:ext uri="{FF2B5EF4-FFF2-40B4-BE49-F238E27FC236}">
                          <a16:creationId xmlns:a16="http://schemas.microsoft.com/office/drawing/2014/main" id="{4A78107D-79E1-4E2D-AC6D-0DDBC571BDE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6834" cy="274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00647" w14:textId="2178A396" w:rsidR="00BA7670" w:rsidRPr="005E3296" w:rsidRDefault="00BA7670" w:rsidP="00BA7670">
      <w:pPr>
        <w:pStyle w:val="MDPI51figurecaption"/>
        <w:jc w:val="center"/>
        <w:rPr>
          <w:b/>
          <w:bCs/>
        </w:rPr>
      </w:pPr>
      <w:r w:rsidRPr="005E3296">
        <w:rPr>
          <w:b/>
          <w:bCs/>
        </w:rPr>
        <w:t xml:space="preserve">Figure S1. </w:t>
      </w:r>
      <w:r w:rsidRPr="005E3296">
        <w:t>Chemical structures of the drugs transported by nucleoside transporters</w:t>
      </w:r>
      <w:r w:rsidRPr="005E3296">
        <w:rPr>
          <w:b/>
          <w:bCs/>
        </w:rPr>
        <w:t>.</w:t>
      </w:r>
    </w:p>
    <w:p w14:paraId="2C286BCA" w14:textId="25217135" w:rsidR="00BA7670" w:rsidRPr="005E3296" w:rsidRDefault="009830A4" w:rsidP="00BA7670">
      <w:pPr>
        <w:pStyle w:val="MDPI52figure"/>
        <w:rPr>
          <w:lang w:val="it-IT"/>
        </w:rPr>
      </w:pPr>
      <w:r w:rsidRPr="005E329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48F1F" wp14:editId="04A6C21D">
                <wp:simplePos x="0" y="0"/>
                <wp:positionH relativeFrom="margin">
                  <wp:posOffset>50800</wp:posOffset>
                </wp:positionH>
                <wp:positionV relativeFrom="paragraph">
                  <wp:posOffset>4189095</wp:posOffset>
                </wp:positionV>
                <wp:extent cx="351378" cy="369332"/>
                <wp:effectExtent l="0" t="0" r="0" b="0"/>
                <wp:wrapNone/>
                <wp:docPr id="7" name="Text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512EB4-0DED-0240-A44B-D17D918F92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378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651B23" w14:textId="77777777" w:rsidR="00BA7670" w:rsidRDefault="00BA7670" w:rsidP="00BA7670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A48F1F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4pt;margin-top:329.85pt;width:27.65pt;height:29.1pt;z-index:25166131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" filled="f" stroked="f">
                <v:textbox style="mso-fit-shape-to-text:t">
                  <w:txbxContent>
                    <w:p w14:paraId="46651B23" w14:textId="77777777" w:rsidR="00BA7670" w:rsidRDefault="00BA7670" w:rsidP="00BA7670">
                      <w:pPr>
                        <w:rPr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E329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106F1" wp14:editId="768EDC99">
                <wp:simplePos x="0" y="0"/>
                <wp:positionH relativeFrom="column">
                  <wp:posOffset>988060</wp:posOffset>
                </wp:positionH>
                <wp:positionV relativeFrom="paragraph">
                  <wp:posOffset>-69215</wp:posOffset>
                </wp:positionV>
                <wp:extent cx="351378" cy="369332"/>
                <wp:effectExtent l="0" t="0" r="0" b="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362F7B-4CE2-DF43-B5C5-E843283E98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378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3546C" w14:textId="77777777" w:rsidR="00BA7670" w:rsidRDefault="00BA7670" w:rsidP="00BA7670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106F1" id="TextBox 8" o:spid="_x0000_s1027" type="#_x0000_t202" style="position:absolute;left:0;text-align:left;margin-left:77.8pt;margin-top:-5.45pt;width:27.65pt;height:29.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" filled="f" stroked="f">
                <v:textbox style="mso-fit-shape-to-text:t">
                  <w:txbxContent>
                    <w:p w14:paraId="7E93546C" w14:textId="77777777" w:rsidR="00BA7670" w:rsidRDefault="00BA7670" w:rsidP="00BA7670">
                      <w:pPr>
                        <w:rPr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2C5B6C7" wp14:editId="0601CA36">
            <wp:extent cx="3162923" cy="4194122"/>
            <wp:effectExtent l="0" t="0" r="0" b="0"/>
            <wp:docPr id="13" name="Immagine 12">
              <a:extLst xmlns:a="http://schemas.openxmlformats.org/drawingml/2006/main">
                <a:ext uri="{FF2B5EF4-FFF2-40B4-BE49-F238E27FC236}">
                  <a16:creationId xmlns:a16="http://schemas.microsoft.com/office/drawing/2014/main" id="{77983C55-C4D4-4F89-91C2-42DD5CF58DB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magine 12">
                      <a:extLst>
                        <a:ext uri="{FF2B5EF4-FFF2-40B4-BE49-F238E27FC236}">
                          <a16:creationId xmlns:a16="http://schemas.microsoft.com/office/drawing/2014/main" id="{77983C55-C4D4-4F89-91C2-42DD5CF58DB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2923" cy="4194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MON_1665397326"/>
    <w:bookmarkEnd w:id="0"/>
    <w:p w14:paraId="241E41AB" w14:textId="252332CC" w:rsidR="00BA7670" w:rsidRPr="005E3296" w:rsidRDefault="00D419FA" w:rsidP="00BA7670">
      <w:pPr>
        <w:pStyle w:val="MDPI52figure"/>
        <w:rPr>
          <w:lang w:val="it-IT"/>
        </w:rPr>
      </w:pPr>
      <w:r w:rsidRPr="009830A4">
        <w:object w:dxaOrig="8183" w:dyaOrig="3867" w14:anchorId="4D1138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15pt;height:193.55pt" o:ole="">
            <v:imagedata r:id="rId10" o:title=""/>
          </v:shape>
          <o:OLEObject Type="Embed" ProgID="Word.Document.12" ShapeID="_x0000_i1025" DrawAspect="Content" ObjectID="_1665818903" r:id="rId11">
            <o:FieldCodes>\s</o:FieldCodes>
          </o:OLEObject>
        </w:object>
      </w:r>
    </w:p>
    <w:p w14:paraId="284D9509" w14:textId="4B8DD410" w:rsidR="00D419FA" w:rsidRPr="00366AF2" w:rsidRDefault="00C175F2" w:rsidP="00C175F2">
      <w:pPr>
        <w:pStyle w:val="MDPI51figurecaption"/>
      </w:pPr>
      <w:r w:rsidRPr="00C175F2">
        <w:rPr>
          <w:b/>
          <w:bCs/>
        </w:rPr>
        <w:t xml:space="preserve">Figure </w:t>
      </w:r>
      <w:r>
        <w:rPr>
          <w:b/>
          <w:bCs/>
        </w:rPr>
        <w:t>S</w:t>
      </w:r>
      <w:r w:rsidRPr="00C175F2">
        <w:rPr>
          <w:b/>
          <w:bCs/>
        </w:rPr>
        <w:t xml:space="preserve">2. </w:t>
      </w:r>
      <w:r w:rsidR="00BA7670" w:rsidRPr="005E3296">
        <w:t>Studies evaluating hENT-1 expression levels in pancreatic tumors and normal specimens.</w:t>
      </w:r>
      <w:r>
        <w:t xml:space="preserve"> </w:t>
      </w:r>
      <w:r w:rsidRPr="00C175F2">
        <w:t xml:space="preserve">The nucleoside transporter hENT-1iis overexpressed in different tumor types, including PDAC analyzing the RNA sequencing expression data of 9,736 tumors and 8,587 normal samples from the TCGA and the </w:t>
      </w:r>
      <w:proofErr w:type="spellStart"/>
      <w:r w:rsidRPr="00C175F2">
        <w:t>GTEx</w:t>
      </w:r>
      <w:proofErr w:type="spellEnd"/>
      <w:r w:rsidRPr="00C175F2">
        <w:t xml:space="preserve"> projects (http://gepia.cancer-pku.cn/detail.php?gene=SLC29A1) (panel A).  However, the analysis of similarly matched transcriptomics and proteomics public datasets did not show a significance difference in hENT-1 expression leve</w:t>
      </w:r>
      <w:bookmarkStart w:id="1" w:name="_GoBack"/>
      <w:bookmarkEnd w:id="1"/>
      <w:r w:rsidRPr="00C175F2">
        <w:t>ls (panel B).</w:t>
      </w:r>
    </w:p>
    <w:p w14:paraId="31207E2B" w14:textId="75D07DD6" w:rsidR="00D419FA" w:rsidRPr="005E3296" w:rsidRDefault="00D419FA" w:rsidP="00D419FA">
      <w:pPr>
        <w:pStyle w:val="MDPI52figure"/>
        <w:rPr>
          <w:rFonts w:eastAsiaTheme="minorEastAsia"/>
          <w:noProof/>
          <w:snapToGrid/>
          <w:lang w:eastAsia="zh-CN"/>
        </w:rPr>
      </w:pPr>
      <w:r w:rsidRPr="00D419FA">
        <w:rPr>
          <w:rFonts w:eastAsiaTheme="minorEastAsia"/>
          <w:noProof/>
          <w:snapToGrid/>
          <w:lang w:eastAsia="zh-CN"/>
        </w:rPr>
        <w:lastRenderedPageBreak/>
        <w:drawing>
          <wp:inline distT="0" distB="0" distL="0" distR="0" wp14:anchorId="5A78813D" wp14:editId="67675AE8">
            <wp:extent cx="5346155" cy="2033522"/>
            <wp:effectExtent l="0" t="0" r="6985" b="508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97F187A0-1E70-4252-BB19-975DE67477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97F187A0-1E70-4252-BB19-975DE67477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57414" cy="203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B8A0A" w14:textId="429FCC07" w:rsidR="00655F4F" w:rsidRPr="005E3296" w:rsidRDefault="00655F4F" w:rsidP="00655F4F">
      <w:pPr>
        <w:pStyle w:val="MDPI51figurecaption"/>
      </w:pPr>
      <w:r w:rsidRPr="005E3296">
        <w:rPr>
          <w:b/>
          <w:bCs/>
        </w:rPr>
        <w:t xml:space="preserve">Figure S3. </w:t>
      </w:r>
      <w:r w:rsidRPr="005E3296">
        <w:t xml:space="preserve">Stromal and tumor compartment dissection was confirmed by evaluating the protein expression of epithelial and stromal markers (panel </w:t>
      </w:r>
      <w:r w:rsidRPr="00D419FA">
        <w:rPr>
          <w:b/>
          <w:bCs/>
        </w:rPr>
        <w:t>A</w:t>
      </w:r>
      <w:r w:rsidRPr="005E3296">
        <w:t xml:space="preserve">). Moreover, protein expression of specific tumor markers (EPCAM, KRT7 and CDH1) in matched stromal samples ranged from zero to very low levels, indicating a minimal stromal contamination (panel </w:t>
      </w:r>
      <w:r w:rsidRPr="00D419FA">
        <w:rPr>
          <w:b/>
          <w:bCs/>
        </w:rPr>
        <w:t>B</w:t>
      </w:r>
      <w:r w:rsidRPr="005E3296">
        <w:t>).</w:t>
      </w:r>
    </w:p>
    <w:p w14:paraId="1DBCDD4F" w14:textId="6F6ACCA5" w:rsidR="005A1E8C" w:rsidRPr="005E3296" w:rsidRDefault="005A1E8C" w:rsidP="005A1E8C">
      <w:pPr>
        <w:pStyle w:val="MDPI41tablecaption"/>
      </w:pPr>
      <w:r w:rsidRPr="005E3296">
        <w:rPr>
          <w:b/>
        </w:rPr>
        <w:t xml:space="preserve">Table S1. </w:t>
      </w:r>
      <w:r w:rsidRPr="005E3296">
        <w:t xml:space="preserve">Clinicopathological </w:t>
      </w:r>
      <w:r w:rsidRPr="005E3296">
        <w:rPr>
          <w:smallCaps/>
        </w:rPr>
        <w:t>C</w:t>
      </w:r>
      <w:r w:rsidRPr="005E3296">
        <w:t>haracteristics of PDAC Patients Evaluated for hENT-1 mRNA Levels. The expression of hENT-1 was evaluated by quantitative PCR, as described previously [</w:t>
      </w:r>
      <w:r w:rsidR="00C21E1D" w:rsidRPr="005E3296">
        <w:t>1</w:t>
      </w:r>
      <w:r w:rsidRPr="005E3296">
        <w:t>].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16"/>
        <w:gridCol w:w="1022"/>
      </w:tblGrid>
      <w:tr w:rsidR="005A1E8C" w:rsidRPr="005E3296" w14:paraId="0C2598EF" w14:textId="77777777" w:rsidTr="0045255A">
        <w:trPr>
          <w:jc w:val="center"/>
        </w:trPr>
        <w:tc>
          <w:tcPr>
            <w:tcW w:w="0" w:type="auto"/>
            <w:tcBorders>
              <w:top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82EB73" w14:textId="47CF84D4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b/>
                <w:sz w:val="20"/>
              </w:rPr>
            </w:pPr>
            <w:r w:rsidRPr="005E3296">
              <w:rPr>
                <w:rFonts w:eastAsia="Calibri"/>
                <w:b/>
                <w:sz w:val="20"/>
              </w:rPr>
              <w:t>Age—years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8F8D1E" w14:textId="1D757E01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b/>
                <w:sz w:val="20"/>
              </w:rPr>
            </w:pPr>
          </w:p>
        </w:tc>
      </w:tr>
      <w:tr w:rsidR="005A1E8C" w:rsidRPr="005E3296" w14:paraId="2429CFC2" w14:textId="77777777" w:rsidTr="0045255A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68C4EB" w14:textId="01D39485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Mean (± SD)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5738C5" w14:textId="7123648B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65 (± 5)</w:t>
            </w:r>
          </w:p>
        </w:tc>
      </w:tr>
      <w:tr w:rsidR="005A1E8C" w:rsidRPr="005E3296" w14:paraId="5CE0E2AE" w14:textId="77777777" w:rsidTr="005A1E8C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4186B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b/>
                <w:sz w:val="20"/>
              </w:rPr>
            </w:pPr>
            <w:r w:rsidRPr="005E3296">
              <w:rPr>
                <w:rFonts w:eastAsia="Calibri"/>
                <w:b/>
                <w:sz w:val="20"/>
              </w:rPr>
              <w:t>Sex—No.</w:t>
            </w:r>
            <w:r w:rsidRPr="005E3296">
              <w:rPr>
                <w:rFonts w:eastAsia="Calibri"/>
                <w:b/>
                <w:i/>
                <w:sz w:val="20"/>
              </w:rPr>
              <w:t xml:space="preserve"> </w:t>
            </w:r>
            <w:r w:rsidRPr="005E3296">
              <w:rPr>
                <w:rFonts w:eastAsia="Calibri"/>
                <w:b/>
                <w:sz w:val="20"/>
              </w:rPr>
              <w:t>(%)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F9C3FE" w14:textId="3585BB0F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</w:p>
        </w:tc>
      </w:tr>
      <w:tr w:rsidR="005A1E8C" w:rsidRPr="005E3296" w14:paraId="09E30402" w14:textId="77777777" w:rsidTr="005A1E8C">
        <w:trPr>
          <w:jc w:val="center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650D45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 xml:space="preserve">Male 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BAE4A9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12 (54.5)</w:t>
            </w:r>
          </w:p>
        </w:tc>
      </w:tr>
      <w:tr w:rsidR="005A1E8C" w:rsidRPr="005E3296" w14:paraId="2F0EB947" w14:textId="77777777" w:rsidTr="005A1E8C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1D87AF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Female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EB1EF0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10 (45.5)</w:t>
            </w:r>
          </w:p>
        </w:tc>
      </w:tr>
      <w:tr w:rsidR="005A1E8C" w:rsidRPr="005E3296" w14:paraId="522AACD2" w14:textId="77777777" w:rsidTr="005A1E8C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E69555" w14:textId="55342A38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b/>
                <w:sz w:val="20"/>
              </w:rPr>
              <w:t>Stage *—No. (%)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FBD517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</w:p>
        </w:tc>
      </w:tr>
      <w:tr w:rsidR="005A1E8C" w:rsidRPr="005E3296" w14:paraId="500A1C90" w14:textId="77777777" w:rsidTr="005A1E8C">
        <w:trPr>
          <w:jc w:val="center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34C97B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II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2261AD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11 (50)</w:t>
            </w:r>
          </w:p>
        </w:tc>
      </w:tr>
      <w:tr w:rsidR="005A1E8C" w:rsidRPr="005E3296" w14:paraId="4A48D15B" w14:textId="77777777" w:rsidTr="005A1E8C">
        <w:trPr>
          <w:jc w:val="center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F69DAD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III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0BB5C3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11 (50)</w:t>
            </w:r>
          </w:p>
        </w:tc>
      </w:tr>
      <w:tr w:rsidR="005A1E8C" w:rsidRPr="005E3296" w14:paraId="692597B6" w14:textId="77777777" w:rsidTr="005A1E8C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946FE4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b/>
                <w:sz w:val="20"/>
              </w:rPr>
              <w:t>Grading (%)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9563E1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</w:p>
        </w:tc>
      </w:tr>
      <w:tr w:rsidR="005A1E8C" w:rsidRPr="005E3296" w14:paraId="52CFCF73" w14:textId="77777777" w:rsidTr="005A1E8C">
        <w:trPr>
          <w:jc w:val="center"/>
        </w:trPr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3A0D50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G1-G2§</w:t>
            </w:r>
          </w:p>
        </w:tc>
        <w:tc>
          <w:tcPr>
            <w:tcW w:w="0" w:type="auto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1D9AFD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9 (40.9)</w:t>
            </w:r>
          </w:p>
        </w:tc>
      </w:tr>
      <w:tr w:rsidR="005A1E8C" w:rsidRPr="005E3296" w14:paraId="72B93DE5" w14:textId="77777777" w:rsidTr="005A1E8C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564C11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G3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B0E11F" w14:textId="77777777" w:rsidR="005A1E8C" w:rsidRPr="005E3296" w:rsidRDefault="005A1E8C" w:rsidP="005A1E8C">
            <w:pPr>
              <w:pStyle w:val="MDPI16affiliation"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eastAsia="Calibri"/>
                <w:sz w:val="20"/>
              </w:rPr>
            </w:pPr>
            <w:r w:rsidRPr="005E3296">
              <w:rPr>
                <w:rFonts w:eastAsia="Calibri"/>
                <w:sz w:val="20"/>
              </w:rPr>
              <w:t>13 (59.1)</w:t>
            </w:r>
          </w:p>
        </w:tc>
      </w:tr>
    </w:tbl>
    <w:p w14:paraId="5B5AFCB7" w14:textId="75F40924" w:rsidR="005A1E8C" w:rsidRPr="005E3296" w:rsidRDefault="005A1E8C" w:rsidP="005A1E8C">
      <w:pPr>
        <w:pStyle w:val="MDPI43tablefooter"/>
        <w:ind w:left="425" w:right="425"/>
        <w:rPr>
          <w:rFonts w:eastAsia="Calibri"/>
        </w:rPr>
      </w:pPr>
      <w:r w:rsidRPr="005E3296">
        <w:rPr>
          <w:rFonts w:eastAsia="Calibri"/>
        </w:rPr>
        <w:t>Notes: *AJCC Cancer Staging Manual, 7</w:t>
      </w:r>
      <w:r w:rsidRPr="005E3296">
        <w:rPr>
          <w:rFonts w:eastAsia="Calibri"/>
          <w:vertAlign w:val="superscript"/>
        </w:rPr>
        <w:t>th</w:t>
      </w:r>
      <w:r w:rsidRPr="005E3296">
        <w:rPr>
          <w:rFonts w:eastAsia="Calibri"/>
        </w:rPr>
        <w:t xml:space="preserve"> Edition; §WHO grading system 2007; Abbreviations: PDAC = pancreatic ductal adenocarcinoma, No.</w:t>
      </w:r>
      <w:r w:rsidRPr="005E3296">
        <w:rPr>
          <w:rFonts w:eastAsia="Calibri"/>
          <w:i/>
        </w:rPr>
        <w:t xml:space="preserve"> </w:t>
      </w:r>
      <w:r w:rsidRPr="005E3296">
        <w:rPr>
          <w:rFonts w:eastAsia="Calibri"/>
        </w:rPr>
        <w:t>= number of patients.</w:t>
      </w:r>
    </w:p>
    <w:p w14:paraId="2E0FA6D6" w14:textId="5E99A8AF" w:rsidR="005E3296" w:rsidRPr="005E3296" w:rsidRDefault="005E3296" w:rsidP="005E3296">
      <w:pPr>
        <w:pStyle w:val="MDPI31text"/>
        <w:rPr>
          <w:rFonts w:eastAsia="Calibri"/>
        </w:rPr>
      </w:pPr>
      <w:r w:rsidRPr="005E3296">
        <w:rPr>
          <w:rFonts w:eastAsia="Calibri"/>
        </w:rPr>
        <w:t>T</w:t>
      </w:r>
      <w:r w:rsidRPr="005E3296">
        <w:rPr>
          <w:rFonts w:eastAsiaTheme="minorEastAsia"/>
          <w:lang w:eastAsia="zh-CN"/>
        </w:rPr>
        <w:t>able</w:t>
      </w:r>
      <w:r>
        <w:rPr>
          <w:rFonts w:eastAsiaTheme="minorEastAsia"/>
          <w:lang w:eastAsia="zh-CN"/>
        </w:rPr>
        <w:t xml:space="preserve"> S2 can be found in excel.</w:t>
      </w:r>
    </w:p>
    <w:p w14:paraId="1FBAD21E" w14:textId="3F039DB0" w:rsidR="00C21E1D" w:rsidRPr="005E3296" w:rsidRDefault="00C21E1D" w:rsidP="00C21E1D">
      <w:pPr>
        <w:pStyle w:val="MDPI21heading1"/>
        <w:rPr>
          <w:rFonts w:eastAsia="Calibri"/>
        </w:rPr>
      </w:pPr>
      <w:r w:rsidRPr="005E3296">
        <w:rPr>
          <w:rFonts w:eastAsia="Calibri"/>
        </w:rPr>
        <w:t>Reference</w:t>
      </w:r>
    </w:p>
    <w:p w14:paraId="173417EC" w14:textId="2C2FE4AF" w:rsidR="00BA7670" w:rsidRPr="005E3296" w:rsidRDefault="005A1E8C" w:rsidP="00C21E1D">
      <w:pPr>
        <w:pStyle w:val="MDPI16affiliation"/>
        <w:ind w:left="425" w:hanging="425"/>
        <w:jc w:val="both"/>
        <w:rPr>
          <w:rFonts w:eastAsia="Calibri"/>
        </w:rPr>
      </w:pPr>
      <w:r w:rsidRPr="005E3296">
        <w:rPr>
          <w:rFonts w:eastAsia="Calibri"/>
          <w:b/>
          <w:bCs/>
        </w:rPr>
        <w:t>1</w:t>
      </w:r>
      <w:r w:rsidR="00C21E1D" w:rsidRPr="005E3296">
        <w:rPr>
          <w:rFonts w:eastAsia="Calibri"/>
        </w:rPr>
        <w:t>.</w:t>
      </w:r>
      <w:r w:rsidR="00C21E1D" w:rsidRPr="005E3296">
        <w:rPr>
          <w:rFonts w:eastAsia="Calibri"/>
        </w:rPr>
        <w:tab/>
      </w:r>
      <w:proofErr w:type="spellStart"/>
      <w:r w:rsidRPr="005E3296">
        <w:rPr>
          <w:rFonts w:eastAsia="Calibri"/>
        </w:rPr>
        <w:t>Toffalorio</w:t>
      </w:r>
      <w:proofErr w:type="spellEnd"/>
      <w:r w:rsidRPr="005E3296">
        <w:rPr>
          <w:rFonts w:eastAsia="Calibri"/>
        </w:rPr>
        <w:t xml:space="preserve">, F.; Giovannetti, E.; De Pas, T.; </w:t>
      </w:r>
      <w:proofErr w:type="spellStart"/>
      <w:r w:rsidRPr="005E3296">
        <w:rPr>
          <w:rFonts w:eastAsia="Calibri"/>
        </w:rPr>
        <w:t>Radice</w:t>
      </w:r>
      <w:proofErr w:type="spellEnd"/>
      <w:r w:rsidRPr="005E3296">
        <w:rPr>
          <w:rFonts w:eastAsia="Calibri"/>
        </w:rPr>
        <w:t xml:space="preserve">, D.; Pelosi, G.; </w:t>
      </w:r>
      <w:proofErr w:type="spellStart"/>
      <w:r w:rsidRPr="005E3296">
        <w:rPr>
          <w:rFonts w:eastAsia="Calibri"/>
        </w:rPr>
        <w:t>Manzotti</w:t>
      </w:r>
      <w:proofErr w:type="spellEnd"/>
      <w:r w:rsidRPr="005E3296">
        <w:rPr>
          <w:rFonts w:eastAsia="Calibri"/>
        </w:rPr>
        <w:t xml:space="preserve">, M.; </w:t>
      </w:r>
      <w:proofErr w:type="spellStart"/>
      <w:r w:rsidRPr="005E3296">
        <w:rPr>
          <w:rFonts w:eastAsia="Calibri"/>
        </w:rPr>
        <w:t>Minocci</w:t>
      </w:r>
      <w:proofErr w:type="spellEnd"/>
      <w:r w:rsidRPr="005E3296">
        <w:rPr>
          <w:rFonts w:eastAsia="Calibri"/>
        </w:rPr>
        <w:t xml:space="preserve">, D.; </w:t>
      </w:r>
      <w:proofErr w:type="spellStart"/>
      <w:r w:rsidRPr="005E3296">
        <w:rPr>
          <w:rFonts w:eastAsia="Calibri"/>
        </w:rPr>
        <w:t>Spaggiari</w:t>
      </w:r>
      <w:proofErr w:type="spellEnd"/>
      <w:r w:rsidRPr="005E3296">
        <w:rPr>
          <w:rFonts w:eastAsia="Calibri"/>
        </w:rPr>
        <w:t xml:space="preserve">, L.; </w:t>
      </w:r>
      <w:proofErr w:type="spellStart"/>
      <w:r w:rsidRPr="005E3296">
        <w:rPr>
          <w:rFonts w:eastAsia="Calibri"/>
        </w:rPr>
        <w:t>Spitaleri</w:t>
      </w:r>
      <w:proofErr w:type="spellEnd"/>
      <w:r w:rsidRPr="005E3296">
        <w:rPr>
          <w:rFonts w:eastAsia="Calibri"/>
        </w:rPr>
        <w:t xml:space="preserve">, G.; </w:t>
      </w:r>
      <w:proofErr w:type="spellStart"/>
      <w:r w:rsidRPr="005E3296">
        <w:rPr>
          <w:rFonts w:eastAsia="Calibri"/>
        </w:rPr>
        <w:t>Noberasco</w:t>
      </w:r>
      <w:proofErr w:type="spellEnd"/>
      <w:r w:rsidRPr="005E3296">
        <w:rPr>
          <w:rFonts w:eastAsia="Calibri"/>
        </w:rPr>
        <w:t xml:space="preserve">, C.; </w:t>
      </w:r>
      <w:r w:rsidR="00C21E1D" w:rsidRPr="005E3296">
        <w:rPr>
          <w:rFonts w:eastAsia="Calibri"/>
        </w:rPr>
        <w:t>et al</w:t>
      </w:r>
      <w:r w:rsidRPr="005E3296">
        <w:rPr>
          <w:rFonts w:eastAsia="Calibri"/>
        </w:rPr>
        <w:t xml:space="preserve">. Expression of gemcitabine- and cisplatin-related genes in non-small-cell lung cancer. </w:t>
      </w:r>
      <w:r w:rsidRPr="005E3296">
        <w:rPr>
          <w:rFonts w:eastAsia="Calibri"/>
          <w:i/>
          <w:iCs/>
        </w:rPr>
        <w:t>Pharmacogenomics J.</w:t>
      </w:r>
      <w:r w:rsidRPr="005E3296">
        <w:rPr>
          <w:rFonts w:eastAsia="Calibri"/>
        </w:rPr>
        <w:t xml:space="preserve"> </w:t>
      </w:r>
      <w:r w:rsidRPr="005E3296">
        <w:rPr>
          <w:rFonts w:eastAsia="Calibri"/>
          <w:b/>
          <w:bCs/>
        </w:rPr>
        <w:t>2010</w:t>
      </w:r>
      <w:r w:rsidRPr="005E3296">
        <w:rPr>
          <w:rFonts w:eastAsia="Calibri"/>
        </w:rPr>
        <w:t xml:space="preserve">, </w:t>
      </w:r>
      <w:r w:rsidRPr="005E3296">
        <w:rPr>
          <w:rFonts w:eastAsia="Calibri"/>
          <w:i/>
          <w:iCs/>
        </w:rPr>
        <w:t>10</w:t>
      </w:r>
      <w:r w:rsidRPr="005E3296">
        <w:rPr>
          <w:rFonts w:eastAsia="Calibri"/>
        </w:rPr>
        <w:t xml:space="preserve">, 180–190, </w:t>
      </w:r>
      <w:proofErr w:type="spellStart"/>
      <w:r w:rsidRPr="005E3296">
        <w:rPr>
          <w:rFonts w:eastAsia="Calibri"/>
        </w:rPr>
        <w:t>doi</w:t>
      </w:r>
      <w:proofErr w:type="spellEnd"/>
      <w:r w:rsidRPr="005E3296">
        <w:rPr>
          <w:rFonts w:eastAsia="Calibri"/>
        </w:rPr>
        <w:t>: 10.1038/tpj.2009.53.</w:t>
      </w:r>
    </w:p>
    <w:sectPr w:rsidR="00BA7670" w:rsidRPr="005E3296" w:rsidSect="00366AF2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DF34F" w14:textId="77777777" w:rsidR="00BE7320" w:rsidRDefault="00BE7320" w:rsidP="00C1340D">
      <w:r>
        <w:separator/>
      </w:r>
    </w:p>
  </w:endnote>
  <w:endnote w:type="continuationSeparator" w:id="0">
    <w:p w14:paraId="2A4771B2" w14:textId="77777777" w:rsidR="00BE7320" w:rsidRDefault="00BE732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1799C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1841894"/>
      <w:docPartObj>
        <w:docPartGallery w:val="Page Numbers (Bottom of Page)"/>
        <w:docPartUnique/>
      </w:docPartObj>
    </w:sdtPr>
    <w:sdtEndPr/>
    <w:sdtContent>
      <w:p w14:paraId="0985C34F" w14:textId="77777777" w:rsidR="00E27016" w:rsidRDefault="00BE7320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6BA25555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7CA3E" w14:textId="77777777" w:rsidR="00BE7320" w:rsidRDefault="00BE7320" w:rsidP="00C1340D">
      <w:r>
        <w:separator/>
      </w:r>
    </w:p>
  </w:footnote>
  <w:footnote w:type="continuationSeparator" w:id="0">
    <w:p w14:paraId="6FCDA55E" w14:textId="77777777" w:rsidR="00BE7320" w:rsidRDefault="00BE732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29396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B0973" w14:textId="2BED4D4B" w:rsidR="00E27016" w:rsidRPr="00366AF2" w:rsidRDefault="00366AF2" w:rsidP="00366AF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 w:rsidRPr="00F71A8C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F71A8C">
      <w:rPr>
        <w:rFonts w:ascii="Palatino Linotype" w:hAnsi="Palatino Linotype"/>
        <w:sz w:val="16"/>
      </w:rPr>
      <w:t xml:space="preserve">, </w:t>
    </w:r>
    <w:r w:rsidRPr="00F71A8C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ab/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5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20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AC79A" w14:textId="28876562" w:rsidR="002E7740" w:rsidRPr="002E7740" w:rsidRDefault="002E7740" w:rsidP="002E7740">
    <w:pPr>
      <w:tabs>
        <w:tab w:val="right" w:pos="8844"/>
      </w:tabs>
      <w:adjustRightInd w:val="0"/>
      <w:snapToGrid w:val="0"/>
      <w:spacing w:after="240"/>
      <w:rPr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>
      <w:rPr>
        <w:rFonts w:ascii="Palatino Linotype" w:hAnsi="Palatino Linotype"/>
        <w:b/>
        <w:sz w:val="16"/>
      </w:rPr>
      <w:t>2020</w:t>
    </w:r>
    <w:r w:rsidRPr="00F71A8C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12</w:t>
    </w:r>
    <w:r>
      <w:rPr>
        <w:rFonts w:ascii="Palatino Linotype" w:hAnsi="Palatino Linotype"/>
        <w:sz w:val="16"/>
      </w:rPr>
      <w:t>,</w:t>
    </w:r>
    <w:r>
      <w:rPr>
        <w:rFonts w:ascii="Palatino Linotype" w:hAnsi="Palatino Linotype"/>
        <w:sz w:val="16"/>
      </w:rPr>
      <w:tab/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D80AB114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FF725CB6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124C2D86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DB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4F58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544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D0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51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669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740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C1B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AF2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55A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1E8C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296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07D8C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5F4F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1E33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0D0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5B9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A4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C7D17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36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0A9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670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18C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20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5F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1D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59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46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AD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9FA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5DB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0E6C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58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064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95"/>
    <w:rsid w:val="00F502BE"/>
    <w:rsid w:val="00F503BB"/>
    <w:rsid w:val="00F50426"/>
    <w:rsid w:val="00F50483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5AD4103C-FA7D-4D03-BEF6-BE670D82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E8C"/>
    <w:pPr>
      <w:spacing w:line="340" w:lineRule="atLeast"/>
    </w:pPr>
    <w:rPr>
      <w:rFonts w:ascii="Times New Roman" w:eastAsia="Times New Roman" w:hAnsi="Times New Roman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 w:line="260" w:lineRule="atLeast"/>
      <w:outlineLvl w:val="0"/>
    </w:pPr>
    <w:rPr>
      <w:rFonts w:ascii="Arial" w:eastAsiaTheme="minorEastAsia" w:hAnsi="Arial"/>
      <w:b/>
      <w:noProof/>
      <w:sz w:val="20"/>
      <w:u w:val="single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 w:line="260" w:lineRule="atLeast"/>
      <w:outlineLvl w:val="1"/>
    </w:pPr>
    <w:rPr>
      <w:rFonts w:ascii="Arial" w:eastAsiaTheme="minorEastAsia" w:hAnsi="Arial" w:cstheme="majorBidi"/>
      <w:b/>
      <w:noProof/>
      <w:sz w:val="20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7C0926"/>
    <w:pPr>
      <w:spacing w:line="260" w:lineRule="atLeast"/>
      <w:ind w:left="360"/>
      <w:outlineLvl w:val="2"/>
    </w:pPr>
    <w:rPr>
      <w:rFonts w:ascii="Palatino Linotype" w:eastAsiaTheme="minorEastAsia" w:hAnsi="Palatino Linotype"/>
      <w:b/>
      <w:noProof/>
      <w:sz w:val="20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eastAsiaTheme="minorEastAsia" w:hAnsi="Arial" w:cstheme="majorBidi"/>
      <w:b/>
      <w:noProof/>
      <w:sz w:val="20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7C0926"/>
    <w:pPr>
      <w:spacing w:line="260" w:lineRule="atLeast"/>
      <w:ind w:left="706"/>
      <w:outlineLvl w:val="4"/>
    </w:pPr>
    <w:rPr>
      <w:rFonts w:ascii="Palatino Linotype" w:eastAsiaTheme="minorEastAsia" w:hAnsi="Palatino Linotype"/>
      <w:b/>
      <w:noProof/>
      <w:sz w:val="20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7C0926"/>
    <w:pPr>
      <w:spacing w:line="260" w:lineRule="atLeast"/>
      <w:ind w:left="706"/>
      <w:outlineLvl w:val="5"/>
    </w:pPr>
    <w:rPr>
      <w:rFonts w:ascii="Palatino Linotype" w:eastAsiaTheme="minorEastAsia" w:hAnsi="Palatino Linotype" w:cstheme="majorBidi"/>
      <w:noProof/>
      <w:sz w:val="20"/>
      <w:u w:val="single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7C0926"/>
    <w:pPr>
      <w:spacing w:line="260" w:lineRule="atLeast"/>
      <w:ind w:left="706"/>
      <w:outlineLvl w:val="6"/>
    </w:pPr>
    <w:rPr>
      <w:rFonts w:ascii="Palatino Linotype" w:eastAsiaTheme="minorEastAsia" w:hAnsi="Palatino Linotype"/>
      <w:i/>
      <w:noProof/>
      <w:sz w:val="20"/>
      <w:lang w:eastAsia="zh-CN"/>
    </w:rPr>
  </w:style>
  <w:style w:type="paragraph" w:styleId="Heading8">
    <w:name w:val="heading 8"/>
    <w:basedOn w:val="Normal"/>
    <w:next w:val="Normal"/>
    <w:link w:val="Heading8Char"/>
    <w:qFormat/>
    <w:rsid w:val="007C0926"/>
    <w:pPr>
      <w:spacing w:line="260" w:lineRule="atLeast"/>
      <w:ind w:left="706"/>
      <w:outlineLvl w:val="7"/>
    </w:pPr>
    <w:rPr>
      <w:rFonts w:ascii="Palatino Linotype" w:eastAsiaTheme="minorEastAsia" w:hAnsi="Palatino Linotype" w:cstheme="majorBidi"/>
      <w:i/>
      <w:noProof/>
      <w:sz w:val="20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7C0926"/>
    <w:pPr>
      <w:spacing w:line="260" w:lineRule="atLeast"/>
      <w:ind w:left="706"/>
      <w:outlineLvl w:val="8"/>
    </w:pPr>
    <w:rPr>
      <w:rFonts w:ascii="Palatino Linotype" w:eastAsiaTheme="minorEastAsia" w:hAnsi="Palatino Linotype" w:cstheme="majorBidi"/>
      <w:i/>
      <w:noProof/>
      <w:sz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E7740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2E7740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E7740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2E7740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E7740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E7740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2E7740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E7740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2E7740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2E7740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spacing w:line="260" w:lineRule="atLeast"/>
      <w:ind w:right="360"/>
      <w:outlineLvl w:val="0"/>
    </w:pPr>
    <w:rPr>
      <w:rFonts w:ascii="Palatino Linotype" w:eastAsiaTheme="minorEastAsia" w:hAnsi="Palatino Linotype"/>
      <w:i/>
      <w:noProof/>
      <w:sz w:val="20"/>
      <w:lang w:eastAsia="zh-CN"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eastAsiaTheme="minorEastAsia" w:hAnsi="Minion Pro"/>
      <w:noProof/>
      <w:color w:val="000000" w:themeColor="text1"/>
      <w:sz w:val="20"/>
      <w:lang w:eastAsia="zh-CN"/>
    </w:rPr>
  </w:style>
  <w:style w:type="paragraph" w:customStyle="1" w:styleId="Maddress">
    <w:name w:val="M_address"/>
    <w:basedOn w:val="Normal"/>
    <w:rsid w:val="007C0926"/>
    <w:pPr>
      <w:spacing w:before="240" w:line="260" w:lineRule="atLeast"/>
    </w:pPr>
    <w:rPr>
      <w:rFonts w:ascii="Palatino Linotype" w:eastAsiaTheme="minorEastAsia" w:hAnsi="Palatino Linotype"/>
      <w:noProof/>
      <w:sz w:val="20"/>
      <w:lang w:eastAsia="zh-CN"/>
    </w:r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rFonts w:ascii="Palatino Linotype" w:eastAsiaTheme="minorEastAsia" w:hAnsi="Palatino Linotype"/>
      <w:b/>
      <w:noProof/>
      <w:sz w:val="20"/>
      <w:lang w:val="it-IT" w:eastAsia="zh-CN"/>
    </w:rPr>
  </w:style>
  <w:style w:type="paragraph" w:customStyle="1" w:styleId="MCaption">
    <w:name w:val="M_Caption"/>
    <w:basedOn w:val="Normal"/>
    <w:rsid w:val="007C0926"/>
    <w:pPr>
      <w:spacing w:before="240" w:after="240" w:line="260" w:lineRule="atLeast"/>
      <w:jc w:val="center"/>
    </w:pPr>
    <w:rPr>
      <w:rFonts w:ascii="Palatino Linotype" w:eastAsiaTheme="minorEastAsia" w:hAnsi="Palatino Linotype"/>
      <w:noProof/>
      <w:sz w:val="20"/>
      <w:lang w:eastAsia="zh-CN"/>
    </w:r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 w:line="260" w:lineRule="atLeast"/>
      <w:ind w:left="425"/>
    </w:pPr>
    <w:rPr>
      <w:rFonts w:ascii="Minion Pro" w:eastAsiaTheme="minorEastAsia" w:hAnsi="Minion Pro"/>
      <w:noProof/>
      <w:sz w:val="20"/>
      <w:lang w:eastAsia="zh-CN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 w:line="260" w:lineRule="atLeast"/>
      <w:jc w:val="right"/>
    </w:pPr>
    <w:rPr>
      <w:rFonts w:ascii="Palatino Linotype" w:eastAsiaTheme="minorEastAsia" w:hAnsi="Palatino Linotype"/>
      <w:noProof/>
      <w:sz w:val="20"/>
      <w:lang w:eastAsia="zh-CN"/>
    </w:r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 w:line="260" w:lineRule="atLeast"/>
      <w:jc w:val="right"/>
    </w:pPr>
    <w:rPr>
      <w:rFonts w:ascii="Palatino Linotype" w:eastAsiaTheme="minorEastAsia" w:hAnsi="Palatino Linotype"/>
      <w:b/>
      <w:i/>
      <w:noProof/>
      <w:sz w:val="64"/>
      <w:lang w:eastAsia="zh-CN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spacing w:line="260" w:lineRule="atLeast"/>
      <w:ind w:left="461" w:hanging="461"/>
    </w:pPr>
    <w:rPr>
      <w:rFonts w:ascii="Palatino Linotype" w:eastAsiaTheme="minorEastAsia" w:hAnsi="Palatino Linotype"/>
      <w:noProof/>
      <w:sz w:val="20"/>
      <w:lang w:eastAsia="zh-CN"/>
    </w:r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  <w:spacing w:line="260" w:lineRule="atLeast"/>
    </w:pPr>
    <w:rPr>
      <w:rFonts w:ascii="Palatino Linotype" w:eastAsiaTheme="minorEastAsia" w:hAnsi="Palatino Linotype"/>
      <w:noProof/>
      <w:sz w:val="20"/>
      <w:lang w:eastAsia="zh-CN"/>
    </w:r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spacing w:line="260" w:lineRule="atLeast"/>
      <w:ind w:firstLine="288"/>
    </w:pPr>
    <w:rPr>
      <w:rFonts w:ascii="Palatino Linotype" w:eastAsiaTheme="minorEastAsia" w:hAnsi="Palatino Linotype"/>
      <w:noProof/>
      <w:sz w:val="20"/>
      <w:lang w:eastAsia="zh-CN"/>
    </w:rPr>
  </w:style>
  <w:style w:type="paragraph" w:customStyle="1" w:styleId="MTitel">
    <w:name w:val="M_Titel"/>
    <w:basedOn w:val="Normal"/>
    <w:rsid w:val="007C0926"/>
    <w:pPr>
      <w:spacing w:before="240" w:line="260" w:lineRule="atLeast"/>
    </w:pPr>
    <w:rPr>
      <w:rFonts w:ascii="Palatino Linotype" w:eastAsiaTheme="minorEastAsia" w:hAnsi="Palatino Linotype"/>
      <w:b/>
      <w:noProof/>
      <w:sz w:val="36"/>
      <w:lang w:val="en-GB" w:eastAsia="zh-CN"/>
    </w:rPr>
  </w:style>
  <w:style w:type="paragraph" w:customStyle="1" w:styleId="MDPIheader">
    <w:name w:val="MDPI_header"/>
    <w:qFormat/>
    <w:rsid w:val="002E7740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eastAsiaTheme="minorEastAsia" w:hAnsi="Arial"/>
      <w:noProof/>
      <w:sz w:val="20"/>
      <w:lang w:val="de-DE" w:eastAsia="zh-CN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  <w:rPr>
      <w:rFonts w:ascii="Palatino Linotype" w:eastAsiaTheme="minorEastAsia" w:hAnsi="Palatino Linotype"/>
      <w:noProof/>
      <w:sz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spacing w:line="260" w:lineRule="atLeast"/>
      <w:ind w:left="200" w:hangingChars="200" w:hanging="200"/>
      <w:contextualSpacing/>
    </w:pPr>
    <w:rPr>
      <w:rFonts w:ascii="Palatino Linotype" w:eastAsiaTheme="minorEastAsia" w:hAnsi="Palatino Linotype"/>
      <w:noProof/>
      <w:sz w:val="20"/>
      <w:lang w:eastAsia="zh-CN"/>
    </w:rPr>
  </w:style>
  <w:style w:type="paragraph" w:styleId="ListBullet">
    <w:name w:val="List Bullet"/>
    <w:basedOn w:val="Normal"/>
    <w:rsid w:val="007C0926"/>
    <w:pPr>
      <w:tabs>
        <w:tab w:val="num" w:pos="360"/>
      </w:tabs>
      <w:spacing w:line="260" w:lineRule="atLeast"/>
      <w:ind w:left="200" w:hangingChars="200" w:hanging="200"/>
      <w:contextualSpacing/>
    </w:pPr>
    <w:rPr>
      <w:rFonts w:ascii="Palatino Linotype" w:eastAsiaTheme="minorEastAsia" w:hAnsi="Palatino Linotype"/>
      <w:noProof/>
      <w:sz w:val="20"/>
      <w:lang w:eastAsia="zh-CN"/>
    </w:rPr>
  </w:style>
  <w:style w:type="paragraph" w:styleId="ListParagraph">
    <w:name w:val="List Paragraph"/>
    <w:basedOn w:val="Normal"/>
    <w:uiPriority w:val="34"/>
    <w:qFormat/>
    <w:rsid w:val="007C0926"/>
    <w:pPr>
      <w:spacing w:line="260" w:lineRule="atLeast"/>
      <w:ind w:firstLineChars="200" w:firstLine="420"/>
    </w:pPr>
    <w:rPr>
      <w:rFonts w:ascii="Palatino Linotype" w:eastAsiaTheme="minorEastAsia" w:hAnsi="Palatino Linotype"/>
      <w:noProof/>
      <w:sz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7C0926"/>
    <w:pPr>
      <w:spacing w:line="260" w:lineRule="atLeast"/>
    </w:pPr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  <w:pPr>
      <w:spacing w:line="260" w:lineRule="atLeast"/>
    </w:pPr>
    <w:rPr>
      <w:rFonts w:ascii="Palatino Linotype" w:eastAsiaTheme="minorEastAsia" w:hAnsi="Palatino Linotype"/>
      <w:noProof/>
      <w:sz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pPr>
      <w:spacing w:line="260" w:lineRule="atLeast"/>
    </w:pPr>
    <w:rPr>
      <w:rFonts w:ascii="Palatino Linotype" w:eastAsiaTheme="minorEastAsia" w:hAnsi="Palatino Linotype"/>
      <w:noProof/>
      <w:sz w:val="20"/>
      <w:szCs w:val="24"/>
      <w:lang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  <w:pPr>
      <w:spacing w:line="260" w:lineRule="atLeast"/>
    </w:pPr>
    <w:rPr>
      <w:rFonts w:ascii="Palatino Linotype" w:eastAsiaTheme="minorEastAsia" w:hAnsi="Palatino Linotype"/>
      <w:noProof/>
      <w:sz w:val="20"/>
      <w:lang w:eastAsia="zh-CN"/>
    </w:rPr>
  </w:style>
  <w:style w:type="paragraph" w:styleId="Caption">
    <w:name w:val="caption"/>
    <w:basedOn w:val="Normal"/>
    <w:next w:val="Normal"/>
    <w:qFormat/>
    <w:rsid w:val="007C0926"/>
    <w:pPr>
      <w:spacing w:line="260" w:lineRule="atLeast"/>
      <w:ind w:left="850" w:hanging="850"/>
      <w:jc w:val="center"/>
    </w:pPr>
    <w:rPr>
      <w:rFonts w:ascii="Palatino Linotype" w:eastAsiaTheme="minorEastAsia" w:hAnsi="Palatino Linotype"/>
      <w:b/>
      <w:bCs/>
      <w:noProof/>
      <w:sz w:val="20"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rFonts w:ascii="Palatino Linotype" w:eastAsiaTheme="minorEastAsia" w:hAnsi="Palatino Linotype"/>
      <w:noProof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  <w:rPr>
      <w:rFonts w:ascii="Palatino Linotype" w:eastAsiaTheme="minorEastAsia" w:hAnsi="Palatino Linotype"/>
      <w:noProof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rFonts w:ascii="Palatino Linotype" w:eastAsiaTheme="minorEastAsia" w:hAnsi="Palatino Linotype"/>
      <w:noProof/>
      <w:sz w:val="20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Palatino Linotype" w:eastAsiaTheme="minorEastAsia" w:hAnsi="Palatino Linotype"/>
      <w:noProof/>
      <w:sz w:val="20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2E7740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2E7740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E7740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2E7740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2E7740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2E7740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2E7740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2E7740"/>
    <w:pPr>
      <w:numPr>
        <w:numId w:val="8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E7740"/>
    <w:pPr>
      <w:numPr>
        <w:numId w:val="9"/>
      </w:num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E7740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2E7740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2E7740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E7740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E7740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E7740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E7740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2E7740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2E7740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2E7740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E7740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2E7740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2E7740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2E7740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2E7740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2E7740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E7740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E7740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E7740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E7740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2E7740"/>
    <w:pPr>
      <w:numPr>
        <w:numId w:val="10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2E7740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2E7740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2E7740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E7740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2E7740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ascii="Palatino Linotype" w:eastAsia="宋体" w:hAnsi="Palatino Linotype"/>
      <w:b/>
      <w:bCs/>
      <w:noProof/>
      <w:color w:val="auto"/>
      <w:sz w:val="20"/>
      <w:szCs w:val="24"/>
      <w:lang w:eastAsia="zh-CN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  <w:rPr>
      <w:rFonts w:ascii="Palatino Linotype" w:eastAsiaTheme="minorEastAsia" w:hAnsi="Palatino Linotype"/>
      <w:noProof/>
      <w:sz w:val="20"/>
      <w:lang w:eastAsia="zh-CN"/>
    </w:r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b/>
      <w:noProof/>
      <w:sz w:val="22"/>
      <w:szCs w:val="22"/>
      <w:lang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2E7740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2E7740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5C5DF-B9C0-4F98-82AE-FDE43814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322</Words>
  <Characters>1969</Characters>
  <Application>Microsoft Office Word</Application>
  <DocSecurity>0</DocSecurity>
  <Lines>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/>
  <dc:creator>MDPI</dc:creator>
  <cp:keywords/>
  <dc:description/>
  <cp:lastModifiedBy>MDPI</cp:lastModifiedBy>
  <cp:revision>17</cp:revision>
  <dcterms:created xsi:type="dcterms:W3CDTF">2020-10-27T04:03:00Z</dcterms:created>
  <dcterms:modified xsi:type="dcterms:W3CDTF">2020-11-02T02:42:00Z</dcterms:modified>
</cp:coreProperties>
</file>