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F486A" w14:textId="043E0C04" w:rsidR="00636D34" w:rsidRPr="005B4692" w:rsidRDefault="00AA2CE7" w:rsidP="001D5F11">
      <w:pPr>
        <w:pStyle w:val="MDPI11articletype"/>
      </w:pPr>
      <w:r w:rsidRPr="00AA2CE7">
        <w:rPr>
          <w:bCs/>
          <w:szCs w:val="20"/>
        </w:rPr>
        <w:t>Supplementary</w:t>
      </w:r>
      <w:r w:rsidRPr="005B4692">
        <w:t xml:space="preserve"> </w:t>
      </w:r>
      <w:r>
        <w:t>Materials</w:t>
      </w:r>
    </w:p>
    <w:p w14:paraId="14B0AA94" w14:textId="187F8055" w:rsidR="00B937A0" w:rsidRPr="005B4692" w:rsidRDefault="0023556C" w:rsidP="001D5F11">
      <w:pPr>
        <w:pStyle w:val="MDPI12title"/>
      </w:pPr>
      <w:r w:rsidRPr="005B4692">
        <w:t xml:space="preserve">A </w:t>
      </w:r>
      <w:r w:rsidR="00A67B82" w:rsidRPr="005B4692">
        <w:t xml:space="preserve">Pilot Study Comparing </w:t>
      </w:r>
      <w:r w:rsidR="00264BAC" w:rsidRPr="005B4692">
        <w:t xml:space="preserve">the </w:t>
      </w:r>
      <w:r w:rsidR="00A67B82" w:rsidRPr="005B4692">
        <w:t>Efficacy of Lactate Dehydrogenase Levels versus Circulating Cell-Free</w:t>
      </w:r>
      <w:r w:rsidR="00B937A0" w:rsidRPr="005B4692">
        <w:t xml:space="preserve"> microRNAs </w:t>
      </w:r>
      <w:r w:rsidR="00A67B82" w:rsidRPr="005B4692">
        <w:t xml:space="preserve">in Monitoring Responses to Checkpoint Inhibitor Immunotherapy in Metastatic </w:t>
      </w:r>
      <w:r w:rsidR="00ED141C" w:rsidRPr="005B4692">
        <w:br/>
      </w:r>
      <w:r w:rsidR="00A67B82" w:rsidRPr="005B4692">
        <w:t>Melanoma Patients</w:t>
      </w:r>
    </w:p>
    <w:p w14:paraId="2944F1D5" w14:textId="54942E48" w:rsidR="00B937A0" w:rsidRDefault="00B937A0" w:rsidP="001D5F11">
      <w:pPr>
        <w:pStyle w:val="MDPI13authornames"/>
      </w:pPr>
      <w:r w:rsidRPr="005B4692">
        <w:t xml:space="preserve">Matias A. Bustos, Rebecca Gross, Negin Rahimzadeh, Hunter Cole, Linh T. Tran, </w:t>
      </w:r>
      <w:r w:rsidR="00F6459C" w:rsidRPr="005B4692">
        <w:br/>
      </w:r>
      <w:r w:rsidRPr="005B4692">
        <w:t>Kevin D. Tran, Ling Takeshima, Stacey L. Stern, Steven O’Day and Dave S.</w:t>
      </w:r>
      <w:r w:rsidR="00DD07A0" w:rsidRPr="005B4692">
        <w:t xml:space="preserve"> </w:t>
      </w:r>
      <w:r w:rsidRPr="005B4692">
        <w:t>B. Hoon</w:t>
      </w:r>
    </w:p>
    <w:p w14:paraId="12842088" w14:textId="77777777" w:rsidR="00AA2CE7" w:rsidRDefault="00AA2CE7" w:rsidP="00B84BC5">
      <w:pPr>
        <w:pStyle w:val="MDPI21heading1"/>
      </w:pPr>
      <w:bookmarkStart w:id="0" w:name="OLE_LINK1"/>
      <w:bookmarkStart w:id="1" w:name="OLE_LINK2"/>
      <w:bookmarkStart w:id="2" w:name="_GoBack"/>
      <w:bookmarkEnd w:id="2"/>
      <w:r>
        <w:t>Supplementary</w:t>
      </w:r>
      <w:bookmarkEnd w:id="0"/>
      <w:bookmarkEnd w:id="1"/>
      <w:r>
        <w:t xml:space="preserve"> Figures</w:t>
      </w:r>
    </w:p>
    <w:p w14:paraId="587066C4" w14:textId="3D1D0993" w:rsidR="00AA2CE7" w:rsidRPr="00AE52F5" w:rsidRDefault="00AA2CE7" w:rsidP="00B569FD">
      <w:pPr>
        <w:pStyle w:val="MDPI31text"/>
      </w:pPr>
      <w:r w:rsidRPr="004B208E">
        <w:rPr>
          <w:b/>
        </w:rPr>
        <w:t>Supplementary Figure 1.</w:t>
      </w:r>
      <w:r w:rsidRPr="00AE52F5">
        <w:t xml:space="preserve"> </w:t>
      </w:r>
      <w:r>
        <w:t xml:space="preserve">Random Forest algorithm in </w:t>
      </w:r>
      <w:r w:rsidR="00604808">
        <w:t xml:space="preserve">pre-treatment samples from </w:t>
      </w:r>
      <w:r>
        <w:t>stage IV non-responder patients.</w:t>
      </w:r>
      <w:r w:rsidR="00B569FD">
        <w:t xml:space="preserve"> </w:t>
      </w:r>
      <w:r>
        <w:t>Feature i</w:t>
      </w:r>
      <w:r w:rsidRPr="00AE52F5">
        <w:t xml:space="preserve">mportance </w:t>
      </w:r>
      <w:r>
        <w:t xml:space="preserve">scores </w:t>
      </w:r>
      <w:r w:rsidRPr="00AE52F5">
        <w:t>of cfmiRs in classifying normal versus pre-t</w:t>
      </w:r>
      <w:r>
        <w:t xml:space="preserve">reatment </w:t>
      </w:r>
      <w:r w:rsidR="00604808">
        <w:t xml:space="preserve">samples from </w:t>
      </w:r>
      <w:r>
        <w:t>stage-IV non-responder</w:t>
      </w:r>
      <w:r w:rsidRPr="00AE52F5">
        <w:t xml:space="preserve"> patients from the Random Forest classifier.</w:t>
      </w:r>
    </w:p>
    <w:p w14:paraId="1E00818D" w14:textId="020ECED1" w:rsidR="00AA2CE7" w:rsidRDefault="00AA2CE7" w:rsidP="00B569FD">
      <w:pPr>
        <w:pStyle w:val="MDPI31text"/>
      </w:pPr>
      <w:r w:rsidRPr="004B208E">
        <w:rPr>
          <w:b/>
        </w:rPr>
        <w:t>Supplementary Figure 2.</w:t>
      </w:r>
      <w:r w:rsidRPr="00AE52F5">
        <w:t xml:space="preserve"> </w:t>
      </w:r>
      <w:r>
        <w:t xml:space="preserve">Random Forest </w:t>
      </w:r>
      <w:r w:rsidRPr="007A758D">
        <w:t xml:space="preserve">algorithm </w:t>
      </w:r>
      <w:r>
        <w:t xml:space="preserve">in </w:t>
      </w:r>
      <w:r w:rsidR="00604808">
        <w:t xml:space="preserve">post-treatment-1 samples from </w:t>
      </w:r>
      <w:r>
        <w:t>stage IV non-responder patients.</w:t>
      </w:r>
      <w:r w:rsidR="00B569FD" w:rsidRPr="00D741E0">
        <w:rPr>
          <w:bCs/>
        </w:rPr>
        <w:t xml:space="preserve"> </w:t>
      </w:r>
      <w:r>
        <w:t>Feature i</w:t>
      </w:r>
      <w:r w:rsidRPr="00AE52F5">
        <w:t xml:space="preserve">mportance </w:t>
      </w:r>
      <w:r>
        <w:t xml:space="preserve">scores </w:t>
      </w:r>
      <w:r w:rsidRPr="00AE52F5">
        <w:t xml:space="preserve">of cfmiRs in classifying normal versus </w:t>
      </w:r>
      <w:r>
        <w:t>post-treatment (Post-1)</w:t>
      </w:r>
      <w:r w:rsidR="00604808" w:rsidRPr="00604808">
        <w:t xml:space="preserve"> </w:t>
      </w:r>
      <w:r w:rsidR="00604808">
        <w:t xml:space="preserve">samples from </w:t>
      </w:r>
      <w:r>
        <w:t>stage-IV non-responder</w:t>
      </w:r>
      <w:r w:rsidRPr="00AE52F5">
        <w:t xml:space="preserve"> patients from the Random Forest classifier.</w:t>
      </w:r>
    </w:p>
    <w:p w14:paraId="16B84213" w14:textId="1AD18158" w:rsidR="00604808" w:rsidRDefault="00604808" w:rsidP="00604808">
      <w:pPr>
        <w:pStyle w:val="MDPI31text"/>
      </w:pPr>
      <w:r w:rsidRPr="004B208E">
        <w:rPr>
          <w:b/>
        </w:rPr>
        <w:t xml:space="preserve">Supplementary Figure </w:t>
      </w:r>
      <w:r>
        <w:rPr>
          <w:b/>
        </w:rPr>
        <w:t>3</w:t>
      </w:r>
      <w:r w:rsidRPr="004B208E">
        <w:rPr>
          <w:b/>
        </w:rPr>
        <w:t>.</w:t>
      </w:r>
      <w:r w:rsidRPr="00AE52F5">
        <w:t xml:space="preserve"> </w:t>
      </w:r>
      <w:r>
        <w:t xml:space="preserve">Random Forest </w:t>
      </w:r>
      <w:r w:rsidRPr="007A758D">
        <w:t xml:space="preserve">algorithm </w:t>
      </w:r>
      <w:r>
        <w:t>in post-treatment-2 samples from stage IV non-responder patients.</w:t>
      </w:r>
      <w:r w:rsidRPr="00D741E0">
        <w:rPr>
          <w:bCs/>
        </w:rPr>
        <w:t xml:space="preserve"> </w:t>
      </w:r>
      <w:r>
        <w:t>Feature i</w:t>
      </w:r>
      <w:r w:rsidRPr="00AE52F5">
        <w:t xml:space="preserve">mportance </w:t>
      </w:r>
      <w:r>
        <w:t xml:space="preserve">scores </w:t>
      </w:r>
      <w:r w:rsidRPr="00AE52F5">
        <w:t xml:space="preserve">of cfmiRs in classifying normal versus </w:t>
      </w:r>
      <w:r>
        <w:t>post-treatment (Post-2) samples from stage-IV non-responder</w:t>
      </w:r>
      <w:r w:rsidRPr="00AE52F5">
        <w:t xml:space="preserve"> patients from the Random Forest classifier.</w:t>
      </w:r>
    </w:p>
    <w:p w14:paraId="4CE4F967" w14:textId="0D20DE7A" w:rsidR="00AA2CE7" w:rsidRPr="00FF4D92" w:rsidRDefault="00AA2CE7" w:rsidP="00B569FD">
      <w:pPr>
        <w:pStyle w:val="MDPI31text"/>
        <w:rPr>
          <w:b/>
        </w:rPr>
      </w:pPr>
      <w:r w:rsidRPr="004B208E">
        <w:rPr>
          <w:b/>
        </w:rPr>
        <w:t xml:space="preserve">Supplementary Figure </w:t>
      </w:r>
      <w:r w:rsidR="00604808">
        <w:rPr>
          <w:b/>
        </w:rPr>
        <w:t>4</w:t>
      </w:r>
      <w:r w:rsidRPr="004B208E">
        <w:rPr>
          <w:b/>
        </w:rPr>
        <w:t>.</w:t>
      </w:r>
      <w:r w:rsidRPr="00AE52F5">
        <w:t xml:space="preserve"> </w:t>
      </w:r>
      <w:r>
        <w:t xml:space="preserve">CfmiRs detection levels in </w:t>
      </w:r>
      <w:r w:rsidR="00BD5E33">
        <w:t xml:space="preserve">pre- and </w:t>
      </w:r>
      <w:r w:rsidR="0068011C">
        <w:t>post-treatment-</w:t>
      </w:r>
      <w:r w:rsidR="00BD5E33">
        <w:t xml:space="preserve">1 and </w:t>
      </w:r>
      <w:r w:rsidR="0068011C">
        <w:t>2</w:t>
      </w:r>
      <w:r w:rsidR="00BD5E33">
        <w:t xml:space="preserve"> samples from</w:t>
      </w:r>
      <w:r w:rsidR="0068011C">
        <w:t xml:space="preserve"> </w:t>
      </w:r>
      <w:r>
        <w:t>stage IV non-responder patients.</w:t>
      </w:r>
      <w:r w:rsidR="00B569FD">
        <w:t xml:space="preserve"> </w:t>
      </w:r>
      <w:r w:rsidRPr="00D741E0">
        <w:rPr>
          <w:bCs/>
        </w:rPr>
        <w:t>(</w:t>
      </w:r>
      <w:r>
        <w:rPr>
          <w:b/>
        </w:rPr>
        <w:t>A</w:t>
      </w:r>
      <w:r w:rsidR="00D741E0" w:rsidRPr="00D741E0">
        <w:rPr>
          <w:bCs/>
        </w:rPr>
        <w:t>–</w:t>
      </w:r>
      <w:r>
        <w:rPr>
          <w:b/>
        </w:rPr>
        <w:t>I</w:t>
      </w:r>
      <w:r w:rsidRPr="00D741E0">
        <w:rPr>
          <w:bCs/>
        </w:rPr>
        <w:t>)</w:t>
      </w:r>
      <w:r w:rsidRPr="00AE52F5">
        <w:t xml:space="preserve"> </w:t>
      </w:r>
      <w:r>
        <w:t>Boxplot</w:t>
      </w:r>
      <w:r w:rsidR="00826109">
        <w:t>s</w:t>
      </w:r>
      <w:r>
        <w:t xml:space="preserve"> showing the level of miR-4649-3p </w:t>
      </w:r>
      <w:r w:rsidRPr="00D741E0">
        <w:rPr>
          <w:bCs/>
        </w:rPr>
        <w:t>(</w:t>
      </w:r>
      <w:r>
        <w:rPr>
          <w:b/>
        </w:rPr>
        <w:t>A</w:t>
      </w:r>
      <w:r w:rsidRPr="00D741E0">
        <w:rPr>
          <w:bCs/>
        </w:rPr>
        <w:t>)</w:t>
      </w:r>
      <w:r>
        <w:t xml:space="preserve">, miR-615-3p </w:t>
      </w:r>
      <w:r w:rsidRPr="00D741E0">
        <w:rPr>
          <w:bCs/>
        </w:rPr>
        <w:t>(</w:t>
      </w:r>
      <w:r>
        <w:rPr>
          <w:b/>
        </w:rPr>
        <w:t>B</w:t>
      </w:r>
      <w:r w:rsidRPr="00D741E0">
        <w:rPr>
          <w:bCs/>
        </w:rPr>
        <w:t>)</w:t>
      </w:r>
      <w:r>
        <w:t xml:space="preserve">, miR-6511-3p </w:t>
      </w:r>
      <w:r w:rsidRPr="00D741E0">
        <w:rPr>
          <w:bCs/>
        </w:rPr>
        <w:t>(</w:t>
      </w:r>
      <w:r>
        <w:rPr>
          <w:b/>
        </w:rPr>
        <w:t>C</w:t>
      </w:r>
      <w:r w:rsidRPr="00D741E0">
        <w:rPr>
          <w:bCs/>
        </w:rPr>
        <w:t>)</w:t>
      </w:r>
      <w:r w:rsidRPr="00FF4D92">
        <w:t xml:space="preserve">, </w:t>
      </w:r>
      <w:r>
        <w:t xml:space="preserve">miR-6794-5p </w:t>
      </w:r>
      <w:r w:rsidRPr="00D741E0">
        <w:rPr>
          <w:bCs/>
        </w:rPr>
        <w:t>(</w:t>
      </w:r>
      <w:r>
        <w:rPr>
          <w:b/>
        </w:rPr>
        <w:t>D</w:t>
      </w:r>
      <w:r w:rsidRPr="00D741E0">
        <w:rPr>
          <w:bCs/>
        </w:rPr>
        <w:t>)</w:t>
      </w:r>
      <w:r w:rsidRPr="00FF4D92">
        <w:t xml:space="preserve">, </w:t>
      </w:r>
      <w:r>
        <w:t xml:space="preserve">miR-1234-3p </w:t>
      </w:r>
      <w:r w:rsidRPr="00D741E0">
        <w:rPr>
          <w:bCs/>
        </w:rPr>
        <w:t>(</w:t>
      </w:r>
      <w:r>
        <w:rPr>
          <w:b/>
        </w:rPr>
        <w:t>E</w:t>
      </w:r>
      <w:r w:rsidRPr="00D741E0">
        <w:rPr>
          <w:bCs/>
        </w:rPr>
        <w:t>)</w:t>
      </w:r>
      <w:r w:rsidRPr="00FF4D92">
        <w:t xml:space="preserve">, </w:t>
      </w:r>
      <w:r>
        <w:t>miR-3175</w:t>
      </w:r>
      <w:r w:rsidRPr="00D741E0">
        <w:rPr>
          <w:bCs/>
        </w:rPr>
        <w:t xml:space="preserve"> (</w:t>
      </w:r>
      <w:r>
        <w:rPr>
          <w:b/>
        </w:rPr>
        <w:t>F</w:t>
      </w:r>
      <w:r w:rsidRPr="00D741E0">
        <w:rPr>
          <w:bCs/>
        </w:rPr>
        <w:t>)</w:t>
      </w:r>
      <w:r>
        <w:rPr>
          <w:b/>
        </w:rPr>
        <w:t>,</w:t>
      </w:r>
      <w:r w:rsidRPr="00FF4D92">
        <w:t xml:space="preserve"> </w:t>
      </w:r>
      <w:r>
        <w:t xml:space="preserve">miR-4271 </w:t>
      </w:r>
      <w:r w:rsidRPr="00D741E0">
        <w:rPr>
          <w:bCs/>
        </w:rPr>
        <w:t>(</w:t>
      </w:r>
      <w:r>
        <w:rPr>
          <w:b/>
        </w:rPr>
        <w:t>G</w:t>
      </w:r>
      <w:r w:rsidRPr="00D741E0">
        <w:rPr>
          <w:bCs/>
        </w:rPr>
        <w:t>)</w:t>
      </w:r>
      <w:r w:rsidRPr="00FF4D92">
        <w:t xml:space="preserve">, </w:t>
      </w:r>
      <w:r>
        <w:t xml:space="preserve">miR-4306 </w:t>
      </w:r>
      <w:r w:rsidRPr="00D741E0">
        <w:rPr>
          <w:bCs/>
        </w:rPr>
        <w:t>(</w:t>
      </w:r>
      <w:r>
        <w:rPr>
          <w:b/>
        </w:rPr>
        <w:t>H</w:t>
      </w:r>
      <w:r w:rsidRPr="00D741E0">
        <w:rPr>
          <w:bCs/>
        </w:rPr>
        <w:t>)</w:t>
      </w:r>
      <w:r>
        <w:rPr>
          <w:b/>
        </w:rPr>
        <w:t>,</w:t>
      </w:r>
      <w:r>
        <w:t xml:space="preserve"> and</w:t>
      </w:r>
      <w:r w:rsidRPr="00FF4D92">
        <w:t xml:space="preserve"> </w:t>
      </w:r>
      <w:r>
        <w:t xml:space="preserve">miR-4745 </w:t>
      </w:r>
      <w:r w:rsidRPr="00D741E0">
        <w:rPr>
          <w:bCs/>
        </w:rPr>
        <w:t>(</w:t>
      </w:r>
      <w:r>
        <w:rPr>
          <w:b/>
        </w:rPr>
        <w:t>I</w:t>
      </w:r>
      <w:r w:rsidRPr="00D741E0">
        <w:rPr>
          <w:bCs/>
        </w:rPr>
        <w:t>)</w:t>
      </w:r>
      <w:r>
        <w:t xml:space="preserve"> in pre-treatment (Pre), post-treatment (Post-1 and Post-2), and normal plasma samples from stage IV non-responder patients </w:t>
      </w:r>
      <w:r w:rsidRPr="00AE52F5">
        <w:t>(</w:t>
      </w:r>
      <w:r>
        <w:t xml:space="preserve">NS, non-significant; </w:t>
      </w:r>
      <w:r w:rsidRPr="00AE52F5">
        <w:t xml:space="preserve">* </w:t>
      </w:r>
      <w:r w:rsidRPr="00A95C48">
        <w:rPr>
          <w:i/>
        </w:rPr>
        <w:t>P</w:t>
      </w:r>
      <w:r>
        <w:t xml:space="preserve"> </w:t>
      </w:r>
      <w:r w:rsidRPr="00AE52F5">
        <w:t>&lt;</w:t>
      </w:r>
      <w:r>
        <w:t xml:space="preserve"> 0.05, </w:t>
      </w:r>
      <w:r w:rsidRPr="00AE52F5">
        <w:t>*</w:t>
      </w:r>
      <w:r>
        <w:t>*</w:t>
      </w:r>
      <w:r w:rsidRPr="00AE52F5">
        <w:t xml:space="preserve"> </w:t>
      </w:r>
      <w:r w:rsidRPr="00A95C48">
        <w:rPr>
          <w:i/>
        </w:rPr>
        <w:t>P</w:t>
      </w:r>
      <w:r>
        <w:t xml:space="preserve"> </w:t>
      </w:r>
      <w:r w:rsidRPr="00AE52F5">
        <w:t>&lt;</w:t>
      </w:r>
      <w:r>
        <w:t xml:space="preserve"> 0.01, </w:t>
      </w:r>
      <w:r w:rsidRPr="00AE52F5">
        <w:t>*</w:t>
      </w:r>
      <w:r>
        <w:t>**</w:t>
      </w:r>
      <w:r w:rsidRPr="00AE52F5">
        <w:t xml:space="preserve"> </w:t>
      </w:r>
      <w:r w:rsidRPr="00A95C48">
        <w:rPr>
          <w:i/>
        </w:rPr>
        <w:t>P</w:t>
      </w:r>
      <w:r>
        <w:t xml:space="preserve"> </w:t>
      </w:r>
      <w:r w:rsidRPr="00AE52F5">
        <w:t>&lt;</w:t>
      </w:r>
      <w:r>
        <w:t xml:space="preserve"> 0.001).</w:t>
      </w:r>
    </w:p>
    <w:p w14:paraId="42604B93" w14:textId="4103AACA" w:rsidR="00AA2CE7" w:rsidRPr="00FF4D92" w:rsidRDefault="00AA2CE7" w:rsidP="00B569FD">
      <w:pPr>
        <w:pStyle w:val="MDPI31text"/>
        <w:rPr>
          <w:b/>
        </w:rPr>
      </w:pPr>
      <w:r w:rsidRPr="004B208E">
        <w:rPr>
          <w:b/>
        </w:rPr>
        <w:t xml:space="preserve">Supplementary Figure </w:t>
      </w:r>
      <w:r w:rsidR="00604808">
        <w:rPr>
          <w:b/>
        </w:rPr>
        <w:t>5</w:t>
      </w:r>
      <w:r w:rsidRPr="004B208E">
        <w:rPr>
          <w:b/>
        </w:rPr>
        <w:t>.</w:t>
      </w:r>
      <w:r w:rsidRPr="00AE52F5">
        <w:t xml:space="preserve"> </w:t>
      </w:r>
      <w:r>
        <w:t>CfmiR levels in pre</w:t>
      </w:r>
      <w:r w:rsidR="00BD5E33">
        <w:t>-</w:t>
      </w:r>
      <w:r>
        <w:t xml:space="preserve"> and post-CII treated melanoma patients.</w:t>
      </w:r>
      <w:r w:rsidR="00B569FD">
        <w:t xml:space="preserve"> </w:t>
      </w:r>
      <w:r w:rsidRPr="0061292E">
        <w:rPr>
          <w:bCs/>
        </w:rPr>
        <w:t>(</w:t>
      </w:r>
      <w:r>
        <w:rPr>
          <w:b/>
        </w:rPr>
        <w:t>A</w:t>
      </w:r>
      <w:r w:rsidR="0061292E" w:rsidRPr="0061292E">
        <w:rPr>
          <w:bCs/>
        </w:rPr>
        <w:t>–</w:t>
      </w:r>
      <w:r>
        <w:rPr>
          <w:b/>
        </w:rPr>
        <w:t>E</w:t>
      </w:r>
      <w:r w:rsidRPr="0061292E">
        <w:rPr>
          <w:bCs/>
        </w:rPr>
        <w:t>)</w:t>
      </w:r>
      <w:r w:rsidRPr="00AE52F5">
        <w:t xml:space="preserve"> </w:t>
      </w:r>
      <w:r>
        <w:t xml:space="preserve">Boxplot showing the level of miR-4745 </w:t>
      </w:r>
      <w:r w:rsidRPr="0061292E">
        <w:rPr>
          <w:bCs/>
        </w:rPr>
        <w:t>(</w:t>
      </w:r>
      <w:r>
        <w:rPr>
          <w:b/>
        </w:rPr>
        <w:t>A</w:t>
      </w:r>
      <w:r w:rsidRPr="0061292E">
        <w:rPr>
          <w:bCs/>
        </w:rPr>
        <w:t>)</w:t>
      </w:r>
      <w:r>
        <w:t xml:space="preserve">, miR-6511-3p </w:t>
      </w:r>
      <w:r w:rsidRPr="0061292E">
        <w:rPr>
          <w:bCs/>
        </w:rPr>
        <w:t>(</w:t>
      </w:r>
      <w:r>
        <w:rPr>
          <w:b/>
        </w:rPr>
        <w:t>B</w:t>
      </w:r>
      <w:r w:rsidRPr="0061292E">
        <w:rPr>
          <w:bCs/>
        </w:rPr>
        <w:t>)</w:t>
      </w:r>
      <w:r w:rsidRPr="00FF4D92">
        <w:t xml:space="preserve">, </w:t>
      </w:r>
      <w:r>
        <w:t xml:space="preserve">miR-6794-5p </w:t>
      </w:r>
      <w:r w:rsidRPr="0061292E">
        <w:rPr>
          <w:bCs/>
        </w:rPr>
        <w:t>(</w:t>
      </w:r>
      <w:r>
        <w:rPr>
          <w:b/>
        </w:rPr>
        <w:t>C</w:t>
      </w:r>
      <w:r w:rsidRPr="0061292E">
        <w:rPr>
          <w:bCs/>
        </w:rPr>
        <w:t>)</w:t>
      </w:r>
      <w:r>
        <w:t>,</w:t>
      </w:r>
      <w:r w:rsidRPr="00897F07">
        <w:rPr>
          <w:b/>
        </w:rPr>
        <w:t xml:space="preserve"> </w:t>
      </w:r>
      <w:r>
        <w:t xml:space="preserve">miR-4271 </w:t>
      </w:r>
      <w:r w:rsidRPr="0061292E">
        <w:rPr>
          <w:bCs/>
        </w:rPr>
        <w:t>(</w:t>
      </w:r>
      <w:r>
        <w:rPr>
          <w:b/>
        </w:rPr>
        <w:t>D</w:t>
      </w:r>
      <w:r w:rsidRPr="0061292E">
        <w:rPr>
          <w:bCs/>
        </w:rPr>
        <w:t>)</w:t>
      </w:r>
      <w:r w:rsidRPr="00FF4D92">
        <w:t xml:space="preserve">, </w:t>
      </w:r>
      <w:r>
        <w:t xml:space="preserve">miR-3175 </w:t>
      </w:r>
      <w:r w:rsidRPr="0061292E">
        <w:rPr>
          <w:bCs/>
        </w:rPr>
        <w:t>(</w:t>
      </w:r>
      <w:r>
        <w:rPr>
          <w:b/>
        </w:rPr>
        <w:t>E</w:t>
      </w:r>
      <w:r w:rsidRPr="00897F07">
        <w:rPr>
          <w:b/>
        </w:rPr>
        <w:t xml:space="preserve">) </w:t>
      </w:r>
      <w:r w:rsidRPr="00AE52F5">
        <w:t xml:space="preserve">in patients who achieved a </w:t>
      </w:r>
      <w:r>
        <w:t xml:space="preserve">CR </w:t>
      </w:r>
      <w:r w:rsidRPr="00AE52F5">
        <w:t>(</w:t>
      </w:r>
      <w:r>
        <w:t>NS, non-significant).</w:t>
      </w:r>
      <w:r w:rsidRPr="001C50B3">
        <w:rPr>
          <w:b/>
        </w:rPr>
        <w:t xml:space="preserve"> </w:t>
      </w:r>
      <w:r w:rsidRPr="004C29E9">
        <w:rPr>
          <w:bCs/>
        </w:rPr>
        <w:t>(</w:t>
      </w:r>
      <w:r>
        <w:rPr>
          <w:b/>
        </w:rPr>
        <w:t>F</w:t>
      </w:r>
      <w:r w:rsidR="004C29E9" w:rsidRPr="004C29E9">
        <w:rPr>
          <w:bCs/>
        </w:rPr>
        <w:t>–</w:t>
      </w:r>
      <w:r>
        <w:rPr>
          <w:b/>
        </w:rPr>
        <w:t>J</w:t>
      </w:r>
      <w:r w:rsidRPr="004C29E9">
        <w:rPr>
          <w:bCs/>
        </w:rPr>
        <w:t>)</w:t>
      </w:r>
      <w:r w:rsidRPr="00AE52F5">
        <w:t xml:space="preserve"> </w:t>
      </w:r>
      <w:r>
        <w:t xml:space="preserve">Boxplot showing the level of miR-4745-3p </w:t>
      </w:r>
      <w:r w:rsidRPr="00F97FEF">
        <w:rPr>
          <w:bCs/>
        </w:rPr>
        <w:t>(</w:t>
      </w:r>
      <w:r>
        <w:rPr>
          <w:b/>
        </w:rPr>
        <w:t>F</w:t>
      </w:r>
      <w:r w:rsidRPr="00F97FEF">
        <w:rPr>
          <w:bCs/>
        </w:rPr>
        <w:t>)</w:t>
      </w:r>
      <w:r>
        <w:t xml:space="preserve">, miR-6511-3p </w:t>
      </w:r>
      <w:r w:rsidRPr="00F97FEF">
        <w:rPr>
          <w:bCs/>
        </w:rPr>
        <w:t>(</w:t>
      </w:r>
      <w:r>
        <w:rPr>
          <w:b/>
        </w:rPr>
        <w:t>G</w:t>
      </w:r>
      <w:r w:rsidRPr="00F97FEF">
        <w:rPr>
          <w:bCs/>
        </w:rPr>
        <w:t>)</w:t>
      </w:r>
      <w:r>
        <w:t xml:space="preserve">, miR-6794-5p </w:t>
      </w:r>
      <w:r w:rsidRPr="00F97FEF">
        <w:rPr>
          <w:bCs/>
        </w:rPr>
        <w:t>(</w:t>
      </w:r>
      <w:r>
        <w:rPr>
          <w:b/>
        </w:rPr>
        <w:t>H</w:t>
      </w:r>
      <w:r w:rsidRPr="00F97FEF">
        <w:rPr>
          <w:bCs/>
        </w:rPr>
        <w:t>)</w:t>
      </w:r>
      <w:r w:rsidRPr="00FF4D92">
        <w:t xml:space="preserve">, </w:t>
      </w:r>
      <w:r>
        <w:t xml:space="preserve">miR-4271 </w:t>
      </w:r>
      <w:r w:rsidRPr="00F97FEF">
        <w:rPr>
          <w:bCs/>
        </w:rPr>
        <w:t>(</w:t>
      </w:r>
      <w:r>
        <w:rPr>
          <w:b/>
        </w:rPr>
        <w:t>I</w:t>
      </w:r>
      <w:r w:rsidRPr="00F97FEF">
        <w:rPr>
          <w:bCs/>
        </w:rPr>
        <w:t>)</w:t>
      </w:r>
      <w:r w:rsidRPr="00FF4D92">
        <w:t xml:space="preserve">, </w:t>
      </w:r>
      <w:r>
        <w:t xml:space="preserve">miR-3175 </w:t>
      </w:r>
      <w:r w:rsidRPr="00F97FEF">
        <w:rPr>
          <w:bCs/>
        </w:rPr>
        <w:t>(</w:t>
      </w:r>
      <w:r>
        <w:rPr>
          <w:b/>
        </w:rPr>
        <w:t>J</w:t>
      </w:r>
      <w:r w:rsidRPr="00F97FEF">
        <w:rPr>
          <w:bCs/>
        </w:rPr>
        <w:t>)</w:t>
      </w:r>
      <w:r>
        <w:rPr>
          <w:b/>
        </w:rPr>
        <w:t xml:space="preserve"> </w:t>
      </w:r>
      <w:r w:rsidRPr="00AE52F5">
        <w:t xml:space="preserve">in patients who achieved a </w:t>
      </w:r>
      <w:r>
        <w:t xml:space="preserve">PR </w:t>
      </w:r>
      <w:r w:rsidRPr="00AE52F5">
        <w:t>(</w:t>
      </w:r>
      <w:r>
        <w:t>NS, non-significant).</w:t>
      </w:r>
    </w:p>
    <w:p w14:paraId="22CFECE2" w14:textId="0EFDD236" w:rsidR="00AA2CE7" w:rsidRPr="000C7EFC" w:rsidRDefault="00AA2CE7" w:rsidP="00B569FD">
      <w:pPr>
        <w:pStyle w:val="MDPI31text"/>
      </w:pPr>
      <w:r w:rsidRPr="004B208E">
        <w:rPr>
          <w:b/>
        </w:rPr>
        <w:t xml:space="preserve">Supplementary Figure </w:t>
      </w:r>
      <w:r w:rsidR="00604808">
        <w:rPr>
          <w:b/>
        </w:rPr>
        <w:t>6</w:t>
      </w:r>
      <w:r w:rsidRPr="004B208E">
        <w:rPr>
          <w:b/>
        </w:rPr>
        <w:t>.</w:t>
      </w:r>
      <w:r w:rsidRPr="00AE52F5">
        <w:t xml:space="preserve"> </w:t>
      </w:r>
      <w:r>
        <w:t xml:space="preserve">MiR-615-3p levels in </w:t>
      </w:r>
      <w:r w:rsidR="00BD5E33">
        <w:t xml:space="preserve">longitudinal </w:t>
      </w:r>
      <w:r>
        <w:t>bl</w:t>
      </w:r>
      <w:r w:rsidR="00BD5E33">
        <w:t>oo</w:t>
      </w:r>
      <w:r>
        <w:t>ds from stage III non-responder patients.</w:t>
      </w:r>
      <w:r w:rsidR="00B569FD">
        <w:t xml:space="preserve"> </w:t>
      </w:r>
      <w:r w:rsidRPr="00363C98">
        <w:rPr>
          <w:bCs/>
        </w:rPr>
        <w:t>(</w:t>
      </w:r>
      <w:r>
        <w:rPr>
          <w:b/>
        </w:rPr>
        <w:t>A</w:t>
      </w:r>
      <w:r w:rsidRPr="00363C98">
        <w:rPr>
          <w:bCs/>
        </w:rPr>
        <w:t>)</w:t>
      </w:r>
      <w:r w:rsidRPr="00AE52F5">
        <w:t xml:space="preserve"> Boxplots showing the changes in </w:t>
      </w:r>
      <w:r>
        <w:t>miR-615-3p levels</w:t>
      </w:r>
      <w:r w:rsidRPr="00AE52F5">
        <w:t xml:space="preserve"> </w:t>
      </w:r>
      <w:r>
        <w:t>stage III patient non-responders when patients developed</w:t>
      </w:r>
      <w:r w:rsidRPr="00AE52F5">
        <w:t xml:space="preserve"> </w:t>
      </w:r>
      <w:r>
        <w:t xml:space="preserve">progressive disease (PD, </w:t>
      </w:r>
      <w:r w:rsidRPr="00D35DF3">
        <w:rPr>
          <w:i/>
        </w:rPr>
        <w:t>P</w:t>
      </w:r>
      <w:r>
        <w:t xml:space="preserve"> values are indicated on top) compared to pre-treatment samples</w:t>
      </w:r>
      <w:r w:rsidRPr="00363C98">
        <w:t>. (</w:t>
      </w:r>
      <w:r>
        <w:rPr>
          <w:b/>
        </w:rPr>
        <w:t>B</w:t>
      </w:r>
      <w:r w:rsidRPr="00363C98">
        <w:rPr>
          <w:bCs/>
        </w:rPr>
        <w:t>)</w:t>
      </w:r>
      <w:r>
        <w:t xml:space="preserve"> Graph showing four melanoma patients: stage III non-responder (III-NR) patient 1B. Shown is the follow-up in months, LDH levels (labeled as light gray), and miR-615-3p levels (labeled as light blue; normalized counts, ncounts) at the indicated time points. Red line points to RECIST 1.1. </w:t>
      </w:r>
      <w:r w:rsidR="00146EAE">
        <w:t>Gray solid</w:t>
      </w:r>
      <w:r>
        <w:t xml:space="preserve"> line indicates the upper limit normal (ULN) for LDH. </w:t>
      </w:r>
      <w:r w:rsidR="00146EAE">
        <w:t>Black d</w:t>
      </w:r>
      <w:r>
        <w:t>otted line indicates the average level detected in normal plasma samples. Green</w:t>
      </w:r>
      <w:r w:rsidR="00146EAE">
        <w:t xml:space="preserve"> solid</w:t>
      </w:r>
      <w:r>
        <w:t xml:space="preserve"> line indicates the start of CII.</w:t>
      </w:r>
      <w:r w:rsidRPr="00363C98">
        <w:rPr>
          <w:bCs/>
        </w:rPr>
        <w:t xml:space="preserve"> (</w:t>
      </w:r>
      <w:r>
        <w:rPr>
          <w:b/>
        </w:rPr>
        <w:t>C</w:t>
      </w:r>
      <w:r w:rsidRPr="00363C98">
        <w:rPr>
          <w:bCs/>
        </w:rPr>
        <w:t>)</w:t>
      </w:r>
      <w:r w:rsidRPr="00AE52F5">
        <w:t xml:space="preserve"> Boxplots showing the changes in </w:t>
      </w:r>
      <w:r>
        <w:t>miR-615-3p levels</w:t>
      </w:r>
      <w:r w:rsidRPr="00AE52F5">
        <w:t xml:space="preserve"> </w:t>
      </w:r>
      <w:r>
        <w:t>stage III patient responders when patients developed</w:t>
      </w:r>
      <w:r w:rsidRPr="00AE52F5">
        <w:t xml:space="preserve"> </w:t>
      </w:r>
      <w:r>
        <w:t>complete response (CR) compared to pre-treatment samples.</w:t>
      </w:r>
    </w:p>
    <w:p w14:paraId="6B38D01A" w14:textId="2E560B35" w:rsidR="00AA2CE7" w:rsidRDefault="00AA2CE7" w:rsidP="00B569FD">
      <w:pPr>
        <w:pStyle w:val="MDPI31text"/>
      </w:pPr>
      <w:r w:rsidRPr="004B208E">
        <w:rPr>
          <w:b/>
        </w:rPr>
        <w:t xml:space="preserve">Supplementary Figure </w:t>
      </w:r>
      <w:r w:rsidR="00604808">
        <w:rPr>
          <w:b/>
        </w:rPr>
        <w:t>7</w:t>
      </w:r>
      <w:r w:rsidRPr="004B208E">
        <w:rPr>
          <w:b/>
        </w:rPr>
        <w:t>.</w:t>
      </w:r>
      <w:r w:rsidRPr="00AE52F5">
        <w:t xml:space="preserve"> </w:t>
      </w:r>
      <w:r>
        <w:t xml:space="preserve">MiR-4649-3p levels in </w:t>
      </w:r>
      <w:r w:rsidR="00BD5E33">
        <w:t>longitudina</w:t>
      </w:r>
      <w:r>
        <w:t>l bl</w:t>
      </w:r>
      <w:r w:rsidR="00BD5E33">
        <w:t>oo</w:t>
      </w:r>
      <w:r>
        <w:t>ds from stage IV non-responder patients</w:t>
      </w:r>
      <w:r w:rsidRPr="00DC57E9">
        <w:t>.</w:t>
      </w:r>
      <w:r w:rsidR="00B569FD" w:rsidRPr="00DC57E9">
        <w:t xml:space="preserve"> </w:t>
      </w:r>
      <w:r w:rsidRPr="00DC57E9">
        <w:t>(</w:t>
      </w:r>
      <w:r>
        <w:rPr>
          <w:b/>
        </w:rPr>
        <w:t>A</w:t>
      </w:r>
      <w:r w:rsidR="00DC57E9" w:rsidRPr="00DC57E9">
        <w:rPr>
          <w:bCs/>
        </w:rPr>
        <w:t>–</w:t>
      </w:r>
      <w:r>
        <w:rPr>
          <w:b/>
        </w:rPr>
        <w:t>E</w:t>
      </w:r>
      <w:r w:rsidRPr="00DC57E9">
        <w:rPr>
          <w:bCs/>
        </w:rPr>
        <w:t>)</w:t>
      </w:r>
      <w:r>
        <w:t xml:space="preserve"> </w:t>
      </w:r>
      <w:r w:rsidRPr="008F75A4">
        <w:t>Graph</w:t>
      </w:r>
      <w:r>
        <w:t>s</w:t>
      </w:r>
      <w:r w:rsidRPr="008F75A4">
        <w:t xml:space="preserve"> showing four melanoma patients: stage IV non-responder (IV-NR) patient 1</w:t>
      </w:r>
      <w:r>
        <w:t xml:space="preserve">D </w:t>
      </w:r>
      <w:r w:rsidRPr="002F495B">
        <w:rPr>
          <w:bCs/>
        </w:rPr>
        <w:t>(</w:t>
      </w:r>
      <w:r w:rsidRPr="000C7EFC">
        <w:rPr>
          <w:b/>
        </w:rPr>
        <w:t>A</w:t>
      </w:r>
      <w:r w:rsidRPr="002F495B">
        <w:rPr>
          <w:bCs/>
        </w:rPr>
        <w:t>)</w:t>
      </w:r>
      <w:r>
        <w:t xml:space="preserve"> or patient 5D</w:t>
      </w:r>
      <w:r w:rsidRPr="008F75A4">
        <w:t xml:space="preserve"> </w:t>
      </w:r>
      <w:r w:rsidRPr="002F495B">
        <w:rPr>
          <w:bCs/>
        </w:rPr>
        <w:t>(</w:t>
      </w:r>
      <w:r w:rsidRPr="000C7EFC">
        <w:rPr>
          <w:b/>
        </w:rPr>
        <w:t>B</w:t>
      </w:r>
      <w:r w:rsidRPr="002F495B">
        <w:rPr>
          <w:bCs/>
        </w:rPr>
        <w:t>)</w:t>
      </w:r>
      <w:r w:rsidRPr="008F75A4">
        <w:t xml:space="preserve">; stage IV responders (IV-R) patient </w:t>
      </w:r>
      <w:r>
        <w:t xml:space="preserve">2C </w:t>
      </w:r>
      <w:r w:rsidRPr="002F495B">
        <w:rPr>
          <w:bCs/>
        </w:rPr>
        <w:t>(</w:t>
      </w:r>
      <w:r w:rsidRPr="000C7EFC">
        <w:rPr>
          <w:b/>
        </w:rPr>
        <w:t>C</w:t>
      </w:r>
      <w:r w:rsidRPr="002F495B">
        <w:rPr>
          <w:bCs/>
        </w:rPr>
        <w:t>)</w:t>
      </w:r>
      <w:r>
        <w:t xml:space="preserve"> or patient 10C</w:t>
      </w:r>
      <w:r w:rsidRPr="008F75A4">
        <w:t xml:space="preserve"> </w:t>
      </w:r>
      <w:r w:rsidRPr="002F495B">
        <w:rPr>
          <w:bCs/>
        </w:rPr>
        <w:t>(</w:t>
      </w:r>
      <w:r w:rsidRPr="000C7EFC">
        <w:rPr>
          <w:b/>
        </w:rPr>
        <w:t>D</w:t>
      </w:r>
      <w:r w:rsidRPr="002F495B">
        <w:rPr>
          <w:bCs/>
        </w:rPr>
        <w:t>)</w:t>
      </w:r>
      <w:r w:rsidRPr="000C7EFC">
        <w:t>;</w:t>
      </w:r>
      <w:r>
        <w:rPr>
          <w:b/>
        </w:rPr>
        <w:t xml:space="preserve"> </w:t>
      </w:r>
      <w:r>
        <w:t xml:space="preserve">stage III non-responder (III-NR) patient 1B </w:t>
      </w:r>
      <w:r w:rsidRPr="002F495B">
        <w:rPr>
          <w:bCs/>
        </w:rPr>
        <w:t>(</w:t>
      </w:r>
      <w:r>
        <w:rPr>
          <w:b/>
        </w:rPr>
        <w:t>E</w:t>
      </w:r>
      <w:r w:rsidRPr="002F495B">
        <w:rPr>
          <w:bCs/>
        </w:rPr>
        <w:t>)</w:t>
      </w:r>
      <w:r w:rsidRPr="008F75A4">
        <w:t>. Shown is the follow-up in months, LDH levels (labeled as light gray), and miR-</w:t>
      </w:r>
      <w:r>
        <w:t xml:space="preserve">4649-3p </w:t>
      </w:r>
      <w:r w:rsidRPr="008F75A4">
        <w:t xml:space="preserve">levels (labeled as light blue; normalized counts, ncounts) at the indicated time points. Red line points to RECIST 1.1. Gray solid line indicates the upper limit normal (ULN) for </w:t>
      </w:r>
      <w:r w:rsidRPr="008F75A4">
        <w:lastRenderedPageBreak/>
        <w:t xml:space="preserve">LDH. </w:t>
      </w:r>
      <w:r w:rsidR="00146EAE">
        <w:t>Black d</w:t>
      </w:r>
      <w:r w:rsidRPr="008F75A4">
        <w:t xml:space="preserve">otted line indicates the average level detected in normal plasma samples. Green </w:t>
      </w:r>
      <w:r w:rsidR="00146EAE">
        <w:t xml:space="preserve">solid </w:t>
      </w:r>
      <w:r w:rsidRPr="008F75A4">
        <w:t>line indicates the start of CII.</w:t>
      </w:r>
      <w:r>
        <w:t xml:space="preserve"> </w:t>
      </w:r>
    </w:p>
    <w:p w14:paraId="584D3F2A" w14:textId="2957E7E7" w:rsidR="00FC6DC2" w:rsidRDefault="00FC6DC2" w:rsidP="00D875F7">
      <w:pPr>
        <w:pStyle w:val="MDPI41tablecaption"/>
        <w:jc w:val="center"/>
      </w:pPr>
      <w:r w:rsidRPr="00FC6DC2">
        <w:rPr>
          <w:b/>
        </w:rPr>
        <w:t xml:space="preserve">Table </w:t>
      </w:r>
      <w:r>
        <w:rPr>
          <w:b/>
        </w:rPr>
        <w:t>S</w:t>
      </w:r>
      <w:r w:rsidRPr="00FC6DC2">
        <w:rPr>
          <w:b/>
        </w:rPr>
        <w:t xml:space="preserve">1. </w:t>
      </w:r>
      <w:r w:rsidRPr="00343346">
        <w:rPr>
          <w:vertAlign w:val="superscript"/>
        </w:rPr>
        <w:t>1</w:t>
      </w:r>
      <w:r w:rsidRPr="00FC6DC2">
        <w:t>CfmiR identified in pre-treatment samples of stage III/IV responders.</w:t>
      </w:r>
    </w:p>
    <w:tbl>
      <w:tblPr>
        <w:tblStyle w:val="TableGrid"/>
        <w:tblW w:w="1010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1573"/>
        <w:gridCol w:w="1345"/>
        <w:gridCol w:w="2278"/>
        <w:gridCol w:w="2045"/>
        <w:gridCol w:w="1309"/>
      </w:tblGrid>
      <w:tr w:rsidR="00FC6DC2" w:rsidRPr="00FC6DC2" w14:paraId="73DDB64F" w14:textId="77777777" w:rsidTr="00343346">
        <w:trPr>
          <w:jc w:val="center"/>
        </w:trPr>
        <w:tc>
          <w:tcPr>
            <w:tcW w:w="155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2FA33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FC6DC2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Probe</w:t>
            </w:r>
          </w:p>
        </w:tc>
        <w:tc>
          <w:tcPr>
            <w:tcW w:w="157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94E2E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  <w:r w:rsidRPr="00FC6DC2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FC </w:t>
            </w: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3</w:t>
            </w:r>
            <w:r w:rsidRPr="00FC6DC2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NR vs </w:t>
            </w: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  <w:r w:rsidRPr="00FC6DC2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34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D25A30" w14:textId="35F8CED0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  <w:r w:rsidRPr="00FC6DC2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FC </w:t>
            </w: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5</w:t>
            </w:r>
            <w:r w:rsidRPr="00FC6DC2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R vs </w:t>
            </w:r>
            <w:r w:rsidR="00B238D1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  <w:r w:rsidRPr="00FC6DC2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227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DAD75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FC6DC2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Adjusted P</w:t>
            </w:r>
            <w:r w:rsidRPr="00343346">
              <w:rPr>
                <w:rFonts w:ascii="Palatino Linotype" w:hAnsi="Palatino Linotype" w:cs="Calibri"/>
                <w:bCs/>
                <w:color w:val="000000"/>
                <w:sz w:val="20"/>
                <w:szCs w:val="20"/>
              </w:rPr>
              <w:t xml:space="preserve"> </w:t>
            </w: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3</w:t>
            </w:r>
            <w:r w:rsidRPr="00FC6DC2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NR vs </w:t>
            </w: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  <w:r w:rsidRPr="00FC6DC2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204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847189" w14:textId="2522E43F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FC6DC2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Adjusted P </w:t>
            </w: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5</w:t>
            </w:r>
            <w:r w:rsidRPr="00FC6DC2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R vs </w:t>
            </w:r>
            <w:r w:rsidR="00B238D1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  <w:r w:rsidRPr="00FC6DC2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30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004668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FC6DC2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Ratio of </w:t>
            </w: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  <w:r w:rsidRPr="00FC6DC2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FC</w:t>
            </w:r>
          </w:p>
        </w:tc>
      </w:tr>
      <w:tr w:rsidR="00FC6DC2" w:rsidRPr="00FC6DC2" w14:paraId="6DC2C595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E552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miR-144-3p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152E9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2.09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837D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4.66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73BBD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1.50E-03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F983B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4.96E-10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CDB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0.45</w:t>
            </w:r>
          </w:p>
        </w:tc>
      </w:tr>
      <w:tr w:rsidR="00FC6DC2" w:rsidRPr="00FC6DC2" w14:paraId="1510DBB4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CD81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miR-144-5p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2A8C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2.51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80B44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5.36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FE7A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8.22E-05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784F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5.15E-12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774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0.47</w:t>
            </w:r>
          </w:p>
        </w:tc>
      </w:tr>
      <w:tr w:rsidR="00FC6DC2" w:rsidRPr="00FC6DC2" w14:paraId="38F170B5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C93400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miR-122-5p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DCB2E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-1.62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C805A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-3.26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8DF1A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2.84E-02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C2B3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5.51E-07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91F85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0.50</w:t>
            </w:r>
          </w:p>
        </w:tc>
      </w:tr>
      <w:tr w:rsidR="00FC6DC2" w:rsidRPr="00FC6DC2" w14:paraId="2EB6B674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17DABB1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miR-3197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307A4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-2.08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F822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-3.96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C1115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1.50E-03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C25A1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2.08E-08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0631F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0.53</w:t>
            </w:r>
          </w:p>
        </w:tc>
      </w:tr>
      <w:tr w:rsidR="00FC6DC2" w:rsidRPr="00FC6DC2" w14:paraId="422581E9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825A0E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miR-96-5p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C5A3B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2.64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26EBD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5.00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3265B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1.75E-05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7498F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5.91E-12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1DD94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0.53</w:t>
            </w:r>
          </w:p>
        </w:tc>
      </w:tr>
      <w:tr w:rsidR="00FC6DC2" w:rsidRPr="00FC6DC2" w14:paraId="156F7D61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F5B0EB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miR-32-5p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1091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1.57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1618B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2.97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BECCD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1.67E-02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C636D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5.98E-08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31C56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0.53</w:t>
            </w:r>
          </w:p>
        </w:tc>
      </w:tr>
      <w:tr w:rsidR="00FC6DC2" w:rsidRPr="00FC6DC2" w14:paraId="61F1A727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29AE1A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miR-6782-5p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920A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1.67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7187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3.03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B246A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1.11E-02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4C473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3.79E-07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54A95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0.55</w:t>
            </w:r>
          </w:p>
        </w:tc>
      </w:tr>
      <w:tr w:rsidR="00FC6DC2" w:rsidRPr="00FC6DC2" w14:paraId="431E57D6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A66BA0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miR-127-3p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7B852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-1.10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B12E6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-1.91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4EB09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7.06E-01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DA468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1.21E-02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D0C4E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0.58</w:t>
            </w:r>
          </w:p>
        </w:tc>
      </w:tr>
      <w:tr w:rsidR="00FC6DC2" w:rsidRPr="00FC6DC2" w14:paraId="69370756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1C9411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miR-4293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693C8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1.18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43AD5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2.01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D68C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3.05E-01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8638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3.94E-05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5FA48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0.59</w:t>
            </w:r>
          </w:p>
        </w:tc>
      </w:tr>
      <w:tr w:rsidR="00FC6DC2" w:rsidRPr="00FC6DC2" w14:paraId="2A3B471B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214E99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miR-6798-5p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D1340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-1.18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C6A2E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-2.00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652D8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4.32E-01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9035D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2.30E-03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6E298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0.59</w:t>
            </w:r>
          </w:p>
        </w:tc>
      </w:tr>
      <w:tr w:rsidR="00FC6DC2" w:rsidRPr="00FC6DC2" w14:paraId="77C127D6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23B059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miR-326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31227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-1.10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0525A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-1.79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821E0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6.62E-01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C6F2B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7.90E-03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5B5B1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0.61</w:t>
            </w:r>
          </w:p>
        </w:tc>
      </w:tr>
      <w:tr w:rsidR="00FC6DC2" w:rsidRPr="00FC6DC2" w14:paraId="04D943F1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223155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miR-101-3p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B55A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1.64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A0F3D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2.64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B6ECE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9.40E-03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AB081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3.04E-06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61968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0.62</w:t>
            </w:r>
          </w:p>
        </w:tc>
      </w:tr>
      <w:tr w:rsidR="00FC6DC2" w:rsidRPr="00FC6DC2" w14:paraId="15057172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10282E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miR-382-5p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E225F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1.05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D6F92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-1.69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211C3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8.29E-01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445C0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3.31E-02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A8B173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0.62</w:t>
            </w:r>
          </w:p>
        </w:tc>
      </w:tr>
      <w:tr w:rsidR="00FC6DC2" w:rsidRPr="00FC6DC2" w14:paraId="74039824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DDD033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miR-4745-3p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88E75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3.47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1F613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5.56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E0B9A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5.68E-09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3EB9C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3.55E-15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6AA33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0.62</w:t>
            </w:r>
          </w:p>
        </w:tc>
      </w:tr>
      <w:tr w:rsidR="00FC6DC2" w:rsidRPr="00FC6DC2" w14:paraId="29CFA32B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F09B55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miR-182-5p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3E84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2.70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72511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4.32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9ED2A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1.84E-05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031F1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2.45E-09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CC7C7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0.63</w:t>
            </w:r>
          </w:p>
        </w:tc>
      </w:tr>
      <w:tr w:rsidR="00FC6DC2" w:rsidRPr="00FC6DC2" w14:paraId="452C996A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B37C78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miR-4530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BAC4E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1.90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20024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3.04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03E7A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4.15E-04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DBFD8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9.43E-09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997BB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0.63</w:t>
            </w:r>
          </w:p>
        </w:tc>
      </w:tr>
      <w:tr w:rsidR="00FC6DC2" w:rsidRPr="00FC6DC2" w14:paraId="0258F71A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06413C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miR-1234-3p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0190D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3.20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1D324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5.08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DFEB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4.90E-09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C2A70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1.30E-15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8E6F8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0.63</w:t>
            </w:r>
          </w:p>
        </w:tc>
      </w:tr>
      <w:tr w:rsidR="00FC6DC2" w:rsidRPr="00FC6DC2" w14:paraId="1D1062C4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0C4576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miR-4459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18F5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-1.52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75EF4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-2.41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69406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1.90E-02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D7649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5.66E-06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3AB3C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0.63</w:t>
            </w:r>
          </w:p>
        </w:tc>
      </w:tr>
      <w:tr w:rsidR="00FC6DC2" w:rsidRPr="00FC6DC2" w14:paraId="5F08BC73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A9C1E3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miR-142-5p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7FDC4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1.53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32A68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2.42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2C346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6.96E-02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E2602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5.43E-04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290909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0.63</w:t>
            </w:r>
          </w:p>
        </w:tc>
      </w:tr>
      <w:tr w:rsidR="00FC6DC2" w:rsidRPr="00FC6DC2" w14:paraId="7A4831A0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326F07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miR-183-5p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DA44E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1.82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92E26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2.87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0587D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1.30E-03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3993A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1.31E-07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E174B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0.63</w:t>
            </w:r>
          </w:p>
        </w:tc>
      </w:tr>
      <w:tr w:rsidR="00FC6DC2" w:rsidRPr="00FC6DC2" w14:paraId="36488167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A4C574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miR-6723-5p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37D69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-1.29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2F7A4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-2.02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3BEF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3.08E-01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16E7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8.50E-03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A753D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0.64</w:t>
            </w:r>
          </w:p>
        </w:tc>
      </w:tr>
      <w:tr w:rsidR="00FC6DC2" w:rsidRPr="00FC6DC2" w14:paraId="5AA5B7E6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991088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miR-1208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1BE92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1.41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CC5C6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2.20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01B01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4.91E-02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CD1F9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3.46E-05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0410D3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0.64</w:t>
            </w:r>
          </w:p>
        </w:tc>
      </w:tr>
      <w:tr w:rsidR="00FC6DC2" w:rsidRPr="00FC6DC2" w14:paraId="3E6F7985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8CCB20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miR-3940-5p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5940F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-1.38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1D783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-2.15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9392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6.22E-02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31A9D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4.42E-05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4C6FF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0.64</w:t>
            </w:r>
          </w:p>
        </w:tc>
      </w:tr>
      <w:tr w:rsidR="00FC6DC2" w:rsidRPr="00FC6DC2" w14:paraId="77D65471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95BEA7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miR-6895-3p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BFF69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1.66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4DF1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2.56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F718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7.01E-04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42879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2.54E-09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59170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0.65</w:t>
            </w:r>
          </w:p>
        </w:tc>
      </w:tr>
      <w:tr w:rsidR="00FC6DC2" w:rsidRPr="00FC6DC2" w14:paraId="0D6B9370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726384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miR-668-5p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60B18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1.47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870AD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2.25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B6C30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3.15E-02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59C5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2.72E-05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2CA96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0.65</w:t>
            </w:r>
          </w:p>
        </w:tc>
      </w:tr>
      <w:tr w:rsidR="00FC6DC2" w:rsidRPr="00FC6DC2" w14:paraId="738D2BEB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03D9F2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miR-26b-5p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D03D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2.44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90A5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3.73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AFD26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3.01E-04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8795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5.55E-07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C4AF7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0.65</w:t>
            </w:r>
          </w:p>
        </w:tc>
      </w:tr>
      <w:tr w:rsidR="00FC6DC2" w:rsidRPr="00FC6DC2" w14:paraId="6A5696DE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DACA97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miR-4430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9AABD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-1.29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BF3EA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-1.97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D38DE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1.89E-01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F856D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1.20E-03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29956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0.65</w:t>
            </w:r>
          </w:p>
        </w:tc>
      </w:tr>
      <w:tr w:rsidR="00FC6DC2" w:rsidRPr="00FC6DC2" w14:paraId="7D1E1685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E6B0CC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miR-16-5p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19360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2.03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ACC6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3.10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BFD8F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2.80E-03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F458C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1.10E-05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FD7FD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0.65</w:t>
            </w:r>
          </w:p>
        </w:tc>
      </w:tr>
      <w:tr w:rsidR="00FC6DC2" w:rsidRPr="00FC6DC2" w14:paraId="1FE4F48E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52EE19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miR-6124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4D94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-1.03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90220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-1.57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75567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8.72E-01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82950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2.22E-02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9C152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0.66</w:t>
            </w:r>
          </w:p>
        </w:tc>
      </w:tr>
      <w:tr w:rsidR="00FC6DC2" w:rsidRPr="00FC6DC2" w14:paraId="6852B085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86AE93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miR-6741-5p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E3FFB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1.45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D5DFC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2.19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F7B0E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3.30E-02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49C02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3.30E-05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5D109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0.66</w:t>
            </w:r>
          </w:p>
        </w:tc>
      </w:tr>
      <w:tr w:rsidR="00FC6DC2" w:rsidRPr="00FC6DC2" w14:paraId="20F71661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4AD095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miR-548d-5p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30BE0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-1.17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784A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-1.76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A8367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4.89E-01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3F01A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2.07E-02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2F059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0.66</w:t>
            </w:r>
          </w:p>
        </w:tc>
      </w:tr>
      <w:tr w:rsidR="00FC6DC2" w:rsidRPr="00FC6DC2" w14:paraId="0B227E01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223F82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miR-6511a-3p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EB47E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2.46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313A8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3.69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A0662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2.12E-07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BB6B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2.36E-13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1D6E7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0.67</w:t>
            </w:r>
          </w:p>
        </w:tc>
      </w:tr>
      <w:tr w:rsidR="00FC6DC2" w:rsidRPr="00FC6DC2" w14:paraId="07AB3AB5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48B27F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miR-6081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F48C9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-1.62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C1C67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-2.43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7554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8.14E-02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BFC91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3.00E-03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92E6B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0.67</w:t>
            </w:r>
          </w:p>
        </w:tc>
      </w:tr>
      <w:tr w:rsidR="00FC6DC2" w:rsidRPr="00FC6DC2" w14:paraId="0E701985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F7D50B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miR-615-3p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B4F60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3.46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FBED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5.18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5821F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1.24E-08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B792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2.24E-13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8040CE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0.67</w:t>
            </w:r>
          </w:p>
        </w:tc>
      </w:tr>
      <w:tr w:rsidR="00FC6DC2" w:rsidRPr="00FC6DC2" w14:paraId="787749BA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8FB2BE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miR-1247-5p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C9226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1.57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399B2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2.35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027A9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1.70E-03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26C98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2.89E-08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0D25F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0.67</w:t>
            </w:r>
          </w:p>
        </w:tc>
      </w:tr>
      <w:tr w:rsidR="00FC6DC2" w:rsidRPr="00FC6DC2" w14:paraId="4EF06970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545737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miR-6789-3p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2892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1.44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74BBD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2.13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58028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3.70E-03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698F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2.35E-08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0708F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0.68</w:t>
            </w:r>
          </w:p>
        </w:tc>
      </w:tr>
      <w:tr w:rsidR="00FC6DC2" w:rsidRPr="00FC6DC2" w14:paraId="3B7DB736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09C8DF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miR-15a-5p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6C156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1.87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D52E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2.76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E23CE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7.30E-03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46A98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6.83E-05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E3854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0.68</w:t>
            </w:r>
          </w:p>
        </w:tc>
      </w:tr>
      <w:tr w:rsidR="00FC6DC2" w:rsidRPr="00FC6DC2" w14:paraId="2001D003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0EA5D18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miR-451a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0250B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1.34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E4A2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1.97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CF885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1.70E-01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AD769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3.60E-03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AAB58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0.68</w:t>
            </w:r>
          </w:p>
        </w:tc>
      </w:tr>
      <w:tr w:rsidR="00FC6DC2" w:rsidRPr="00FC6DC2" w14:paraId="746E2FC1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095B4C6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miR-15b-5p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44AD7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1.98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BF045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2.91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169B1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5.60E-03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47BD5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6.91E-05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38ADB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0.68</w:t>
            </w:r>
          </w:p>
        </w:tc>
      </w:tr>
      <w:tr w:rsidR="00FC6DC2" w:rsidRPr="00FC6DC2" w14:paraId="09FE9F5A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2B083B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miR-193a-5p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E7A8D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-1.05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5C93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-1.54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449C1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7.01E-01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25142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2.60E-03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82979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0.68</w:t>
            </w:r>
          </w:p>
        </w:tc>
      </w:tr>
      <w:tr w:rsidR="00FC6DC2" w:rsidRPr="00FC6DC2" w14:paraId="676A4887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340037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miR-4304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F8E5A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-1.00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F2B8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1.46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865CF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9.80E-01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AA72E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5.20E-03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06369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0.68</w:t>
            </w:r>
          </w:p>
        </w:tc>
      </w:tr>
      <w:tr w:rsidR="00FC6DC2" w:rsidRPr="00FC6DC2" w14:paraId="17E84430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6D4A11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miR-6126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BF650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-1.42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3013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-2.07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2DF7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4.06E-02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2D5E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1.05E-04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B5EA4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0.69</w:t>
            </w:r>
          </w:p>
        </w:tc>
      </w:tr>
      <w:tr w:rsidR="00FC6DC2" w:rsidRPr="00FC6DC2" w14:paraId="0C5319B6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8C9BFD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miR-454-3p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90C6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2.36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6CCC6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3.44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EADCE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1.76E-05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9F81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5.41E-09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205B1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0.69</w:t>
            </w:r>
          </w:p>
        </w:tc>
      </w:tr>
      <w:tr w:rsidR="00FC6DC2" w:rsidRPr="00FC6DC2" w14:paraId="687B77DE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0FF0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miR-4292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66C9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1.97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FFAC3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2.87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7FE83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2.43E-06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FC857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1.90E-12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CC0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0.69</w:t>
            </w:r>
          </w:p>
        </w:tc>
      </w:tr>
      <w:tr w:rsidR="00FC6DC2" w:rsidRPr="00FC6DC2" w14:paraId="04C6C4E0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707D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miR-4722-3p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925A6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2.08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A2157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3.01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1DD14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1.98E-06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2EF0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5.15E-12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D60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0.69</w:t>
            </w:r>
          </w:p>
        </w:tc>
      </w:tr>
      <w:tr w:rsidR="00FC6DC2" w:rsidRPr="00FC6DC2" w14:paraId="1962F1D5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770D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lastRenderedPageBreak/>
              <w:t>miR-6774-3p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317F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1.68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0B74A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2.41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8762F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1.46E-02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ED7DD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1.52E-04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A91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0.70</w:t>
            </w:r>
          </w:p>
        </w:tc>
      </w:tr>
      <w:tr w:rsidR="00FC6DC2" w:rsidRPr="00FC6DC2" w14:paraId="7368F6E6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2723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let-7f-5p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BE2A6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2.39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6C9BB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3.42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E721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8.02E-05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8C393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1.62E-07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EBA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0.70</w:t>
            </w:r>
          </w:p>
        </w:tc>
      </w:tr>
      <w:tr w:rsidR="00FC6DC2" w:rsidRPr="00FC6DC2" w14:paraId="093C397E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CD38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miR-340-5p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D193F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1.68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6548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2.40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85AB2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1.18E-02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04483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1.06E-04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35DA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0.70</w:t>
            </w:r>
          </w:p>
        </w:tc>
      </w:tr>
      <w:tr w:rsidR="00FC6DC2" w:rsidRPr="00FC6DC2" w14:paraId="0EB13AE8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533D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miR-619-3p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643B6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-1.54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7BC0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-2.19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4472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1.40E-01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2BA13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1.18E-02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0F1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0.70</w:t>
            </w:r>
          </w:p>
        </w:tc>
      </w:tr>
      <w:tr w:rsidR="00FC6DC2" w:rsidRPr="00FC6DC2" w14:paraId="4A88828D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2D7D52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miR-425-3p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2D7E9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-1.28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5F465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-1.82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1A7AB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2.32E-01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E32CD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7.10E-03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3B932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0.70</w:t>
            </w:r>
          </w:p>
        </w:tc>
      </w:tr>
      <w:tr w:rsidR="00FC6DC2" w:rsidRPr="00FC6DC2" w14:paraId="5C963237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053715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miR-6127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1F14F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-1.38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5318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-1.96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FB1A4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7.07E-02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2B319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6.00E-04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1B339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0.70</w:t>
            </w:r>
          </w:p>
        </w:tc>
      </w:tr>
      <w:tr w:rsidR="00FC6DC2" w:rsidRPr="00FC6DC2" w14:paraId="05982724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116171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miR-6877-5p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D3F06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-1.19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B9D29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-1.69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D1CA5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3.25E-01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4C6EB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7.10E-03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40D0D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0.70</w:t>
            </w:r>
          </w:p>
        </w:tc>
      </w:tr>
      <w:tr w:rsidR="00FC6DC2" w:rsidRPr="00FC6DC2" w14:paraId="165F577F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22468D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miR-5196-5p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96B1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-1.12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8DF8F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-1.59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96059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4.84E-01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01E4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6.20E-03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75A59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0.70</w:t>
            </w:r>
          </w:p>
        </w:tc>
      </w:tr>
      <w:tr w:rsidR="00FC6DC2" w:rsidRPr="00FC6DC2" w14:paraId="679DAE03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2AC6658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miR-6510-3p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F3B8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2.39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FC542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3.39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365F3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3.31E-07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F0DB5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4.13E-12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1C52B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0.71</w:t>
            </w:r>
          </w:p>
        </w:tc>
      </w:tr>
      <w:tr w:rsidR="00FC6DC2" w:rsidRPr="00FC6DC2" w14:paraId="23AFE04B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299523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miR-6880-5p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B36B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-1.03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7E932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-1.46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E0DB8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8.17E-01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526F2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1.28E-02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7E41D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0.71</w:t>
            </w:r>
          </w:p>
        </w:tc>
      </w:tr>
      <w:tr w:rsidR="00FC6DC2" w:rsidRPr="00FC6DC2" w14:paraId="1BFE17A5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3C7045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miR-6781-5p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ABC47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-1.08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9BA71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-1.53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63C9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6.59E-01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2EEA1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2.05E-02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D70C4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0.71</w:t>
            </w:r>
          </w:p>
        </w:tc>
      </w:tr>
      <w:tr w:rsidR="00FC6DC2" w:rsidRPr="00FC6DC2" w14:paraId="5071369C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DDDC7F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miR-328-3p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60DFE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-1.23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9C2B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-1.74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3073C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0.3401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D645E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0.0162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437F2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0.71</w:t>
            </w:r>
          </w:p>
        </w:tc>
      </w:tr>
      <w:tr w:rsidR="00FC6DC2" w:rsidRPr="00FC6DC2" w14:paraId="0AA50D4A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48D0DF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miR-7851-3p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81B87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-1.16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8E11E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-1.64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50D97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0.3442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B3F70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0.0049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17F1D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0.71</w:t>
            </w:r>
          </w:p>
        </w:tc>
      </w:tr>
      <w:tr w:rsidR="00FC6DC2" w:rsidRPr="00FC6DC2" w14:paraId="182A9A44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FB76FE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miR-1539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10E76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1.04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8B5C3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1.47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5DDAD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0.8058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02AC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0.011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09751D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0.71</w:t>
            </w:r>
          </w:p>
        </w:tc>
      </w:tr>
      <w:tr w:rsidR="00FC6DC2" w:rsidRPr="00FC6DC2" w14:paraId="0C131DD7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6CE64A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miR-194-5p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CB789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1.79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DD9B7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2.53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2B61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0.0029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08CA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1.26064E-05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F91165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0.71</w:t>
            </w:r>
          </w:p>
        </w:tc>
      </w:tr>
      <w:tr w:rsidR="00FC6DC2" w:rsidRPr="00FC6DC2" w14:paraId="796949C7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6C7BD9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miR-1285-5p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D81D4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-1.15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7364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-1.62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194E2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0.543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90A2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0.0459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66A8D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0.71</w:t>
            </w:r>
          </w:p>
        </w:tc>
      </w:tr>
      <w:tr w:rsidR="00FC6DC2" w:rsidRPr="00FC6DC2" w14:paraId="6BA3AA83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403E2B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miR-6894-5p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DE09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-1.33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BE136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-1.87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FBAE6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0.0898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FCBD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0.000675148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1CD1A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0.71</w:t>
            </w:r>
          </w:p>
        </w:tc>
      </w:tr>
      <w:tr w:rsidR="00FC6DC2" w:rsidRPr="00FC6DC2" w14:paraId="24813631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0D1624C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miR-185-3p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4B71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-1.38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E0605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-1.94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DBF7F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0.1006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C39D5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0.0018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77BC5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0.71</w:t>
            </w:r>
          </w:p>
        </w:tc>
      </w:tr>
      <w:tr w:rsidR="00FC6DC2" w:rsidRPr="00FC6DC2" w14:paraId="0FC4CAFF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08AE86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miR-6869-5p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1C116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1.21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D4D4F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1.7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FAF02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0.183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CF67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0.000503238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E91B3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0.71</w:t>
            </w:r>
          </w:p>
        </w:tc>
      </w:tr>
      <w:tr w:rsidR="00FC6DC2" w:rsidRPr="00FC6DC2" w14:paraId="16743F8F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AC41DA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miR-29b-3p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F7E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1.71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420DA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2.4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1746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0.0068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AADBD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5.2978E-05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BFE9A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0.71</w:t>
            </w:r>
          </w:p>
        </w:tc>
      </w:tr>
      <w:tr w:rsidR="00FC6DC2" w:rsidRPr="00FC6DC2" w14:paraId="76F3C769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B6FCC9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miR-3169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0C687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-1.47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104E9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-2.05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4851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0.1755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93D6E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0.0188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A8DB5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0.72</w:t>
            </w:r>
          </w:p>
        </w:tc>
      </w:tr>
      <w:tr w:rsidR="00FC6DC2" w:rsidRPr="00FC6DC2" w14:paraId="70EA64BE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35FE6F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miR-6086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6EA26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-1.37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58CDC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-1.91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AABB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0.0493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FA3C9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0.000242847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8F382B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0.72</w:t>
            </w:r>
          </w:p>
        </w:tc>
      </w:tr>
      <w:tr w:rsidR="00FC6DC2" w:rsidRPr="00FC6DC2" w14:paraId="79F71BD0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27CB0D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miR-504-3p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A59FA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-1.22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EA426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-1.7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22B9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0.2089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4EB58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0.0021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96603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0.72</w:t>
            </w:r>
          </w:p>
        </w:tc>
      </w:tr>
      <w:tr w:rsidR="00FC6DC2" w:rsidRPr="00FC6DC2" w14:paraId="379CEBE0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F2ECFB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miR-424-5p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7A1AB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1.17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60E8C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1.63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CE060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0.3897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C9690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0.0096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CECD0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0.72</w:t>
            </w:r>
          </w:p>
        </w:tc>
      </w:tr>
      <w:tr w:rsidR="00FC6DC2" w:rsidRPr="00FC6DC2" w14:paraId="2E8F990C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11B1CA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miR-3689a-3p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E5BD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-2.24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7514B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-3.12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8049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0.0001656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C4447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1.00739E-06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831A2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0.72</w:t>
            </w:r>
          </w:p>
        </w:tc>
      </w:tr>
      <w:tr w:rsidR="00FC6DC2" w:rsidRPr="00FC6DC2" w14:paraId="16B6435A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EF2864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miR-491-5p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ED65A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-1.1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1DC5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-1.53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F98B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0.6132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A1FEC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0.0388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B87D9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0.72</w:t>
            </w:r>
          </w:p>
        </w:tc>
      </w:tr>
      <w:tr w:rsidR="00FC6DC2" w:rsidRPr="00FC6DC2" w14:paraId="0B2B41A5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428A17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miR-7109-3p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B88F9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1.36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A4C2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1.89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F8775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0.0175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082D0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7.12662E-06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B39A1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0.72</w:t>
            </w:r>
          </w:p>
        </w:tc>
      </w:tr>
      <w:tr w:rsidR="00FC6DC2" w:rsidRPr="00FC6DC2" w14:paraId="347EC80C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820FE4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miR-4726-3p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A8531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1.6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8EBE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2.22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EE67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0.000438152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6D46F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2.88796E-08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49423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0.72</w:t>
            </w:r>
          </w:p>
        </w:tc>
      </w:tr>
      <w:tr w:rsidR="00FC6DC2" w:rsidRPr="00FC6DC2" w14:paraId="3655EDDC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CD3C70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miR-4649-3p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948AD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9F91E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5.11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AD3A6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3.75709E-10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A6B2C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1.13034E-14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252DA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0.72</w:t>
            </w:r>
          </w:p>
        </w:tc>
      </w:tr>
      <w:tr w:rsidR="00FC6DC2" w:rsidRPr="00FC6DC2" w14:paraId="4B9CB8C3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92EA9D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miR-6727-5p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3F4CC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-1.32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1033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-1.82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94890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0.1266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58BE5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0.0025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89B97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0.73</w:t>
            </w:r>
          </w:p>
        </w:tc>
      </w:tr>
      <w:tr w:rsidR="00FC6DC2" w:rsidRPr="00FC6DC2" w14:paraId="64E0C37B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68E309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miR-125b-5p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AB41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-1.06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3B14A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-1.46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93CC5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0.7008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12191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0.0129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5A57A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0.73</w:t>
            </w:r>
          </w:p>
        </w:tc>
      </w:tr>
      <w:tr w:rsidR="00FC6DC2" w:rsidRPr="00FC6DC2" w14:paraId="2A2F31AC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B83986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miR-8071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839C7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-1.57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16C32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-2.16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493F9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0.0172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18E22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0.000244615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A83CB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0.73</w:t>
            </w:r>
          </w:p>
        </w:tc>
      </w:tr>
      <w:tr w:rsidR="00FC6DC2" w:rsidRPr="00FC6DC2" w14:paraId="47EBB062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91557E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miR-4534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9C3F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-1.04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2F20D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-1.43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A95B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0.8016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1F6D1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0.0224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AA0E1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0.73</w:t>
            </w:r>
          </w:p>
        </w:tc>
      </w:tr>
      <w:tr w:rsidR="00FC6DC2" w:rsidRPr="00FC6DC2" w14:paraId="727C66D7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DA72EC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miR-935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7A0F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1.78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7571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2.44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85A12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0.000161816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84B9D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4.27463E-08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DAA1C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0.73</w:t>
            </w:r>
          </w:p>
        </w:tc>
      </w:tr>
      <w:tr w:rsidR="00FC6DC2" w:rsidRPr="00FC6DC2" w14:paraId="4DCC3262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823E5E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miR-4478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9F642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-1.19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D21B5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-1.63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70878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0.2106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0CA15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0.0011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97134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0.73</w:t>
            </w:r>
          </w:p>
        </w:tc>
      </w:tr>
      <w:tr w:rsidR="00FC6DC2" w:rsidRPr="00FC6DC2" w14:paraId="68D24B89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B5C965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miR-4319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FC01D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1.59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DF0F9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2.17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64D03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0.000254794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4C41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9.42538E-09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32A43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0.73</w:t>
            </w:r>
          </w:p>
        </w:tc>
      </w:tr>
      <w:tr w:rsidR="00FC6DC2" w:rsidRPr="00FC6DC2" w14:paraId="3EDB65A6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A8AF25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miR-1273g-5p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53F94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-1.24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E122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-1.69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5B060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0.177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04478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0.0026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F38532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0.73</w:t>
            </w:r>
          </w:p>
        </w:tc>
      </w:tr>
      <w:tr w:rsidR="00FC6DC2" w:rsidRPr="00FC6DC2" w14:paraId="2C4EA77C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D760A8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let-7g-5p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A3CE3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1.77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2B153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2.41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DA75F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0.0078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B5B8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0.000195765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23B7C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0.73</w:t>
            </w:r>
          </w:p>
        </w:tc>
      </w:tr>
      <w:tr w:rsidR="00FC6DC2" w:rsidRPr="00FC6DC2" w14:paraId="6150FA9E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07C177D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miR-3141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DEF4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-1.5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13A9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-2.04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620E8C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0.0098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D4DA3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3.46264E-05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C4432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0.74</w:t>
            </w:r>
          </w:p>
        </w:tc>
      </w:tr>
      <w:tr w:rsidR="00FC6DC2" w:rsidRPr="00FC6DC2" w14:paraId="313E139D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AAB7C3A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miR-6762-3p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C9C57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1.25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A84A0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1.7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BECE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0.1518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2CC41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0.0018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6AB21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0.74</w:t>
            </w:r>
          </w:p>
        </w:tc>
      </w:tr>
      <w:tr w:rsidR="00FC6DC2" w:rsidRPr="00FC6DC2" w14:paraId="3F00C612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8334FE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miR-4315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94CEA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1.2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C81F4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1.62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65AFE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0.2155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191B97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44230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0.74</w:t>
            </w:r>
          </w:p>
        </w:tc>
      </w:tr>
      <w:tr w:rsidR="00FC6DC2" w:rsidRPr="00FC6DC2" w14:paraId="52202DA2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BB640D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miR-6769a-3p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A137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1.07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C8FC9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1.44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900B2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0.6093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086AC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0.0071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F604BA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0.74</w:t>
            </w:r>
          </w:p>
        </w:tc>
      </w:tr>
      <w:tr w:rsidR="00FC6DC2" w:rsidRPr="00FC6DC2" w14:paraId="47D60871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83866E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miR-6816-3p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C8F6F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2.66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B81742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3.56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61268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1.62691E-05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0FE41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1.31366E-07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AADC7C8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0.74</w:t>
            </w:r>
          </w:p>
        </w:tc>
      </w:tr>
      <w:tr w:rsidR="00FC6DC2" w:rsidRPr="00FC6DC2" w14:paraId="03E8DA62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0EA725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miR-20b-5p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2F3D50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1.66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4FFE1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2.22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D415B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0.0102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5116D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0.000218285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E72E5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0.74</w:t>
            </w:r>
          </w:p>
        </w:tc>
      </w:tr>
      <w:tr w:rsidR="00FC6DC2" w:rsidRPr="00FC6DC2" w14:paraId="0F4F77D9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0E85DF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miR-6720-5p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26C31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2.26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D65C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3.02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E62BD4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1.9888E-05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2C481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5.14405E-08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D79A83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0.74</w:t>
            </w:r>
          </w:p>
        </w:tc>
      </w:tr>
      <w:tr w:rsidR="00FC6DC2" w:rsidRPr="00FC6DC2" w14:paraId="34BBFDBE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B574A7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miR-4515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492D0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1.61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1DAEF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2.15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48D7C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0.0032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8B5FD5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1.59537E-05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E86D76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0.74</w:t>
            </w:r>
          </w:p>
        </w:tc>
      </w:tr>
      <w:tr w:rsidR="00FC6DC2" w:rsidRPr="00FC6DC2" w14:paraId="442ADB00" w14:textId="77777777" w:rsidTr="00343346">
        <w:trPr>
          <w:jc w:val="center"/>
        </w:trPr>
        <w:tc>
          <w:tcPr>
            <w:tcW w:w="155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B022C81" w14:textId="77777777" w:rsidR="00FC6DC2" w:rsidRPr="00343346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miR-363-3p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D72197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1.73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D47EACE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2.31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B07D559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0.0033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690A28D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4.882E-05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5B8F8BB" w14:textId="77777777" w:rsidR="00FC6DC2" w:rsidRPr="00FC6DC2" w:rsidRDefault="00FC6DC2" w:rsidP="00FC6DC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C6DC2">
              <w:rPr>
                <w:rFonts w:ascii="Palatino Linotype" w:hAnsi="Palatino Linotype"/>
                <w:sz w:val="20"/>
              </w:rPr>
              <w:t>0.74</w:t>
            </w:r>
          </w:p>
        </w:tc>
      </w:tr>
    </w:tbl>
    <w:p w14:paraId="3B206A43" w14:textId="2DE18702" w:rsidR="00FC6DC2" w:rsidRPr="00C81A19" w:rsidRDefault="00FC6DC2" w:rsidP="00D875F7">
      <w:pPr>
        <w:spacing w:after="240" w:line="260" w:lineRule="atLeast"/>
        <w:jc w:val="center"/>
        <w:rPr>
          <w:rFonts w:ascii="Palatino Linotype" w:hAnsi="Palatino Linotype"/>
          <w:sz w:val="18"/>
          <w:szCs w:val="18"/>
        </w:rPr>
      </w:pPr>
      <w:r w:rsidRPr="00C81A19">
        <w:rPr>
          <w:rFonts w:ascii="Palatino Linotype" w:hAnsi="Palatino Linotype"/>
          <w:sz w:val="18"/>
          <w:szCs w:val="18"/>
          <w:vertAlign w:val="superscript"/>
        </w:rPr>
        <w:t>1</w:t>
      </w:r>
      <w:r w:rsidRPr="00C81A19">
        <w:rPr>
          <w:rFonts w:ascii="Palatino Linotype" w:hAnsi="Palatino Linotype"/>
          <w:sz w:val="18"/>
          <w:szCs w:val="18"/>
        </w:rPr>
        <w:t xml:space="preserve">CfmiR = cell-free miRNA. </w:t>
      </w:r>
      <w:r w:rsidRPr="00C81A19">
        <w:rPr>
          <w:rFonts w:ascii="Palatino Linotype" w:hAnsi="Palatino Linotype"/>
          <w:sz w:val="18"/>
          <w:szCs w:val="18"/>
          <w:vertAlign w:val="superscript"/>
        </w:rPr>
        <w:t>2</w:t>
      </w:r>
      <w:r w:rsidRPr="00C81A19">
        <w:rPr>
          <w:rFonts w:ascii="Palatino Linotype" w:hAnsi="Palatino Linotype"/>
          <w:sz w:val="18"/>
          <w:szCs w:val="18"/>
        </w:rPr>
        <w:t xml:space="preserve">FC= fold-change; </w:t>
      </w:r>
      <w:r w:rsidRPr="00C81A19">
        <w:rPr>
          <w:rFonts w:ascii="Palatino Linotype" w:hAnsi="Palatino Linotype"/>
          <w:sz w:val="18"/>
          <w:szCs w:val="18"/>
          <w:vertAlign w:val="superscript"/>
        </w:rPr>
        <w:t>3</w:t>
      </w:r>
      <w:r w:rsidRPr="00C81A19">
        <w:rPr>
          <w:rFonts w:ascii="Palatino Linotype" w:hAnsi="Palatino Linotype"/>
          <w:sz w:val="18"/>
          <w:szCs w:val="18"/>
        </w:rPr>
        <w:t>NR=non-responders;</w:t>
      </w:r>
      <w:r w:rsidRPr="00C81A19">
        <w:rPr>
          <w:rFonts w:ascii="Palatino Linotype" w:hAnsi="Palatino Linotype"/>
          <w:sz w:val="18"/>
          <w:szCs w:val="18"/>
          <w:vertAlign w:val="superscript"/>
        </w:rPr>
        <w:t xml:space="preserve"> 4</w:t>
      </w:r>
      <w:r w:rsidRPr="00C81A19">
        <w:rPr>
          <w:rFonts w:ascii="Palatino Linotype" w:hAnsi="Palatino Linotype"/>
          <w:sz w:val="18"/>
          <w:szCs w:val="18"/>
        </w:rPr>
        <w:t xml:space="preserve">N=normal; </w:t>
      </w:r>
      <w:r w:rsidRPr="00C81A19">
        <w:rPr>
          <w:rFonts w:ascii="Palatino Linotype" w:hAnsi="Palatino Linotype"/>
          <w:sz w:val="18"/>
          <w:szCs w:val="18"/>
          <w:vertAlign w:val="superscript"/>
        </w:rPr>
        <w:t>5</w:t>
      </w:r>
      <w:r w:rsidRPr="00C81A19">
        <w:rPr>
          <w:rFonts w:ascii="Palatino Linotype" w:hAnsi="Palatino Linotype"/>
          <w:sz w:val="18"/>
          <w:szCs w:val="18"/>
        </w:rPr>
        <w:t>R= responders.</w:t>
      </w:r>
    </w:p>
    <w:p w14:paraId="1CD7EA0A" w14:textId="2C2000D4" w:rsidR="005D0C0B" w:rsidRDefault="005D0C0B" w:rsidP="00D875F7">
      <w:pPr>
        <w:pStyle w:val="MDPI41tablecaption"/>
        <w:jc w:val="center"/>
      </w:pPr>
      <w:r w:rsidRPr="005D0C0B">
        <w:rPr>
          <w:b/>
        </w:rPr>
        <w:t xml:space="preserve">Table </w:t>
      </w:r>
      <w:r>
        <w:rPr>
          <w:b/>
        </w:rPr>
        <w:t>S</w:t>
      </w:r>
      <w:r w:rsidRPr="005D0C0B">
        <w:rPr>
          <w:b/>
        </w:rPr>
        <w:t xml:space="preserve">2. </w:t>
      </w:r>
      <w:r w:rsidRPr="00E47C57">
        <w:rPr>
          <w:vertAlign w:val="superscript"/>
        </w:rPr>
        <w:t>1</w:t>
      </w:r>
      <w:r w:rsidRPr="00E47C57">
        <w:t>CfmiR identified in pre-treatment samples of stage III/IV non-responders.</w:t>
      </w:r>
    </w:p>
    <w:tbl>
      <w:tblPr>
        <w:tblStyle w:val="TableGrid"/>
        <w:tblW w:w="560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1"/>
        <w:gridCol w:w="1495"/>
        <w:gridCol w:w="1365"/>
        <w:gridCol w:w="2267"/>
        <w:gridCol w:w="2014"/>
        <w:gridCol w:w="1397"/>
      </w:tblGrid>
      <w:tr w:rsidR="00FA44FA" w:rsidRPr="00FA44FA" w14:paraId="7C8176EC" w14:textId="77777777" w:rsidTr="00343346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F1CF0B" w14:textId="77777777" w:rsidR="005D0C0B" w:rsidRPr="00FA44FA" w:rsidRDefault="005D0C0B" w:rsidP="00FA44F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FA44F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lastRenderedPageBreak/>
              <w:t>Probe</w:t>
            </w:r>
          </w:p>
        </w:tc>
        <w:tc>
          <w:tcPr>
            <w:tcW w:w="75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A098AF" w14:textId="77777777" w:rsidR="005D0C0B" w:rsidRPr="00FA44FA" w:rsidRDefault="005D0C0B" w:rsidP="00FA44F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  <w:r w:rsidRPr="00FA44F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FC </w:t>
            </w: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3</w:t>
            </w:r>
            <w:r w:rsidRPr="00FA44F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NR vs </w:t>
            </w: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  <w:r w:rsidRPr="00FA44F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69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E5A8C" w14:textId="469B00D4" w:rsidR="005D0C0B" w:rsidRPr="00FA44FA" w:rsidRDefault="005D0C0B" w:rsidP="00FA44F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  <w:r w:rsidRPr="00FA44F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FC </w:t>
            </w: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5</w:t>
            </w:r>
            <w:r w:rsidRPr="00FA44F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R vs </w:t>
            </w:r>
            <w:r w:rsidR="00B238D1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  <w:r w:rsidRPr="00FA44F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14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4990E" w14:textId="77777777" w:rsidR="005D0C0B" w:rsidRPr="00FA44FA" w:rsidRDefault="005D0C0B" w:rsidP="00FA44F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FA44F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Adjusted P </w:t>
            </w: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3</w:t>
            </w:r>
            <w:r w:rsidRPr="00FA44F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NR vs </w:t>
            </w: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  <w:r w:rsidRPr="00FA44F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01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09303" w14:textId="437BAAD8" w:rsidR="005D0C0B" w:rsidRPr="00FA44FA" w:rsidRDefault="005D0C0B" w:rsidP="00FA44F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FA44F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Adjusted P </w:t>
            </w: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5</w:t>
            </w:r>
            <w:r w:rsidRPr="00FA44F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R vs </w:t>
            </w:r>
            <w:r w:rsidR="00B238D1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  <w:r w:rsidRPr="00FA44F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F4CDA1" w14:textId="77777777" w:rsidR="005D0C0B" w:rsidRPr="00FA44FA" w:rsidRDefault="005D0C0B" w:rsidP="00FA44F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FA44F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Ratio of </w:t>
            </w:r>
            <w:r w:rsidRPr="00343346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  <w:r w:rsidRPr="00FA44F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FCs</w:t>
            </w:r>
          </w:p>
        </w:tc>
      </w:tr>
      <w:tr w:rsidR="00FA44FA" w:rsidRPr="00FA44FA" w14:paraId="44E2816C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28FC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miR-654-3p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7CF8BC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2.03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5EE5B8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1.59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9F77C4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6.90E-04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295B0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4.22E-02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4199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1.28</w:t>
            </w:r>
          </w:p>
        </w:tc>
      </w:tr>
      <w:tr w:rsidR="00FA44FA" w:rsidRPr="00FA44FA" w14:paraId="6D295714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D9EF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miR-494-3p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348D86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1.99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263682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1.42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05D11F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8.72E-04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347F6E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1.31E-01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91C0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1.40</w:t>
            </w:r>
          </w:p>
        </w:tc>
      </w:tr>
      <w:tr w:rsidR="00FA44FA" w:rsidRPr="00FA44FA" w14:paraId="2B6DC63F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E7C6B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miR-6131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F81346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1.87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084EAE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1.32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BF3290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6.43E-04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03B7D9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1.80E-01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CB23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1.42</w:t>
            </w:r>
          </w:p>
        </w:tc>
      </w:tr>
      <w:tr w:rsidR="00FA44FA" w:rsidRPr="00FA44FA" w14:paraId="1952A4F8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3222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miR-1301-5p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9F14A0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-2.00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70289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-1.26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91563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2.98E-05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966C13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2.08E-01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D116F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1.59</w:t>
            </w:r>
          </w:p>
        </w:tc>
      </w:tr>
      <w:tr w:rsidR="00FA44FA" w:rsidRPr="00FA44FA" w14:paraId="537E3028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892D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miR-584-5p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8E36FA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1.95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DFCE12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1.39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13353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4.70E-03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4AC620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2.19E-01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A4B3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1.40</w:t>
            </w:r>
          </w:p>
        </w:tc>
      </w:tr>
      <w:tr w:rsidR="00FA44FA" w:rsidRPr="00FA44FA" w14:paraId="43A85FC4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A5329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miR-136-5p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252390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1.97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D212B9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1.37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4FAA8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4.20E-03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B0C264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2.39E-01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5B7B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1.44</w:t>
            </w:r>
          </w:p>
        </w:tc>
      </w:tr>
      <w:tr w:rsidR="00FA44FA" w:rsidRPr="00FA44FA" w14:paraId="56F07B3C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B321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miR-370-3p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AB310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1.78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141787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1.27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D737B0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4.50E-03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8023C5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3.09E-01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1C53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1.40</w:t>
            </w:r>
          </w:p>
        </w:tc>
      </w:tr>
      <w:tr w:rsidR="00FA44FA" w:rsidRPr="00FA44FA" w14:paraId="51A2EFC0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99E4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miR-1273e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80ABA6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1.59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5E7C0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1.23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D8B8E5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1.05E-02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3A04AD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3.22E-01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58BB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1.29</w:t>
            </w:r>
          </w:p>
        </w:tc>
      </w:tr>
      <w:tr w:rsidR="00FA44FA" w:rsidRPr="00FA44FA" w14:paraId="401DD948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6F37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miR-539-5p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BB8258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1.56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84636D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1.23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E7374B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3.12E-02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12B42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3.85E-01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7C49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1.27</w:t>
            </w:r>
          </w:p>
        </w:tc>
      </w:tr>
      <w:tr w:rsidR="00FA44FA" w:rsidRPr="00FA44FA" w14:paraId="2AEC7EF5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25740D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miR-1290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E1E8D8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2.00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AE834E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1.19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F02333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1.67E-04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832987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4.03E-01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DCFD42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1.68</w:t>
            </w:r>
          </w:p>
        </w:tc>
      </w:tr>
      <w:tr w:rsidR="00FA44FA" w:rsidRPr="00FA44FA" w14:paraId="3A0A4A39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CF3666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miR-376c-3p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66C624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1.70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CC19CF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1.23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070605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1.50E-02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7ED657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4.04E-01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F1B06F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1.38</w:t>
            </w:r>
          </w:p>
        </w:tc>
      </w:tr>
      <w:tr w:rsidR="00FA44FA" w:rsidRPr="00FA44FA" w14:paraId="53BB54E3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CE3384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miR-432-5p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9B1B60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1.74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763C91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1.20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E68E9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9.30E-03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0B6B24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4.60E-01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1A1C45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1.45</w:t>
            </w:r>
          </w:p>
        </w:tc>
      </w:tr>
      <w:tr w:rsidR="00FA44FA" w:rsidRPr="00FA44FA" w14:paraId="466D1DAA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B46FCA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miR-487b-3p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3184BB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1.54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BDC66F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1.20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727B9F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4.04E-02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FD60CC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4.62E-01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774A60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1.28</w:t>
            </w:r>
          </w:p>
        </w:tc>
      </w:tr>
      <w:tr w:rsidR="00FA44FA" w:rsidRPr="00FA44FA" w14:paraId="5D02B67E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17E5F6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miR-485-3p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DDFB17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1.67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66A56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1.16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5A3BF0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8.80E-03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BA1FBC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5.26E-01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6035F4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1.44</w:t>
            </w:r>
          </w:p>
        </w:tc>
      </w:tr>
      <w:tr w:rsidR="00FA44FA" w:rsidRPr="00FA44FA" w14:paraId="5BDFCF65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1FEC58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miR-376a-3p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ACD5F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1.78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65BACF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1.13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BC766F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6.20E-03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1854FE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6.28E-01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8177DB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1.58</w:t>
            </w:r>
          </w:p>
        </w:tc>
      </w:tr>
      <w:tr w:rsidR="00FA44FA" w:rsidRPr="00FA44FA" w14:paraId="03E77E96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24306E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miR-143-3p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2C486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1.61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1A3D58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1.10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B02BC3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3.27E-02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8BCD08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7.31E-01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4562AD" w14:textId="77777777" w:rsidR="005D0C0B" w:rsidRPr="00FA44FA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FA44FA">
              <w:rPr>
                <w:rFonts w:ascii="Palatino Linotype" w:hAnsi="Palatino Linotype"/>
                <w:sz w:val="20"/>
              </w:rPr>
              <w:t>1.46</w:t>
            </w:r>
          </w:p>
        </w:tc>
      </w:tr>
      <w:tr w:rsidR="00FA44FA" w:rsidRPr="00C81A19" w14:paraId="182FF02A" w14:textId="77777777" w:rsidTr="0034334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2EFFE02" w14:textId="77777777" w:rsidR="005D0C0B" w:rsidRPr="00343346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343346">
              <w:rPr>
                <w:rFonts w:ascii="Palatino Linotype" w:hAnsi="Palatino Linotype"/>
                <w:b/>
                <w:bCs/>
                <w:sz w:val="20"/>
              </w:rPr>
              <w:t>miR-377-3p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BF07170" w14:textId="77777777" w:rsidR="005D0C0B" w:rsidRPr="00C81A19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C81A19">
              <w:rPr>
                <w:rFonts w:ascii="Palatino Linotype" w:hAnsi="Palatino Linotype"/>
                <w:sz w:val="20"/>
              </w:rPr>
              <w:t>1.64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23C9FF1" w14:textId="77777777" w:rsidR="005D0C0B" w:rsidRPr="00C81A19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C81A19">
              <w:rPr>
                <w:rFonts w:ascii="Palatino Linotype" w:hAnsi="Palatino Linotype"/>
                <w:sz w:val="20"/>
              </w:rPr>
              <w:t>1.07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AD0BA9E" w14:textId="77777777" w:rsidR="005D0C0B" w:rsidRPr="00C81A19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C81A19">
              <w:rPr>
                <w:rFonts w:ascii="Palatino Linotype" w:hAnsi="Palatino Linotype"/>
                <w:sz w:val="20"/>
              </w:rPr>
              <w:t>8.60E-03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493FF9D" w14:textId="77777777" w:rsidR="005D0C0B" w:rsidRPr="00C81A19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C81A19">
              <w:rPr>
                <w:rFonts w:ascii="Palatino Linotype" w:hAnsi="Palatino Linotype"/>
                <w:sz w:val="20"/>
              </w:rPr>
              <w:t>7.79E-01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5CC1F70F" w14:textId="77777777" w:rsidR="005D0C0B" w:rsidRPr="00C81A19" w:rsidRDefault="005D0C0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C81A19">
              <w:rPr>
                <w:rFonts w:ascii="Palatino Linotype" w:hAnsi="Palatino Linotype"/>
                <w:sz w:val="20"/>
              </w:rPr>
              <w:t>1.53</w:t>
            </w:r>
          </w:p>
        </w:tc>
      </w:tr>
    </w:tbl>
    <w:p w14:paraId="021D3C73" w14:textId="77777777" w:rsidR="005D0C0B" w:rsidRPr="00C81A19" w:rsidRDefault="005D0C0B" w:rsidP="00D875F7">
      <w:pPr>
        <w:spacing w:after="240" w:line="260" w:lineRule="atLeast"/>
        <w:jc w:val="center"/>
        <w:rPr>
          <w:rFonts w:ascii="Palatino Linotype" w:hAnsi="Palatino Linotype"/>
          <w:sz w:val="18"/>
          <w:szCs w:val="18"/>
        </w:rPr>
      </w:pPr>
      <w:r w:rsidRPr="00C81A19">
        <w:rPr>
          <w:rFonts w:ascii="Palatino Linotype" w:hAnsi="Palatino Linotype"/>
          <w:sz w:val="18"/>
          <w:szCs w:val="18"/>
          <w:vertAlign w:val="superscript"/>
        </w:rPr>
        <w:t>1</w:t>
      </w:r>
      <w:r w:rsidRPr="00C81A19">
        <w:rPr>
          <w:rFonts w:ascii="Palatino Linotype" w:hAnsi="Palatino Linotype"/>
          <w:sz w:val="18"/>
          <w:szCs w:val="18"/>
        </w:rPr>
        <w:t xml:space="preserve">CfmiR = cell-free miRNA. </w:t>
      </w:r>
      <w:r w:rsidRPr="00C81A19">
        <w:rPr>
          <w:rFonts w:ascii="Palatino Linotype" w:hAnsi="Palatino Linotype"/>
          <w:sz w:val="18"/>
          <w:szCs w:val="18"/>
          <w:vertAlign w:val="superscript"/>
        </w:rPr>
        <w:t>2</w:t>
      </w:r>
      <w:r w:rsidRPr="00C81A19">
        <w:rPr>
          <w:rFonts w:ascii="Palatino Linotype" w:hAnsi="Palatino Linotype"/>
          <w:sz w:val="18"/>
          <w:szCs w:val="18"/>
        </w:rPr>
        <w:t xml:space="preserve">FC= fold-change; </w:t>
      </w:r>
      <w:r w:rsidRPr="00C81A19">
        <w:rPr>
          <w:rFonts w:ascii="Palatino Linotype" w:hAnsi="Palatino Linotype"/>
          <w:sz w:val="18"/>
          <w:szCs w:val="18"/>
          <w:vertAlign w:val="superscript"/>
        </w:rPr>
        <w:t>3</w:t>
      </w:r>
      <w:r w:rsidRPr="00C81A19">
        <w:rPr>
          <w:rFonts w:ascii="Palatino Linotype" w:hAnsi="Palatino Linotype"/>
          <w:sz w:val="18"/>
          <w:szCs w:val="18"/>
        </w:rPr>
        <w:t>NR=non-responders;</w:t>
      </w:r>
      <w:r w:rsidRPr="00C81A19">
        <w:rPr>
          <w:rFonts w:ascii="Palatino Linotype" w:hAnsi="Palatino Linotype"/>
          <w:sz w:val="18"/>
          <w:szCs w:val="18"/>
          <w:vertAlign w:val="superscript"/>
        </w:rPr>
        <w:t xml:space="preserve"> 4</w:t>
      </w:r>
      <w:r w:rsidRPr="00C81A19">
        <w:rPr>
          <w:rFonts w:ascii="Palatino Linotype" w:hAnsi="Palatino Linotype"/>
          <w:sz w:val="18"/>
          <w:szCs w:val="18"/>
        </w:rPr>
        <w:t xml:space="preserve">N=normal; </w:t>
      </w:r>
      <w:r w:rsidRPr="00C81A19">
        <w:rPr>
          <w:rFonts w:ascii="Palatino Linotype" w:hAnsi="Palatino Linotype"/>
          <w:sz w:val="18"/>
          <w:szCs w:val="18"/>
          <w:vertAlign w:val="superscript"/>
        </w:rPr>
        <w:t>5</w:t>
      </w:r>
      <w:r w:rsidRPr="00C81A19">
        <w:rPr>
          <w:rFonts w:ascii="Palatino Linotype" w:hAnsi="Palatino Linotype"/>
          <w:sz w:val="18"/>
          <w:szCs w:val="18"/>
        </w:rPr>
        <w:t>R= responders.</w:t>
      </w:r>
    </w:p>
    <w:sectPr w:rsidR="005D0C0B" w:rsidRPr="00C81A19" w:rsidSect="004B39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9DDC31" w14:textId="77777777" w:rsidR="00803002" w:rsidRDefault="00803002">
      <w:pPr>
        <w:spacing w:line="240" w:lineRule="auto"/>
      </w:pPr>
      <w:r>
        <w:separator/>
      </w:r>
    </w:p>
  </w:endnote>
  <w:endnote w:type="continuationSeparator" w:id="0">
    <w:p w14:paraId="13E3C18A" w14:textId="77777777" w:rsidR="00803002" w:rsidRDefault="00803002">
      <w:pPr>
        <w:spacing w:line="240" w:lineRule="auto"/>
      </w:pPr>
      <w:r>
        <w:continuationSeparator/>
      </w:r>
    </w:p>
  </w:endnote>
  <w:endnote w:type="continuationNotice" w:id="1">
    <w:p w14:paraId="2DF12D39" w14:textId="77777777" w:rsidR="00803002" w:rsidRDefault="0080300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7C7AA" w14:textId="77777777" w:rsidR="007C48EE" w:rsidRDefault="007C48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BECB5" w14:textId="77777777" w:rsidR="004A7C72" w:rsidRPr="00164C5C" w:rsidRDefault="004A7C72" w:rsidP="00AF7CE2">
    <w:pPr>
      <w:pStyle w:val="Footer"/>
      <w:spacing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32713" w14:textId="481BE00A" w:rsidR="004A7C72" w:rsidRPr="008B308E" w:rsidRDefault="004A7C72" w:rsidP="00AF7CE2">
    <w:pPr>
      <w:pStyle w:val="MDPIfooterfirstpage"/>
      <w:spacing w:line="240" w:lineRule="auto"/>
      <w:jc w:val="both"/>
      <w:rPr>
        <w:lang w:val="fr-CH"/>
      </w:rPr>
    </w:pPr>
    <w:r>
      <w:rPr>
        <w:i/>
      </w:rPr>
      <w:t xml:space="preserve">Cancers </w:t>
    </w:r>
    <w:r w:rsidRPr="00F71A8C">
      <w:rPr>
        <w:b/>
      </w:rPr>
      <w:t>20</w:t>
    </w:r>
    <w:r>
      <w:rPr>
        <w:b/>
      </w:rPr>
      <w:t>20</w:t>
    </w:r>
    <w:r w:rsidRPr="008B308E">
      <w:rPr>
        <w:lang w:val="fr-CH"/>
      </w:rPr>
      <w:tab/>
      <w:t>www.mdpi.com/journal/</w:t>
    </w:r>
    <w:r w:rsidRPr="00511F0B">
      <w:t>cancers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06B56F" w14:textId="77777777" w:rsidR="00803002" w:rsidRDefault="00803002">
      <w:pPr>
        <w:spacing w:line="240" w:lineRule="auto"/>
      </w:pPr>
      <w:r>
        <w:separator/>
      </w:r>
    </w:p>
  </w:footnote>
  <w:footnote w:type="continuationSeparator" w:id="0">
    <w:p w14:paraId="26EA79D5" w14:textId="77777777" w:rsidR="00803002" w:rsidRDefault="00803002">
      <w:pPr>
        <w:spacing w:line="240" w:lineRule="auto"/>
      </w:pPr>
      <w:r>
        <w:continuationSeparator/>
      </w:r>
    </w:p>
  </w:footnote>
  <w:footnote w:type="continuationNotice" w:id="1">
    <w:p w14:paraId="0C55F270" w14:textId="77777777" w:rsidR="00803002" w:rsidRDefault="0080300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A3C5" w14:textId="77777777" w:rsidR="004A7C72" w:rsidRDefault="004A7C72" w:rsidP="00AF7CE2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84E0F" w14:textId="7123BAD8" w:rsidR="004A7C72" w:rsidRPr="00836BB8" w:rsidRDefault="004A7C72" w:rsidP="006D37E0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Cancers </w:t>
    </w:r>
    <w:r w:rsidRPr="00F71A8C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065FF4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065FF4"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22D3D" w14:textId="77777777" w:rsidR="004A7C72" w:rsidRDefault="004A7C72" w:rsidP="00AF7CE2">
    <w:pPr>
      <w:pStyle w:val="MDPIheaderjournallogo"/>
    </w:pPr>
    <w:r w:rsidRPr="00A04686">
      <w:rPr>
        <w:noProof/>
        <w:lang w:eastAsia="en-US"/>
      </w:rPr>
      <w:drawing>
        <wp:inline distT="0" distB="0" distL="0" distR="0" wp14:anchorId="54AE46C5" wp14:editId="3CDDD067">
          <wp:extent cx="1687830" cy="429260"/>
          <wp:effectExtent l="0" t="0" r="0" b="0"/>
          <wp:docPr id="5" name="Picture 3" descr="C:\Users\home\Desktop\logos\cancer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cancer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783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51C4">
      <w:rPr>
        <w:i w:val="0"/>
        <w:noProof/>
        <w:szCs w:val="16"/>
        <w:lang w:eastAsia="en-US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2490DB48" wp14:editId="64392728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A006BD" w14:textId="77777777" w:rsidR="004A7C72" w:rsidRDefault="004A7C72" w:rsidP="00AF7CE2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3A55A8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26A97D74" wp14:editId="4F3E8DE7">
                                <wp:extent cx="541655" cy="358775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655" cy="358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90DB4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7FA006BD" w14:textId="77777777" w:rsidR="004A7C72" w:rsidRDefault="004A7C72" w:rsidP="00AF7CE2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3A55A8"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26A97D74" wp14:editId="4F3E8DE7">
                          <wp:extent cx="541655" cy="358775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655" cy="358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8C6C9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F51BB"/>
    <w:multiLevelType w:val="hybridMultilevel"/>
    <w:tmpl w:val="541E6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D35AB"/>
    <w:multiLevelType w:val="hybridMultilevel"/>
    <w:tmpl w:val="2F509248"/>
    <w:lvl w:ilvl="0" w:tplc="343E7E0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31DAC964" w:tentative="1">
      <w:start w:val="1"/>
      <w:numFmt w:val="lowerLetter"/>
      <w:lvlText w:val="%2."/>
      <w:lvlJc w:val="left"/>
      <w:pPr>
        <w:ind w:left="1440" w:hanging="360"/>
      </w:pPr>
    </w:lvl>
    <w:lvl w:ilvl="2" w:tplc="A6C6AB42" w:tentative="1">
      <w:start w:val="1"/>
      <w:numFmt w:val="lowerRoman"/>
      <w:lvlText w:val="%3."/>
      <w:lvlJc w:val="right"/>
      <w:pPr>
        <w:ind w:left="2160" w:hanging="180"/>
      </w:pPr>
    </w:lvl>
    <w:lvl w:ilvl="3" w:tplc="78CA6474" w:tentative="1">
      <w:start w:val="1"/>
      <w:numFmt w:val="decimal"/>
      <w:lvlText w:val="%4."/>
      <w:lvlJc w:val="left"/>
      <w:pPr>
        <w:ind w:left="2880" w:hanging="360"/>
      </w:pPr>
    </w:lvl>
    <w:lvl w:ilvl="4" w:tplc="332C7F6A" w:tentative="1">
      <w:start w:val="1"/>
      <w:numFmt w:val="lowerLetter"/>
      <w:lvlText w:val="%5."/>
      <w:lvlJc w:val="left"/>
      <w:pPr>
        <w:ind w:left="3600" w:hanging="360"/>
      </w:pPr>
    </w:lvl>
    <w:lvl w:ilvl="5" w:tplc="7328689E" w:tentative="1">
      <w:start w:val="1"/>
      <w:numFmt w:val="lowerRoman"/>
      <w:lvlText w:val="%6."/>
      <w:lvlJc w:val="right"/>
      <w:pPr>
        <w:ind w:left="4320" w:hanging="180"/>
      </w:pPr>
    </w:lvl>
    <w:lvl w:ilvl="6" w:tplc="CEBEF33C" w:tentative="1">
      <w:start w:val="1"/>
      <w:numFmt w:val="decimal"/>
      <w:lvlText w:val="%7."/>
      <w:lvlJc w:val="left"/>
      <w:pPr>
        <w:ind w:left="5040" w:hanging="360"/>
      </w:pPr>
    </w:lvl>
    <w:lvl w:ilvl="7" w:tplc="CB228A7C" w:tentative="1">
      <w:start w:val="1"/>
      <w:numFmt w:val="lowerLetter"/>
      <w:lvlText w:val="%8."/>
      <w:lvlJc w:val="left"/>
      <w:pPr>
        <w:ind w:left="5760" w:hanging="360"/>
      </w:pPr>
    </w:lvl>
    <w:lvl w:ilvl="8" w:tplc="5CAEF0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E4D4C"/>
    <w:multiLevelType w:val="hybridMultilevel"/>
    <w:tmpl w:val="26AC1DEC"/>
    <w:lvl w:ilvl="0" w:tplc="AA28436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B6C09AC4" w:tentative="1">
      <w:start w:val="1"/>
      <w:numFmt w:val="lowerLetter"/>
      <w:lvlText w:val="%2."/>
      <w:lvlJc w:val="left"/>
      <w:pPr>
        <w:ind w:left="1440" w:hanging="360"/>
      </w:pPr>
    </w:lvl>
    <w:lvl w:ilvl="2" w:tplc="E166AA6C" w:tentative="1">
      <w:start w:val="1"/>
      <w:numFmt w:val="lowerRoman"/>
      <w:lvlText w:val="%3."/>
      <w:lvlJc w:val="right"/>
      <w:pPr>
        <w:ind w:left="2160" w:hanging="180"/>
      </w:pPr>
    </w:lvl>
    <w:lvl w:ilvl="3" w:tplc="7A220462" w:tentative="1">
      <w:start w:val="1"/>
      <w:numFmt w:val="decimal"/>
      <w:lvlText w:val="%4."/>
      <w:lvlJc w:val="left"/>
      <w:pPr>
        <w:ind w:left="2880" w:hanging="360"/>
      </w:pPr>
    </w:lvl>
    <w:lvl w:ilvl="4" w:tplc="A7AE4324" w:tentative="1">
      <w:start w:val="1"/>
      <w:numFmt w:val="lowerLetter"/>
      <w:lvlText w:val="%5."/>
      <w:lvlJc w:val="left"/>
      <w:pPr>
        <w:ind w:left="3600" w:hanging="360"/>
      </w:pPr>
    </w:lvl>
    <w:lvl w:ilvl="5" w:tplc="4CBAD7E0" w:tentative="1">
      <w:start w:val="1"/>
      <w:numFmt w:val="lowerRoman"/>
      <w:lvlText w:val="%6."/>
      <w:lvlJc w:val="right"/>
      <w:pPr>
        <w:ind w:left="4320" w:hanging="180"/>
      </w:pPr>
    </w:lvl>
    <w:lvl w:ilvl="6" w:tplc="497A5DD8" w:tentative="1">
      <w:start w:val="1"/>
      <w:numFmt w:val="decimal"/>
      <w:lvlText w:val="%7."/>
      <w:lvlJc w:val="left"/>
      <w:pPr>
        <w:ind w:left="5040" w:hanging="360"/>
      </w:pPr>
    </w:lvl>
    <w:lvl w:ilvl="7" w:tplc="91E46F0E" w:tentative="1">
      <w:start w:val="1"/>
      <w:numFmt w:val="lowerLetter"/>
      <w:lvlText w:val="%8."/>
      <w:lvlJc w:val="left"/>
      <w:pPr>
        <w:ind w:left="5760" w:hanging="360"/>
      </w:pPr>
    </w:lvl>
    <w:lvl w:ilvl="8" w:tplc="CD525E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51E62"/>
    <w:multiLevelType w:val="hybridMultilevel"/>
    <w:tmpl w:val="8294ED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491C3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361F85"/>
    <w:multiLevelType w:val="hybridMultilevel"/>
    <w:tmpl w:val="88FED8D6"/>
    <w:lvl w:ilvl="0" w:tplc="A800A5A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82DA550C" w:tentative="1">
      <w:start w:val="1"/>
      <w:numFmt w:val="lowerLetter"/>
      <w:lvlText w:val="%2."/>
      <w:lvlJc w:val="left"/>
      <w:pPr>
        <w:ind w:left="1440" w:hanging="360"/>
      </w:pPr>
    </w:lvl>
    <w:lvl w:ilvl="2" w:tplc="023E69A6" w:tentative="1">
      <w:start w:val="1"/>
      <w:numFmt w:val="lowerRoman"/>
      <w:lvlText w:val="%3."/>
      <w:lvlJc w:val="right"/>
      <w:pPr>
        <w:ind w:left="2160" w:hanging="180"/>
      </w:pPr>
    </w:lvl>
    <w:lvl w:ilvl="3" w:tplc="88C45236" w:tentative="1">
      <w:start w:val="1"/>
      <w:numFmt w:val="decimal"/>
      <w:lvlText w:val="%4."/>
      <w:lvlJc w:val="left"/>
      <w:pPr>
        <w:ind w:left="2880" w:hanging="360"/>
      </w:pPr>
    </w:lvl>
    <w:lvl w:ilvl="4" w:tplc="433A6AA4" w:tentative="1">
      <w:start w:val="1"/>
      <w:numFmt w:val="lowerLetter"/>
      <w:lvlText w:val="%5."/>
      <w:lvlJc w:val="left"/>
      <w:pPr>
        <w:ind w:left="3600" w:hanging="360"/>
      </w:pPr>
    </w:lvl>
    <w:lvl w:ilvl="5" w:tplc="6BDE81E6" w:tentative="1">
      <w:start w:val="1"/>
      <w:numFmt w:val="lowerRoman"/>
      <w:lvlText w:val="%6."/>
      <w:lvlJc w:val="right"/>
      <w:pPr>
        <w:ind w:left="4320" w:hanging="180"/>
      </w:pPr>
    </w:lvl>
    <w:lvl w:ilvl="6" w:tplc="E9503F3C" w:tentative="1">
      <w:start w:val="1"/>
      <w:numFmt w:val="decimal"/>
      <w:lvlText w:val="%7."/>
      <w:lvlJc w:val="left"/>
      <w:pPr>
        <w:ind w:left="5040" w:hanging="360"/>
      </w:pPr>
    </w:lvl>
    <w:lvl w:ilvl="7" w:tplc="3E04AFD6" w:tentative="1">
      <w:start w:val="1"/>
      <w:numFmt w:val="lowerLetter"/>
      <w:lvlText w:val="%8."/>
      <w:lvlJc w:val="left"/>
      <w:pPr>
        <w:ind w:left="5760" w:hanging="360"/>
      </w:pPr>
    </w:lvl>
    <w:lvl w:ilvl="8" w:tplc="4FB42F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D04AF8"/>
    <w:multiLevelType w:val="hybridMultilevel"/>
    <w:tmpl w:val="173CB834"/>
    <w:lvl w:ilvl="0" w:tplc="3E42F8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4E992A" w:tentative="1">
      <w:start w:val="1"/>
      <w:numFmt w:val="lowerLetter"/>
      <w:lvlText w:val="%2."/>
      <w:lvlJc w:val="left"/>
      <w:pPr>
        <w:ind w:left="1440" w:hanging="360"/>
      </w:pPr>
    </w:lvl>
    <w:lvl w:ilvl="2" w:tplc="49F0FBE6" w:tentative="1">
      <w:start w:val="1"/>
      <w:numFmt w:val="lowerRoman"/>
      <w:lvlText w:val="%3."/>
      <w:lvlJc w:val="right"/>
      <w:pPr>
        <w:ind w:left="2160" w:hanging="180"/>
      </w:pPr>
    </w:lvl>
    <w:lvl w:ilvl="3" w:tplc="2E0AA1C0" w:tentative="1">
      <w:start w:val="1"/>
      <w:numFmt w:val="decimal"/>
      <w:lvlText w:val="%4."/>
      <w:lvlJc w:val="left"/>
      <w:pPr>
        <w:ind w:left="2880" w:hanging="360"/>
      </w:pPr>
    </w:lvl>
    <w:lvl w:ilvl="4" w:tplc="F204218C" w:tentative="1">
      <w:start w:val="1"/>
      <w:numFmt w:val="lowerLetter"/>
      <w:lvlText w:val="%5."/>
      <w:lvlJc w:val="left"/>
      <w:pPr>
        <w:ind w:left="3600" w:hanging="360"/>
      </w:pPr>
    </w:lvl>
    <w:lvl w:ilvl="5" w:tplc="4F7E0EC8" w:tentative="1">
      <w:start w:val="1"/>
      <w:numFmt w:val="lowerRoman"/>
      <w:lvlText w:val="%6."/>
      <w:lvlJc w:val="right"/>
      <w:pPr>
        <w:ind w:left="4320" w:hanging="180"/>
      </w:pPr>
    </w:lvl>
    <w:lvl w:ilvl="6" w:tplc="60A28408" w:tentative="1">
      <w:start w:val="1"/>
      <w:numFmt w:val="decimal"/>
      <w:lvlText w:val="%7."/>
      <w:lvlJc w:val="left"/>
      <w:pPr>
        <w:ind w:left="5040" w:hanging="360"/>
      </w:pPr>
    </w:lvl>
    <w:lvl w:ilvl="7" w:tplc="C70E0768" w:tentative="1">
      <w:start w:val="1"/>
      <w:numFmt w:val="lowerLetter"/>
      <w:lvlText w:val="%8."/>
      <w:lvlJc w:val="left"/>
      <w:pPr>
        <w:ind w:left="5760" w:hanging="360"/>
      </w:pPr>
    </w:lvl>
    <w:lvl w:ilvl="8" w:tplc="69B6F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9FA7E77"/>
    <w:multiLevelType w:val="hybridMultilevel"/>
    <w:tmpl w:val="04069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10DFB"/>
    <w:multiLevelType w:val="hybridMultilevel"/>
    <w:tmpl w:val="31167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005B9"/>
    <w:multiLevelType w:val="hybridMultilevel"/>
    <w:tmpl w:val="6F22DA7A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4" w15:restartNumberingAfterBreak="0">
    <w:nsid w:val="451330EE"/>
    <w:multiLevelType w:val="hybridMultilevel"/>
    <w:tmpl w:val="9992E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A53BA"/>
    <w:multiLevelType w:val="hybridMultilevel"/>
    <w:tmpl w:val="A37088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574274"/>
    <w:multiLevelType w:val="hybridMultilevel"/>
    <w:tmpl w:val="596AB6CE"/>
    <w:lvl w:ilvl="0" w:tplc="F57C1B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147E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C5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C657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7CAC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1690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0E48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CCC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0698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220E46"/>
    <w:multiLevelType w:val="hybridMultilevel"/>
    <w:tmpl w:val="A4DC0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C0D4D"/>
    <w:multiLevelType w:val="hybridMultilevel"/>
    <w:tmpl w:val="321E3790"/>
    <w:lvl w:ilvl="0" w:tplc="5CA6D378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51CA1578" w:tentative="1">
      <w:start w:val="1"/>
      <w:numFmt w:val="lowerLetter"/>
      <w:lvlText w:val="%2."/>
      <w:lvlJc w:val="left"/>
      <w:pPr>
        <w:ind w:left="1440" w:hanging="360"/>
      </w:pPr>
    </w:lvl>
    <w:lvl w:ilvl="2" w:tplc="F32EACB0" w:tentative="1">
      <w:start w:val="1"/>
      <w:numFmt w:val="lowerRoman"/>
      <w:lvlText w:val="%3."/>
      <w:lvlJc w:val="right"/>
      <w:pPr>
        <w:ind w:left="2160" w:hanging="180"/>
      </w:pPr>
    </w:lvl>
    <w:lvl w:ilvl="3" w:tplc="4ACE1F02" w:tentative="1">
      <w:start w:val="1"/>
      <w:numFmt w:val="decimal"/>
      <w:lvlText w:val="%4."/>
      <w:lvlJc w:val="left"/>
      <w:pPr>
        <w:ind w:left="2880" w:hanging="360"/>
      </w:pPr>
    </w:lvl>
    <w:lvl w:ilvl="4" w:tplc="F61C3B02" w:tentative="1">
      <w:start w:val="1"/>
      <w:numFmt w:val="lowerLetter"/>
      <w:lvlText w:val="%5."/>
      <w:lvlJc w:val="left"/>
      <w:pPr>
        <w:ind w:left="3600" w:hanging="360"/>
      </w:pPr>
    </w:lvl>
    <w:lvl w:ilvl="5" w:tplc="45202920" w:tentative="1">
      <w:start w:val="1"/>
      <w:numFmt w:val="lowerRoman"/>
      <w:lvlText w:val="%6."/>
      <w:lvlJc w:val="right"/>
      <w:pPr>
        <w:ind w:left="4320" w:hanging="180"/>
      </w:pPr>
    </w:lvl>
    <w:lvl w:ilvl="6" w:tplc="370AD748" w:tentative="1">
      <w:start w:val="1"/>
      <w:numFmt w:val="decimal"/>
      <w:lvlText w:val="%7."/>
      <w:lvlJc w:val="left"/>
      <w:pPr>
        <w:ind w:left="5040" w:hanging="360"/>
      </w:pPr>
    </w:lvl>
    <w:lvl w:ilvl="7" w:tplc="A2900E86" w:tentative="1">
      <w:start w:val="1"/>
      <w:numFmt w:val="lowerLetter"/>
      <w:lvlText w:val="%8."/>
      <w:lvlJc w:val="left"/>
      <w:pPr>
        <w:ind w:left="5760" w:hanging="360"/>
      </w:pPr>
    </w:lvl>
    <w:lvl w:ilvl="8" w:tplc="977E5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F3B53"/>
    <w:multiLevelType w:val="hybridMultilevel"/>
    <w:tmpl w:val="2EC0F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EA25EA"/>
    <w:multiLevelType w:val="hybridMultilevel"/>
    <w:tmpl w:val="511065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E4D36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9"/>
  </w:num>
  <w:num w:numId="9">
    <w:abstractNumId w:val="16"/>
  </w:num>
  <w:num w:numId="10">
    <w:abstractNumId w:val="18"/>
  </w:num>
  <w:num w:numId="11">
    <w:abstractNumId w:val="15"/>
  </w:num>
  <w:num w:numId="12">
    <w:abstractNumId w:val="21"/>
  </w:num>
  <w:num w:numId="13">
    <w:abstractNumId w:val="1"/>
  </w:num>
  <w:num w:numId="14">
    <w:abstractNumId w:val="13"/>
  </w:num>
  <w:num w:numId="15">
    <w:abstractNumId w:val="14"/>
  </w:num>
  <w:num w:numId="16">
    <w:abstractNumId w:val="4"/>
  </w:num>
  <w:num w:numId="17">
    <w:abstractNumId w:val="12"/>
  </w:num>
  <w:num w:numId="18">
    <w:abstractNumId w:val="0"/>
  </w:num>
  <w:num w:numId="19">
    <w:abstractNumId w:val="19"/>
  </w:num>
  <w:num w:numId="20">
    <w:abstractNumId w:val="20"/>
  </w:num>
  <w:num w:numId="21">
    <w:abstractNumId w:val="17"/>
  </w:num>
  <w:num w:numId="22">
    <w:abstractNumId w:val="8"/>
  </w:num>
  <w:num w:numId="23">
    <w:abstractNumId w:val="10"/>
  </w:num>
  <w:num w:numId="24">
    <w:abstractNumId w:val="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r0922raptfa24e9sscpd0ec0pw02z92dzet&quot;&gt;My EndNote Library&lt;record-ids&gt;&lt;item&gt;1379&lt;/item&gt;&lt;item&gt;1386&lt;/item&gt;&lt;item&gt;1389&lt;/item&gt;&lt;item&gt;1396&lt;/item&gt;&lt;item&gt;1399&lt;/item&gt;&lt;item&gt;1419&lt;/item&gt;&lt;item&gt;1470&lt;/item&gt;&lt;item&gt;1687&lt;/item&gt;&lt;item&gt;1692&lt;/item&gt;&lt;item&gt;2137&lt;/item&gt;&lt;item&gt;2138&lt;/item&gt;&lt;item&gt;3733&lt;/item&gt;&lt;item&gt;3751&lt;/item&gt;&lt;item&gt;3752&lt;/item&gt;&lt;item&gt;3767&lt;/item&gt;&lt;item&gt;3793&lt;/item&gt;&lt;item&gt;3794&lt;/item&gt;&lt;item&gt;3802&lt;/item&gt;&lt;item&gt;3814&lt;/item&gt;&lt;item&gt;3816&lt;/item&gt;&lt;item&gt;3817&lt;/item&gt;&lt;item&gt;3818&lt;/item&gt;&lt;item&gt;3819&lt;/item&gt;&lt;item&gt;3823&lt;/item&gt;&lt;item&gt;3824&lt;/item&gt;&lt;item&gt;3825&lt;/item&gt;&lt;item&gt;3826&lt;/item&gt;&lt;item&gt;3827&lt;/item&gt;&lt;item&gt;3829&lt;/item&gt;&lt;item&gt;3830&lt;/item&gt;&lt;item&gt;3833&lt;/item&gt;&lt;item&gt;3863&lt;/item&gt;&lt;item&gt;3867&lt;/item&gt;&lt;item&gt;3868&lt;/item&gt;&lt;item&gt;3869&lt;/item&gt;&lt;item&gt;3871&lt;/item&gt;&lt;item&gt;3873&lt;/item&gt;&lt;item&gt;3874&lt;/item&gt;&lt;item&gt;3875&lt;/item&gt;&lt;item&gt;3877&lt;/item&gt;&lt;item&gt;3879&lt;/item&gt;&lt;item&gt;3880&lt;/item&gt;&lt;item&gt;3881&lt;/item&gt;&lt;item&gt;3883&lt;/item&gt;&lt;item&gt;3884&lt;/item&gt;&lt;item&gt;3892&lt;/item&gt;&lt;item&gt;3893&lt;/item&gt;&lt;item&gt;3894&lt;/item&gt;&lt;item&gt;3941&lt;/item&gt;&lt;item&gt;3942&lt;/item&gt;&lt;item&gt;3943&lt;/item&gt;&lt;item&gt;3944&lt;/item&gt;&lt;item&gt;3945&lt;/item&gt;&lt;/record-ids&gt;&lt;/item&gt;&lt;/Libraries&gt;"/>
  </w:docVars>
  <w:rsids>
    <w:rsidRoot w:val="00B30636"/>
    <w:rsid w:val="0000473F"/>
    <w:rsid w:val="000053C0"/>
    <w:rsid w:val="00024424"/>
    <w:rsid w:val="000251DE"/>
    <w:rsid w:val="00037188"/>
    <w:rsid w:val="00052543"/>
    <w:rsid w:val="00054F5E"/>
    <w:rsid w:val="00060965"/>
    <w:rsid w:val="000618E3"/>
    <w:rsid w:val="00065FF4"/>
    <w:rsid w:val="00073F29"/>
    <w:rsid w:val="00075788"/>
    <w:rsid w:val="000818A3"/>
    <w:rsid w:val="00081B40"/>
    <w:rsid w:val="000837E3"/>
    <w:rsid w:val="000858B9"/>
    <w:rsid w:val="00093D37"/>
    <w:rsid w:val="000A448B"/>
    <w:rsid w:val="000A6F47"/>
    <w:rsid w:val="000B1B77"/>
    <w:rsid w:val="000B1E56"/>
    <w:rsid w:val="000C7EFC"/>
    <w:rsid w:val="000D4AE8"/>
    <w:rsid w:val="000D6329"/>
    <w:rsid w:val="000E155D"/>
    <w:rsid w:val="000E5DE9"/>
    <w:rsid w:val="000E790C"/>
    <w:rsid w:val="000F0E63"/>
    <w:rsid w:val="000F1503"/>
    <w:rsid w:val="000F2617"/>
    <w:rsid w:val="000F4936"/>
    <w:rsid w:val="00120EE4"/>
    <w:rsid w:val="00126C03"/>
    <w:rsid w:val="00145548"/>
    <w:rsid w:val="00146EAE"/>
    <w:rsid w:val="001645D8"/>
    <w:rsid w:val="00171ADB"/>
    <w:rsid w:val="00184F33"/>
    <w:rsid w:val="001865D1"/>
    <w:rsid w:val="00186691"/>
    <w:rsid w:val="001A1F44"/>
    <w:rsid w:val="001B2605"/>
    <w:rsid w:val="001B3984"/>
    <w:rsid w:val="001B645A"/>
    <w:rsid w:val="001C34DE"/>
    <w:rsid w:val="001C4D05"/>
    <w:rsid w:val="001C77FB"/>
    <w:rsid w:val="001D0229"/>
    <w:rsid w:val="001D34E7"/>
    <w:rsid w:val="001D5F11"/>
    <w:rsid w:val="001D7890"/>
    <w:rsid w:val="001E10AD"/>
    <w:rsid w:val="001E2AEB"/>
    <w:rsid w:val="001F419B"/>
    <w:rsid w:val="00201FBB"/>
    <w:rsid w:val="002026A3"/>
    <w:rsid w:val="002033E4"/>
    <w:rsid w:val="0020679E"/>
    <w:rsid w:val="00217328"/>
    <w:rsid w:val="00226634"/>
    <w:rsid w:val="00230147"/>
    <w:rsid w:val="0023487A"/>
    <w:rsid w:val="0023556C"/>
    <w:rsid w:val="0023558C"/>
    <w:rsid w:val="00244CFF"/>
    <w:rsid w:val="0025387F"/>
    <w:rsid w:val="00253DF0"/>
    <w:rsid w:val="0026016A"/>
    <w:rsid w:val="00264BAC"/>
    <w:rsid w:val="00264F7D"/>
    <w:rsid w:val="00272F25"/>
    <w:rsid w:val="00275038"/>
    <w:rsid w:val="00283DB5"/>
    <w:rsid w:val="0028662A"/>
    <w:rsid w:val="002974FF"/>
    <w:rsid w:val="002A0D6E"/>
    <w:rsid w:val="002A1DEF"/>
    <w:rsid w:val="002A3450"/>
    <w:rsid w:val="002B5823"/>
    <w:rsid w:val="002B616D"/>
    <w:rsid w:val="002C00FE"/>
    <w:rsid w:val="002C7244"/>
    <w:rsid w:val="002D1268"/>
    <w:rsid w:val="002D4127"/>
    <w:rsid w:val="002D61AF"/>
    <w:rsid w:val="002E4BC1"/>
    <w:rsid w:val="002E5200"/>
    <w:rsid w:val="002E6DF0"/>
    <w:rsid w:val="002F495B"/>
    <w:rsid w:val="00307FE9"/>
    <w:rsid w:val="0031508D"/>
    <w:rsid w:val="00326141"/>
    <w:rsid w:val="0032633C"/>
    <w:rsid w:val="003264AF"/>
    <w:rsid w:val="0032659B"/>
    <w:rsid w:val="003271CA"/>
    <w:rsid w:val="00330445"/>
    <w:rsid w:val="003345D1"/>
    <w:rsid w:val="00334B37"/>
    <w:rsid w:val="00341255"/>
    <w:rsid w:val="00343346"/>
    <w:rsid w:val="003454E2"/>
    <w:rsid w:val="00351351"/>
    <w:rsid w:val="00353171"/>
    <w:rsid w:val="003547F6"/>
    <w:rsid w:val="00363C98"/>
    <w:rsid w:val="0039201C"/>
    <w:rsid w:val="003942DA"/>
    <w:rsid w:val="00394E80"/>
    <w:rsid w:val="003A55A8"/>
    <w:rsid w:val="003A7792"/>
    <w:rsid w:val="003B0E65"/>
    <w:rsid w:val="003B3371"/>
    <w:rsid w:val="003B5D9E"/>
    <w:rsid w:val="003C160A"/>
    <w:rsid w:val="003D1EEB"/>
    <w:rsid w:val="003D6316"/>
    <w:rsid w:val="003D74E5"/>
    <w:rsid w:val="003E3F2D"/>
    <w:rsid w:val="003E42DE"/>
    <w:rsid w:val="003E4D8E"/>
    <w:rsid w:val="003E505C"/>
    <w:rsid w:val="003E6F5C"/>
    <w:rsid w:val="00401D30"/>
    <w:rsid w:val="00402773"/>
    <w:rsid w:val="004207F1"/>
    <w:rsid w:val="00425B8A"/>
    <w:rsid w:val="00441F1B"/>
    <w:rsid w:val="0044356E"/>
    <w:rsid w:val="0044756D"/>
    <w:rsid w:val="004521E1"/>
    <w:rsid w:val="004531BA"/>
    <w:rsid w:val="004707D9"/>
    <w:rsid w:val="0047546F"/>
    <w:rsid w:val="004807A8"/>
    <w:rsid w:val="00480933"/>
    <w:rsid w:val="00496AC1"/>
    <w:rsid w:val="004976E2"/>
    <w:rsid w:val="004A7C72"/>
    <w:rsid w:val="004B30CA"/>
    <w:rsid w:val="004B3978"/>
    <w:rsid w:val="004C29E9"/>
    <w:rsid w:val="004D3593"/>
    <w:rsid w:val="004D65E8"/>
    <w:rsid w:val="004E0105"/>
    <w:rsid w:val="004E1139"/>
    <w:rsid w:val="00513C95"/>
    <w:rsid w:val="00515F39"/>
    <w:rsid w:val="005201EC"/>
    <w:rsid w:val="0052576D"/>
    <w:rsid w:val="00530983"/>
    <w:rsid w:val="005329E8"/>
    <w:rsid w:val="00534C4A"/>
    <w:rsid w:val="005425B6"/>
    <w:rsid w:val="00545EC0"/>
    <w:rsid w:val="005559B5"/>
    <w:rsid w:val="00557C5E"/>
    <w:rsid w:val="00565A63"/>
    <w:rsid w:val="00566A03"/>
    <w:rsid w:val="005716C2"/>
    <w:rsid w:val="00580717"/>
    <w:rsid w:val="00582EBE"/>
    <w:rsid w:val="00586D93"/>
    <w:rsid w:val="00591878"/>
    <w:rsid w:val="00595722"/>
    <w:rsid w:val="005A0BED"/>
    <w:rsid w:val="005A3ABF"/>
    <w:rsid w:val="005B1A93"/>
    <w:rsid w:val="005B27DC"/>
    <w:rsid w:val="005B4692"/>
    <w:rsid w:val="005B6903"/>
    <w:rsid w:val="005C170D"/>
    <w:rsid w:val="005C2F0D"/>
    <w:rsid w:val="005D0C0B"/>
    <w:rsid w:val="005D2307"/>
    <w:rsid w:val="005D40F8"/>
    <w:rsid w:val="005E5FE6"/>
    <w:rsid w:val="005E736C"/>
    <w:rsid w:val="005F22BF"/>
    <w:rsid w:val="005F7619"/>
    <w:rsid w:val="00604808"/>
    <w:rsid w:val="0061292E"/>
    <w:rsid w:val="0061737C"/>
    <w:rsid w:val="00623C1D"/>
    <w:rsid w:val="00627D4F"/>
    <w:rsid w:val="0063570B"/>
    <w:rsid w:val="00636D34"/>
    <w:rsid w:val="00641DF3"/>
    <w:rsid w:val="00642F56"/>
    <w:rsid w:val="0064541E"/>
    <w:rsid w:val="00650F80"/>
    <w:rsid w:val="006606D5"/>
    <w:rsid w:val="00663E1A"/>
    <w:rsid w:val="00666281"/>
    <w:rsid w:val="00673BD8"/>
    <w:rsid w:val="00676FEB"/>
    <w:rsid w:val="0068011C"/>
    <w:rsid w:val="00680F87"/>
    <w:rsid w:val="006837C3"/>
    <w:rsid w:val="00683E3E"/>
    <w:rsid w:val="00690B17"/>
    <w:rsid w:val="00692393"/>
    <w:rsid w:val="006A3241"/>
    <w:rsid w:val="006A562F"/>
    <w:rsid w:val="006B14A3"/>
    <w:rsid w:val="006D2FA8"/>
    <w:rsid w:val="006D37E0"/>
    <w:rsid w:val="006D5FAF"/>
    <w:rsid w:val="006E01BC"/>
    <w:rsid w:val="006E06F6"/>
    <w:rsid w:val="006F1615"/>
    <w:rsid w:val="006F4CB9"/>
    <w:rsid w:val="006F7149"/>
    <w:rsid w:val="00732017"/>
    <w:rsid w:val="00732EEF"/>
    <w:rsid w:val="007346D0"/>
    <w:rsid w:val="007422B2"/>
    <w:rsid w:val="007425C2"/>
    <w:rsid w:val="007471EB"/>
    <w:rsid w:val="00764B01"/>
    <w:rsid w:val="00773FAA"/>
    <w:rsid w:val="007B08CC"/>
    <w:rsid w:val="007C48EE"/>
    <w:rsid w:val="007D1B05"/>
    <w:rsid w:val="007E1BE7"/>
    <w:rsid w:val="007E3DA3"/>
    <w:rsid w:val="007E5353"/>
    <w:rsid w:val="007E55B2"/>
    <w:rsid w:val="007F4D67"/>
    <w:rsid w:val="00803002"/>
    <w:rsid w:val="00817972"/>
    <w:rsid w:val="00817FC9"/>
    <w:rsid w:val="00826109"/>
    <w:rsid w:val="008410C3"/>
    <w:rsid w:val="0084114E"/>
    <w:rsid w:val="00851EBD"/>
    <w:rsid w:val="008551FA"/>
    <w:rsid w:val="00862061"/>
    <w:rsid w:val="00864D5F"/>
    <w:rsid w:val="00867141"/>
    <w:rsid w:val="008736BD"/>
    <w:rsid w:val="0087435B"/>
    <w:rsid w:val="00874B5B"/>
    <w:rsid w:val="00886AFA"/>
    <w:rsid w:val="00886F09"/>
    <w:rsid w:val="008879AA"/>
    <w:rsid w:val="008A129D"/>
    <w:rsid w:val="008A1C98"/>
    <w:rsid w:val="008B0651"/>
    <w:rsid w:val="008B0E4D"/>
    <w:rsid w:val="008B395D"/>
    <w:rsid w:val="008D09DD"/>
    <w:rsid w:val="008D750E"/>
    <w:rsid w:val="008D7565"/>
    <w:rsid w:val="008D76FF"/>
    <w:rsid w:val="008E354B"/>
    <w:rsid w:val="008F3F6D"/>
    <w:rsid w:val="008F4843"/>
    <w:rsid w:val="008F64CD"/>
    <w:rsid w:val="008F75A4"/>
    <w:rsid w:val="00905576"/>
    <w:rsid w:val="00911CAE"/>
    <w:rsid w:val="00914804"/>
    <w:rsid w:val="00915476"/>
    <w:rsid w:val="00915EF6"/>
    <w:rsid w:val="00915F9D"/>
    <w:rsid w:val="00917914"/>
    <w:rsid w:val="00923E08"/>
    <w:rsid w:val="00924AA1"/>
    <w:rsid w:val="00925B94"/>
    <w:rsid w:val="00936163"/>
    <w:rsid w:val="0094305F"/>
    <w:rsid w:val="009458F2"/>
    <w:rsid w:val="00946AE1"/>
    <w:rsid w:val="00956E28"/>
    <w:rsid w:val="00963346"/>
    <w:rsid w:val="0096409A"/>
    <w:rsid w:val="00964FB2"/>
    <w:rsid w:val="00967707"/>
    <w:rsid w:val="00971F71"/>
    <w:rsid w:val="00983ECB"/>
    <w:rsid w:val="009840BF"/>
    <w:rsid w:val="009A7C8B"/>
    <w:rsid w:val="009B07E1"/>
    <w:rsid w:val="009B356F"/>
    <w:rsid w:val="009C1C4A"/>
    <w:rsid w:val="009D2500"/>
    <w:rsid w:val="009D6EF1"/>
    <w:rsid w:val="009D74AE"/>
    <w:rsid w:val="009E5C8A"/>
    <w:rsid w:val="009F70E6"/>
    <w:rsid w:val="00A01025"/>
    <w:rsid w:val="00A06051"/>
    <w:rsid w:val="00A14941"/>
    <w:rsid w:val="00A455AB"/>
    <w:rsid w:val="00A50FD4"/>
    <w:rsid w:val="00A53B15"/>
    <w:rsid w:val="00A6304F"/>
    <w:rsid w:val="00A67B82"/>
    <w:rsid w:val="00A700A7"/>
    <w:rsid w:val="00A70EAB"/>
    <w:rsid w:val="00A91848"/>
    <w:rsid w:val="00A97DC5"/>
    <w:rsid w:val="00AA2CE7"/>
    <w:rsid w:val="00AA6B09"/>
    <w:rsid w:val="00AB1AEB"/>
    <w:rsid w:val="00AB23D8"/>
    <w:rsid w:val="00AB4224"/>
    <w:rsid w:val="00AC0571"/>
    <w:rsid w:val="00AC2C4A"/>
    <w:rsid w:val="00AC6729"/>
    <w:rsid w:val="00AD036B"/>
    <w:rsid w:val="00AD187E"/>
    <w:rsid w:val="00AE048C"/>
    <w:rsid w:val="00AE0A8F"/>
    <w:rsid w:val="00AE581C"/>
    <w:rsid w:val="00AE5901"/>
    <w:rsid w:val="00AF1F09"/>
    <w:rsid w:val="00AF379E"/>
    <w:rsid w:val="00AF7CE2"/>
    <w:rsid w:val="00B005DB"/>
    <w:rsid w:val="00B02074"/>
    <w:rsid w:val="00B02E24"/>
    <w:rsid w:val="00B04230"/>
    <w:rsid w:val="00B069CC"/>
    <w:rsid w:val="00B07C6D"/>
    <w:rsid w:val="00B10083"/>
    <w:rsid w:val="00B1244F"/>
    <w:rsid w:val="00B12E95"/>
    <w:rsid w:val="00B16352"/>
    <w:rsid w:val="00B219BD"/>
    <w:rsid w:val="00B238D1"/>
    <w:rsid w:val="00B23B6D"/>
    <w:rsid w:val="00B25E4C"/>
    <w:rsid w:val="00B30636"/>
    <w:rsid w:val="00B31518"/>
    <w:rsid w:val="00B3452A"/>
    <w:rsid w:val="00B358E2"/>
    <w:rsid w:val="00B37D65"/>
    <w:rsid w:val="00B556ED"/>
    <w:rsid w:val="00B569FD"/>
    <w:rsid w:val="00B63914"/>
    <w:rsid w:val="00B67709"/>
    <w:rsid w:val="00B72E65"/>
    <w:rsid w:val="00B7457F"/>
    <w:rsid w:val="00B74A9D"/>
    <w:rsid w:val="00B805C7"/>
    <w:rsid w:val="00B84BC5"/>
    <w:rsid w:val="00B874CF"/>
    <w:rsid w:val="00B904C6"/>
    <w:rsid w:val="00B91E38"/>
    <w:rsid w:val="00B937A0"/>
    <w:rsid w:val="00BA4EC2"/>
    <w:rsid w:val="00BB5186"/>
    <w:rsid w:val="00BB5B1E"/>
    <w:rsid w:val="00BB744B"/>
    <w:rsid w:val="00BC1236"/>
    <w:rsid w:val="00BC2E50"/>
    <w:rsid w:val="00BD5E33"/>
    <w:rsid w:val="00BE136B"/>
    <w:rsid w:val="00BE43E4"/>
    <w:rsid w:val="00C008E7"/>
    <w:rsid w:val="00C14FD3"/>
    <w:rsid w:val="00C34630"/>
    <w:rsid w:val="00C35AAB"/>
    <w:rsid w:val="00C423EE"/>
    <w:rsid w:val="00C4373C"/>
    <w:rsid w:val="00C44C10"/>
    <w:rsid w:val="00C469F6"/>
    <w:rsid w:val="00C608E4"/>
    <w:rsid w:val="00C615DE"/>
    <w:rsid w:val="00C657B4"/>
    <w:rsid w:val="00C768E9"/>
    <w:rsid w:val="00C81A19"/>
    <w:rsid w:val="00C85D33"/>
    <w:rsid w:val="00C862EE"/>
    <w:rsid w:val="00C905A3"/>
    <w:rsid w:val="00C94652"/>
    <w:rsid w:val="00C95171"/>
    <w:rsid w:val="00C96463"/>
    <w:rsid w:val="00CA0F95"/>
    <w:rsid w:val="00CA14C0"/>
    <w:rsid w:val="00CA1B07"/>
    <w:rsid w:val="00CA7B61"/>
    <w:rsid w:val="00CB5C68"/>
    <w:rsid w:val="00CC76C6"/>
    <w:rsid w:val="00CD0A63"/>
    <w:rsid w:val="00CD0FD3"/>
    <w:rsid w:val="00CD4EB1"/>
    <w:rsid w:val="00CE083B"/>
    <w:rsid w:val="00CF0563"/>
    <w:rsid w:val="00CF513B"/>
    <w:rsid w:val="00CF5F1C"/>
    <w:rsid w:val="00CF64C1"/>
    <w:rsid w:val="00D07187"/>
    <w:rsid w:val="00D109C8"/>
    <w:rsid w:val="00D1503D"/>
    <w:rsid w:val="00D15B9E"/>
    <w:rsid w:val="00D20366"/>
    <w:rsid w:val="00D23A8B"/>
    <w:rsid w:val="00D266C3"/>
    <w:rsid w:val="00D3355A"/>
    <w:rsid w:val="00D373FC"/>
    <w:rsid w:val="00D406ED"/>
    <w:rsid w:val="00D454AD"/>
    <w:rsid w:val="00D47808"/>
    <w:rsid w:val="00D52E07"/>
    <w:rsid w:val="00D67A84"/>
    <w:rsid w:val="00D71EA7"/>
    <w:rsid w:val="00D73F18"/>
    <w:rsid w:val="00D73F7D"/>
    <w:rsid w:val="00D741E0"/>
    <w:rsid w:val="00D81694"/>
    <w:rsid w:val="00D836C7"/>
    <w:rsid w:val="00D875F7"/>
    <w:rsid w:val="00D9130B"/>
    <w:rsid w:val="00D953B8"/>
    <w:rsid w:val="00D9552A"/>
    <w:rsid w:val="00D97C03"/>
    <w:rsid w:val="00DA4414"/>
    <w:rsid w:val="00DB2216"/>
    <w:rsid w:val="00DC5027"/>
    <w:rsid w:val="00DC57E9"/>
    <w:rsid w:val="00DD07A0"/>
    <w:rsid w:val="00DD26F6"/>
    <w:rsid w:val="00DD5B2D"/>
    <w:rsid w:val="00DD5BD1"/>
    <w:rsid w:val="00DE1B65"/>
    <w:rsid w:val="00DE3283"/>
    <w:rsid w:val="00DE7ED2"/>
    <w:rsid w:val="00E13705"/>
    <w:rsid w:val="00E140C4"/>
    <w:rsid w:val="00E1468A"/>
    <w:rsid w:val="00E15CE6"/>
    <w:rsid w:val="00E17927"/>
    <w:rsid w:val="00E251B8"/>
    <w:rsid w:val="00E317F8"/>
    <w:rsid w:val="00E32593"/>
    <w:rsid w:val="00E47D6E"/>
    <w:rsid w:val="00E51961"/>
    <w:rsid w:val="00E521BD"/>
    <w:rsid w:val="00E522B1"/>
    <w:rsid w:val="00E703B3"/>
    <w:rsid w:val="00E82F63"/>
    <w:rsid w:val="00E87C23"/>
    <w:rsid w:val="00E926BB"/>
    <w:rsid w:val="00E944E2"/>
    <w:rsid w:val="00EA3BD0"/>
    <w:rsid w:val="00EB0196"/>
    <w:rsid w:val="00EB0C16"/>
    <w:rsid w:val="00EC0FCB"/>
    <w:rsid w:val="00EC3ECB"/>
    <w:rsid w:val="00EC4017"/>
    <w:rsid w:val="00EC57FE"/>
    <w:rsid w:val="00EC6BAD"/>
    <w:rsid w:val="00EC73FA"/>
    <w:rsid w:val="00EC77E4"/>
    <w:rsid w:val="00ED141C"/>
    <w:rsid w:val="00EF5474"/>
    <w:rsid w:val="00F12522"/>
    <w:rsid w:val="00F14364"/>
    <w:rsid w:val="00F15806"/>
    <w:rsid w:val="00F15DBB"/>
    <w:rsid w:val="00F22713"/>
    <w:rsid w:val="00F22FED"/>
    <w:rsid w:val="00F2715D"/>
    <w:rsid w:val="00F5221D"/>
    <w:rsid w:val="00F528E5"/>
    <w:rsid w:val="00F54554"/>
    <w:rsid w:val="00F57022"/>
    <w:rsid w:val="00F57762"/>
    <w:rsid w:val="00F61E92"/>
    <w:rsid w:val="00F6459C"/>
    <w:rsid w:val="00F71A8C"/>
    <w:rsid w:val="00F75789"/>
    <w:rsid w:val="00F97FEF"/>
    <w:rsid w:val="00FA08D0"/>
    <w:rsid w:val="00FA44FA"/>
    <w:rsid w:val="00FB2D45"/>
    <w:rsid w:val="00FC25BA"/>
    <w:rsid w:val="00FC2DBE"/>
    <w:rsid w:val="00FC36FF"/>
    <w:rsid w:val="00FC5239"/>
    <w:rsid w:val="00FC6DC2"/>
    <w:rsid w:val="00FC7E98"/>
    <w:rsid w:val="00FD0459"/>
    <w:rsid w:val="00FD12B5"/>
    <w:rsid w:val="00FD4829"/>
    <w:rsid w:val="00FE2014"/>
    <w:rsid w:val="00FE7130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5EFEA0"/>
  <w15:chartTrackingRefBased/>
  <w15:docId w15:val="{A42EC962-DCEE-474D-9FA9-2AF7ECFD1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DC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37A0"/>
    <w:pPr>
      <w:keepNext/>
      <w:keepLines/>
      <w:spacing w:before="480" w:line="276" w:lineRule="auto"/>
      <w:outlineLvl w:val="0"/>
    </w:pPr>
    <w:rPr>
      <w:rFonts w:ascii="Cambria" w:eastAsia="宋体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B937A0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MDPI12title"/>
    <w:qFormat/>
    <w:rsid w:val="004B3978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4B3978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4B3978"/>
    <w:pPr>
      <w:adjustRightInd w:val="0"/>
      <w:snapToGrid w:val="0"/>
      <w:spacing w:after="12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Normal"/>
    <w:qFormat/>
    <w:rsid w:val="004B3978"/>
    <w:pPr>
      <w:ind w:left="113"/>
      <w:jc w:val="left"/>
    </w:pPr>
    <w:rPr>
      <w:snapToGrid/>
    </w:rPr>
  </w:style>
  <w:style w:type="paragraph" w:customStyle="1" w:styleId="MDPI16affiliation">
    <w:name w:val="MDPI_1.6_affiliation"/>
    <w:qFormat/>
    <w:rsid w:val="004B3978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4B3978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4B3978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19line">
    <w:name w:val="MDPI_1.9_line"/>
    <w:qFormat/>
    <w:rsid w:val="004B3978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 w:cstheme="minorBidi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3A55A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3A55A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A55A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3A55A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3A55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3A55A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4B3978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qFormat/>
    <w:rsid w:val="004B3978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4B3978"/>
    <w:pPr>
      <w:spacing w:after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4B3978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4B3978"/>
    <w:pPr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4B3978"/>
    <w:pPr>
      <w:spacing w:before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4B3978"/>
    <w:pPr>
      <w:numPr>
        <w:numId w:val="22"/>
      </w:num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4B3978"/>
    <w:pPr>
      <w:numPr>
        <w:numId w:val="23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4B3978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4B3978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2Acknowledgments">
    <w:name w:val="MDPI_6.2_Acknowledgments"/>
    <w:qFormat/>
    <w:rsid w:val="004B3978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qFormat/>
    <w:rsid w:val="004B3978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theme="minorBidi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6F714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4B397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theme="minorBidi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4B3978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4B3978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61Supplementary">
    <w:name w:val="MDPI_6.1_Supplementary"/>
    <w:qFormat/>
    <w:rsid w:val="004B3978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4B3978"/>
    <w:pPr>
      <w:spacing w:line="260" w:lineRule="atLeast"/>
      <w:jc w:val="both"/>
    </w:pPr>
    <w:rPr>
      <w:rFonts w:ascii="Palatino Linotype" w:hAnsi="Palatino Linotype"/>
      <w:snapToGrid w:val="0"/>
      <w:sz w:val="18"/>
      <w:lang w:eastAsia="en-US" w:bidi="en-US"/>
    </w:rPr>
  </w:style>
  <w:style w:type="paragraph" w:customStyle="1" w:styleId="MDPI64CoI">
    <w:name w:val="MDPI_6.4_CoI"/>
    <w:qFormat/>
    <w:rsid w:val="004B3978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81theorem">
    <w:name w:val="MDPI_8.1_theorem"/>
    <w:qFormat/>
    <w:rsid w:val="004B3978"/>
    <w:pPr>
      <w:spacing w:line="260" w:lineRule="atLeast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4B3978"/>
    <w:p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4B3978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31text">
    <w:name w:val="MDPI_3.1_text"/>
    <w:qFormat/>
    <w:rsid w:val="004B3978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4B3978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4B3978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4B3978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4B3978"/>
    <w:pPr>
      <w:numPr>
        <w:numId w:val="24"/>
      </w:num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5A8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A55A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3A55A8"/>
  </w:style>
  <w:style w:type="table" w:customStyle="1" w:styleId="MDPI41threelinetable">
    <w:name w:val="MDPI_4.1_three_line_table"/>
    <w:basedOn w:val="TableNormal"/>
    <w:uiPriority w:val="99"/>
    <w:rsid w:val="004B3978"/>
    <w:pPr>
      <w:adjustRightInd w:val="0"/>
      <w:snapToGrid w:val="0"/>
      <w:jc w:val="center"/>
    </w:pPr>
    <w:rPr>
      <w:rFonts w:ascii="Palatino Linotype" w:eastAsiaTheme="minorEastAsia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5425B6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963346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F71A8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C7E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7E9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7E98"/>
    <w:rPr>
      <w:rFonts w:ascii="Times New Roman" w:eastAsia="Times New Roman" w:hAnsi="Times New Roman"/>
      <w:color w:val="00000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7E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7E98"/>
    <w:rPr>
      <w:rFonts w:ascii="Times New Roman" w:eastAsia="Times New Roman" w:hAnsi="Times New Roman"/>
      <w:b/>
      <w:bCs/>
      <w:color w:val="000000"/>
      <w:lang w:eastAsia="de-DE"/>
    </w:rPr>
  </w:style>
  <w:style w:type="paragraph" w:styleId="ListParagraph">
    <w:name w:val="List Paragraph"/>
    <w:basedOn w:val="Normal"/>
    <w:uiPriority w:val="34"/>
    <w:qFormat/>
    <w:rsid w:val="00F57022"/>
    <w:pPr>
      <w:spacing w:after="200" w:line="276" w:lineRule="auto"/>
      <w:ind w:left="720"/>
      <w:contextualSpacing/>
    </w:pPr>
    <w:rPr>
      <w:rFonts w:ascii="Calibri" w:eastAsia="宋体" w:hAnsi="Calibri"/>
    </w:rPr>
  </w:style>
  <w:style w:type="paragraph" w:customStyle="1" w:styleId="EndNoteBibliography">
    <w:name w:val="EndNote Bibliography"/>
    <w:basedOn w:val="Normal"/>
    <w:link w:val="EndNoteBibliographyChar"/>
    <w:rsid w:val="00F57022"/>
    <w:pPr>
      <w:spacing w:after="200" w:line="240" w:lineRule="auto"/>
    </w:pPr>
    <w:rPr>
      <w:rFonts w:eastAsia="宋体"/>
      <w:noProof/>
      <w:sz w:val="20"/>
    </w:rPr>
  </w:style>
  <w:style w:type="character" w:customStyle="1" w:styleId="EndNoteBibliographyChar">
    <w:name w:val="EndNote Bibliography Char"/>
    <w:link w:val="EndNoteBibliography"/>
    <w:rsid w:val="00F57022"/>
    <w:rPr>
      <w:rFonts w:ascii="Times New Roman" w:hAnsi="Times New Roman"/>
      <w:noProof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937A0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937A0"/>
    <w:rPr>
      <w:rFonts w:ascii="Times New Roman" w:eastAsia="Times New Roman" w:hAnsi="Times New Roman"/>
      <w:b/>
      <w:bCs/>
      <w:sz w:val="27"/>
      <w:szCs w:val="27"/>
      <w:lang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B937A0"/>
    <w:pPr>
      <w:spacing w:line="276" w:lineRule="auto"/>
      <w:jc w:val="center"/>
    </w:pPr>
    <w:rPr>
      <w:rFonts w:eastAsia="宋体"/>
      <w:noProof/>
      <w:sz w:val="20"/>
    </w:rPr>
  </w:style>
  <w:style w:type="character" w:customStyle="1" w:styleId="EndNoteBibliographyTitleChar">
    <w:name w:val="EndNote Bibliography Title Char"/>
    <w:link w:val="EndNoteBibliographyTitle"/>
    <w:rsid w:val="00B937A0"/>
    <w:rPr>
      <w:rFonts w:ascii="Times New Roman" w:hAnsi="Times New Roman"/>
      <w:noProof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B937A0"/>
    <w:rPr>
      <w:color w:val="800080"/>
      <w:u w:val="single"/>
    </w:rPr>
  </w:style>
  <w:style w:type="paragraph" w:styleId="Revision">
    <w:name w:val="Revision"/>
    <w:hidden/>
    <w:uiPriority w:val="99"/>
    <w:semiHidden/>
    <w:rsid w:val="00B937A0"/>
    <w:rPr>
      <w:sz w:val="22"/>
      <w:szCs w:val="22"/>
      <w:lang w:eastAsia="en-US"/>
    </w:rPr>
  </w:style>
  <w:style w:type="paragraph" w:customStyle="1" w:styleId="Default">
    <w:name w:val="Default"/>
    <w:rsid w:val="00B937A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item-link-text">
    <w:name w:val="item-link-text"/>
    <w:basedOn w:val="DefaultParagraphFont"/>
    <w:rsid w:val="00B937A0"/>
  </w:style>
  <w:style w:type="paragraph" w:styleId="DocumentMap">
    <w:name w:val="Document Map"/>
    <w:basedOn w:val="Normal"/>
    <w:link w:val="DocumentMapChar"/>
    <w:uiPriority w:val="99"/>
    <w:semiHidden/>
    <w:unhideWhenUsed/>
    <w:rsid w:val="00B937A0"/>
    <w:pPr>
      <w:spacing w:line="240" w:lineRule="auto"/>
    </w:pPr>
    <w:rPr>
      <w:rFonts w:eastAsia="宋体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937A0"/>
    <w:rPr>
      <w:rFonts w:ascii="Times New Roman" w:hAnsi="Times New Roman"/>
      <w:sz w:val="24"/>
      <w:szCs w:val="24"/>
      <w:lang w:eastAsia="en-US"/>
    </w:rPr>
  </w:style>
  <w:style w:type="character" w:customStyle="1" w:styleId="UnresolvedMention2">
    <w:name w:val="Unresolved Mention2"/>
    <w:uiPriority w:val="99"/>
    <w:semiHidden/>
    <w:unhideWhenUsed/>
    <w:rsid w:val="00B937A0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B937A0"/>
    <w:pPr>
      <w:numPr>
        <w:numId w:val="18"/>
      </w:numPr>
      <w:spacing w:after="200" w:line="276" w:lineRule="auto"/>
      <w:contextualSpacing/>
    </w:pPr>
    <w:rPr>
      <w:rFonts w:ascii="Calibri" w:eastAsia="宋体" w:hAnsi="Calibri"/>
    </w:rPr>
  </w:style>
  <w:style w:type="paragraph" w:customStyle="1" w:styleId="MDPI15academiceditor">
    <w:name w:val="MDPI_1.5_academic_editor"/>
    <w:qFormat/>
    <w:rsid w:val="004B3978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4B3978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4B3978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theme="minorBidi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4B3978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4B3978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/>
      <w:noProof/>
      <w:snapToGrid w:val="0"/>
      <w:color w:val="00000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4B3978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4B3978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4B3978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4B397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4B3978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4B3978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paragraph" w:customStyle="1" w:styleId="MDPItext">
    <w:name w:val="MDPI_text"/>
    <w:qFormat/>
    <w:rsid w:val="004B3978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4B397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cancer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0A0E4-A654-4908-9C9F-3B9DA44B3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cancers-template.dot</Template>
  <TotalTime>61</TotalTime>
  <Pages>4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9267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MDPI</dc:creator>
  <cp:keywords/>
  <dc:description/>
  <cp:lastModifiedBy>MDPI</cp:lastModifiedBy>
  <cp:revision>33</cp:revision>
  <cp:lastPrinted>2020-11-03T20:12:00Z</cp:lastPrinted>
  <dcterms:created xsi:type="dcterms:W3CDTF">2020-11-10T01:55:00Z</dcterms:created>
  <dcterms:modified xsi:type="dcterms:W3CDTF">2020-11-13T03:35:00Z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a905b5-8388-4a05-b89a-55e43f7b4d00_Enabled">
    <vt:lpwstr>true</vt:lpwstr>
  </property>
  <property fmtid="{D5CDD505-2E9C-101B-9397-08002B2CF9AE}" pid="3" name="MSIP_Label_11a905b5-8388-4a05-b89a-55e43f7b4d00_SetDate">
    <vt:lpwstr>2020-09-17T16:58:05Z</vt:lpwstr>
  </property>
  <property fmtid="{D5CDD505-2E9C-101B-9397-08002B2CF9AE}" pid="4" name="MSIP_Label_11a905b5-8388-4a05-b89a-55e43f7b4d00_Method">
    <vt:lpwstr>Standard</vt:lpwstr>
  </property>
  <property fmtid="{D5CDD505-2E9C-101B-9397-08002B2CF9AE}" pid="5" name="MSIP_Label_11a905b5-8388-4a05-b89a-55e43f7b4d00_Name">
    <vt:lpwstr>General</vt:lpwstr>
  </property>
  <property fmtid="{D5CDD505-2E9C-101B-9397-08002B2CF9AE}" pid="6" name="MSIP_Label_11a905b5-8388-4a05-b89a-55e43f7b4d00_SiteId">
    <vt:lpwstr>2e319086-9a26-46a3-865f-615bed576786</vt:lpwstr>
  </property>
  <property fmtid="{D5CDD505-2E9C-101B-9397-08002B2CF9AE}" pid="7" name="MSIP_Label_11a905b5-8388-4a05-b89a-55e43f7b4d00_ActionId">
    <vt:lpwstr>56afce85-2f79-4ffa-9d51-30365b0ff932</vt:lpwstr>
  </property>
  <property fmtid="{D5CDD505-2E9C-101B-9397-08002B2CF9AE}" pid="8" name="MSIP_Label_11a905b5-8388-4a05-b89a-55e43f7b4d00_ContentBits">
    <vt:lpwstr>0</vt:lpwstr>
  </property>
</Properties>
</file>