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849500F" w14:textId="340EE401" w:rsidR="00242BAF" w:rsidRPr="00242BAF" w:rsidRDefault="00242BAF" w:rsidP="00242BAF">
      <w:pPr>
        <w:pStyle w:val="MDPI11articletype"/>
      </w:pPr>
      <w:r>
        <w:t>Supplementary Figures</w:t>
      </w:r>
    </w:p>
    <w:p w14:paraId="2F913D25" w14:textId="77777777" w:rsidR="00242BAF" w:rsidRPr="00242BAF" w:rsidRDefault="00242BAF" w:rsidP="00242BAF">
      <w:pPr>
        <w:pStyle w:val="MDPI12title"/>
      </w:pPr>
      <w:r w:rsidRPr="00242BAF">
        <w:t>CPT1A Over-expression Increases Reactive Oxygen Species in the Mitochondria and Promotes Antioxidant Defenses in Prostate Cancer</w:t>
      </w:r>
    </w:p>
    <w:p w14:paraId="71E38B48" w14:textId="2438096B" w:rsidR="00242BAF" w:rsidRPr="00242BAF" w:rsidRDefault="00242BAF" w:rsidP="00242BAF">
      <w:pPr>
        <w:pStyle w:val="MDPI13authornames"/>
      </w:pPr>
      <w:r w:rsidRPr="00242BAF">
        <w:t>Molishree U. Joshi, Jihye Kim, Angelo D’Alessandro, Emily M. Monk, Kimberley Bruce, Hanan Elajaili, Eva Nozik-Grayck, Andrew Goodspeed, James C. Costello and Isabel R. Schlaepfer</w:t>
      </w:r>
    </w:p>
    <w:p w14:paraId="67200C2F" w14:textId="155D0BAF" w:rsidR="003C280E" w:rsidRPr="00242BAF" w:rsidRDefault="004E6911" w:rsidP="00242BAF">
      <w:pPr>
        <w:pStyle w:val="MDPI52figure"/>
      </w:pPr>
      <w:r w:rsidRPr="00242BAF">
        <w:rPr>
          <w:noProof/>
        </w:rPr>
        <w:drawing>
          <wp:inline distT="0" distB="0" distL="0" distR="0" wp14:anchorId="2B614CFF" wp14:editId="5B0FE1FF">
            <wp:extent cx="4919472" cy="586130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472" cy="5861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DA1AF" w14:textId="0EDBA179" w:rsidR="003C280E" w:rsidRPr="00242BAF" w:rsidRDefault="00810825" w:rsidP="00242BAF">
      <w:pPr>
        <w:pStyle w:val="MDPI51figurecaption"/>
      </w:pPr>
      <w:r w:rsidRPr="00242BAF">
        <w:rPr>
          <w:b/>
          <w:bCs/>
        </w:rPr>
        <w:t xml:space="preserve">Figure </w:t>
      </w:r>
      <w:r w:rsidR="00242BAF">
        <w:rPr>
          <w:b/>
          <w:bCs/>
        </w:rPr>
        <w:t>S</w:t>
      </w:r>
      <w:r w:rsidRPr="00242BAF">
        <w:rPr>
          <w:b/>
          <w:bCs/>
        </w:rPr>
        <w:t>1</w:t>
      </w:r>
      <w:r w:rsidR="00242BAF">
        <w:rPr>
          <w:b/>
          <w:bCs/>
        </w:rPr>
        <w:t>.</w:t>
      </w:r>
      <w:r w:rsidRPr="00242BAF">
        <w:rPr>
          <w:b/>
        </w:rPr>
        <w:t xml:space="preserve"> </w:t>
      </w:r>
      <w:r w:rsidRPr="00242BAF">
        <w:rPr>
          <w:bCs/>
        </w:rPr>
        <w:t xml:space="preserve">Colony growth after treatment with different chain fatty acids conjugated to </w:t>
      </w:r>
      <w:commentRangeStart w:id="0"/>
      <w:r w:rsidRPr="00242BAF">
        <w:rPr>
          <w:bCs/>
        </w:rPr>
        <w:t>BSA</w:t>
      </w:r>
      <w:commentRangeEnd w:id="0"/>
      <w:r w:rsidR="00242BAF">
        <w:rPr>
          <w:rStyle w:val="CommentReference"/>
          <w:rFonts w:ascii="Times New Roman" w:hAnsi="Times New Roman"/>
          <w:lang w:bidi="ar-SA"/>
        </w:rPr>
        <w:commentReference w:id="0"/>
      </w:r>
      <w:r w:rsidRPr="00242BAF">
        <w:rPr>
          <w:bCs/>
        </w:rPr>
        <w:t xml:space="preserve"> for 14 days and normalized to BSA only treatment. KD</w:t>
      </w:r>
      <w:r w:rsidRPr="00242BAF">
        <w:t xml:space="preserve"> cells are shown in blue bars and OE cells in red. </w:t>
      </w:r>
      <w:r w:rsidR="00242BAF">
        <w:t>(</w:t>
      </w:r>
      <w:r w:rsidRPr="00242BAF">
        <w:rPr>
          <w:b/>
          <w:bCs/>
        </w:rPr>
        <w:t>A</w:t>
      </w:r>
      <w:r w:rsidR="00242BAF" w:rsidRPr="00242BAF">
        <w:rPr>
          <w:b/>
          <w:bCs/>
        </w:rPr>
        <w:t>,</w:t>
      </w:r>
      <w:r w:rsidRPr="00242BAF">
        <w:rPr>
          <w:b/>
          <w:bCs/>
        </w:rPr>
        <w:t>B</w:t>
      </w:r>
      <w:r w:rsidRPr="00242BAF">
        <w:t xml:space="preserve">) C8 or octanoate. </w:t>
      </w:r>
      <w:r w:rsidR="00242BAF">
        <w:t>(</w:t>
      </w:r>
      <w:r w:rsidRPr="00242BAF">
        <w:rPr>
          <w:b/>
          <w:bCs/>
        </w:rPr>
        <w:t>C</w:t>
      </w:r>
      <w:r w:rsidR="00242BAF" w:rsidRPr="00242BAF">
        <w:rPr>
          <w:b/>
          <w:bCs/>
        </w:rPr>
        <w:t>,</w:t>
      </w:r>
      <w:r w:rsidRPr="00242BAF">
        <w:rPr>
          <w:b/>
          <w:bCs/>
        </w:rPr>
        <w:t>D</w:t>
      </w:r>
      <w:r w:rsidRPr="00242BAF">
        <w:t xml:space="preserve">) C10 or decanoate. </w:t>
      </w:r>
      <w:r w:rsidR="00242BAF">
        <w:t>(</w:t>
      </w:r>
      <w:r w:rsidRPr="00242BAF">
        <w:rPr>
          <w:b/>
          <w:bCs/>
        </w:rPr>
        <w:t>E</w:t>
      </w:r>
      <w:r w:rsidR="00242BAF">
        <w:rPr>
          <w:b/>
          <w:bCs/>
        </w:rPr>
        <w:t>,</w:t>
      </w:r>
      <w:r w:rsidRPr="00242BAF">
        <w:rPr>
          <w:b/>
          <w:bCs/>
        </w:rPr>
        <w:t>F</w:t>
      </w:r>
      <w:r w:rsidRPr="00242BAF">
        <w:t xml:space="preserve">) C16 or Palmitate. </w:t>
      </w:r>
      <w:r w:rsidR="00242BAF">
        <w:t>(</w:t>
      </w:r>
      <w:r w:rsidRPr="00242BAF">
        <w:rPr>
          <w:b/>
          <w:bCs/>
        </w:rPr>
        <w:t>G</w:t>
      </w:r>
      <w:r w:rsidR="00242BAF" w:rsidRPr="00242BAF">
        <w:rPr>
          <w:b/>
          <w:bCs/>
        </w:rPr>
        <w:t>,</w:t>
      </w:r>
      <w:r w:rsidRPr="00242BAF">
        <w:rPr>
          <w:b/>
          <w:bCs/>
        </w:rPr>
        <w:t>H</w:t>
      </w:r>
      <w:r w:rsidRPr="00242BAF">
        <w:t xml:space="preserve">) C18:1 or Oleate. * </w:t>
      </w:r>
      <w:r w:rsidRPr="00242BAF">
        <w:rPr>
          <w:i/>
          <w:iCs/>
        </w:rPr>
        <w:t>p</w:t>
      </w:r>
      <w:r w:rsidR="00242BAF">
        <w:t xml:space="preserve"> </w:t>
      </w:r>
      <w:r w:rsidRPr="00242BAF">
        <w:t>&lt; 0.05, **</w:t>
      </w:r>
      <w:r w:rsidR="00242BAF">
        <w:t xml:space="preserve"> </w:t>
      </w:r>
      <w:r w:rsidRPr="00242BAF">
        <w:rPr>
          <w:i/>
          <w:iCs/>
        </w:rPr>
        <w:t>p</w:t>
      </w:r>
      <w:r w:rsidR="00242BAF">
        <w:t xml:space="preserve"> </w:t>
      </w:r>
      <w:r w:rsidRPr="00242BAF">
        <w:t>&lt; 0.01</w:t>
      </w:r>
      <w:r w:rsidR="003C280E" w:rsidRPr="00242BAF">
        <w:t>.</w:t>
      </w:r>
    </w:p>
    <w:p w14:paraId="089BABB8" w14:textId="77777777" w:rsidR="003C280E" w:rsidRPr="00242BAF" w:rsidRDefault="003C280E" w:rsidP="00242BAF">
      <w:pPr>
        <w:pStyle w:val="MDPI52figure"/>
      </w:pPr>
      <w:r w:rsidRPr="00242BAF">
        <w:rPr>
          <w:noProof/>
        </w:rPr>
        <w:lastRenderedPageBreak/>
        <w:drawing>
          <wp:inline distT="0" distB="0" distL="0" distR="0" wp14:anchorId="11EE456F" wp14:editId="448E7FBB">
            <wp:extent cx="5943600" cy="52628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6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2EF140" w14:textId="06750886" w:rsidR="00810825" w:rsidRPr="00242BAF" w:rsidRDefault="00C06489" w:rsidP="00242BAF">
      <w:pPr>
        <w:pStyle w:val="MDPI51figurecaption"/>
        <w:rPr>
          <w:b/>
          <w:bCs/>
        </w:rPr>
      </w:pPr>
      <w:r w:rsidRPr="00242BAF">
        <w:rPr>
          <w:b/>
          <w:bCs/>
        </w:rPr>
        <w:t xml:space="preserve">Figure </w:t>
      </w:r>
      <w:r w:rsidR="00242BAF">
        <w:rPr>
          <w:b/>
          <w:bCs/>
        </w:rPr>
        <w:t>S</w:t>
      </w:r>
      <w:r w:rsidRPr="00242BAF">
        <w:rPr>
          <w:b/>
          <w:bCs/>
        </w:rPr>
        <w:t>2</w:t>
      </w:r>
      <w:r w:rsidR="00242BAF">
        <w:rPr>
          <w:b/>
        </w:rPr>
        <w:t>.</w:t>
      </w:r>
      <w:r w:rsidRPr="00242BAF">
        <w:rPr>
          <w:b/>
        </w:rPr>
        <w:t xml:space="preserve"> </w:t>
      </w:r>
      <w:r w:rsidRPr="00242BAF">
        <w:rPr>
          <w:bCs/>
        </w:rPr>
        <w:t>Enrichment score plots of the pathways and Gene ontology (GO) pathways shown in figure 2</w:t>
      </w:r>
      <w:r w:rsidR="00242BAF">
        <w:rPr>
          <w:bCs/>
        </w:rPr>
        <w:t>.</w:t>
      </w:r>
      <w:r w:rsidRPr="00242BAF">
        <w:rPr>
          <w:bCs/>
        </w:rPr>
        <w:t xml:space="preserve"> </w:t>
      </w:r>
      <w:r w:rsidR="00242BAF">
        <w:rPr>
          <w:bCs/>
        </w:rPr>
        <w:t>(</w:t>
      </w:r>
      <w:r w:rsidRPr="00242BAF">
        <w:rPr>
          <w:b/>
        </w:rPr>
        <w:t>A</w:t>
      </w:r>
      <w:r w:rsidRPr="00242BAF">
        <w:rPr>
          <w:bCs/>
        </w:rPr>
        <w:t xml:space="preserve">) UPR Hallmark pathway, </w:t>
      </w:r>
      <w:r w:rsidR="00242BAF">
        <w:rPr>
          <w:bCs/>
        </w:rPr>
        <w:t>(</w:t>
      </w:r>
      <w:r w:rsidRPr="00242BAF">
        <w:rPr>
          <w:b/>
        </w:rPr>
        <w:t>B</w:t>
      </w:r>
      <w:r w:rsidRPr="00242BAF">
        <w:rPr>
          <w:bCs/>
        </w:rPr>
        <w:t xml:space="preserve">) Lipid catabolic process GO pathway, </w:t>
      </w:r>
      <w:r w:rsidR="00242BAF">
        <w:rPr>
          <w:bCs/>
        </w:rPr>
        <w:t>(</w:t>
      </w:r>
      <w:r w:rsidRPr="00242BAF">
        <w:rPr>
          <w:b/>
        </w:rPr>
        <w:t>C</w:t>
      </w:r>
      <w:r w:rsidRPr="00242BAF">
        <w:rPr>
          <w:bCs/>
        </w:rPr>
        <w:t xml:space="preserve">) Androgen Response hallmark, </w:t>
      </w:r>
      <w:r w:rsidR="00242BAF">
        <w:rPr>
          <w:bCs/>
        </w:rPr>
        <w:t>(</w:t>
      </w:r>
      <w:r w:rsidRPr="00242BAF">
        <w:rPr>
          <w:b/>
        </w:rPr>
        <w:t>D</w:t>
      </w:r>
      <w:r w:rsidRPr="00242BAF">
        <w:rPr>
          <w:bCs/>
        </w:rPr>
        <w:t>) Serine biosynthesis GO pathway. Normalized</w:t>
      </w:r>
      <w:r w:rsidRPr="00242BAF">
        <w:t xml:space="preserve"> enrichment scores (NES) and statistical significance are indicated in the plots.</w:t>
      </w:r>
    </w:p>
    <w:p w14:paraId="7706FDD8" w14:textId="77777777" w:rsidR="00242BAF" w:rsidRDefault="00302161" w:rsidP="00242BAF">
      <w:pPr>
        <w:pStyle w:val="MDPI52figure"/>
      </w:pPr>
      <w:r w:rsidRPr="00242BAF">
        <w:rPr>
          <w:noProof/>
        </w:rPr>
        <w:lastRenderedPageBreak/>
        <w:drawing>
          <wp:inline distT="0" distB="0" distL="0" distR="0" wp14:anchorId="7805E6BC" wp14:editId="18AC4C22">
            <wp:extent cx="5943600" cy="67437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5C87F" w14:textId="70561387" w:rsidR="003C280E" w:rsidRPr="00242BAF" w:rsidRDefault="00242BAF" w:rsidP="00242BAF">
      <w:pPr>
        <w:pStyle w:val="MDPI51figurecaption"/>
      </w:pPr>
      <w:r>
        <w:rPr>
          <w:b/>
          <w:bCs/>
        </w:rPr>
        <w:t>F</w:t>
      </w:r>
      <w:r w:rsidR="00C06489" w:rsidRPr="00242BAF">
        <w:rPr>
          <w:b/>
          <w:bCs/>
        </w:rPr>
        <w:t xml:space="preserve">igure </w:t>
      </w:r>
      <w:r>
        <w:rPr>
          <w:b/>
          <w:bCs/>
        </w:rPr>
        <w:t>S3</w:t>
      </w:r>
      <w:r>
        <w:rPr>
          <w:b/>
        </w:rPr>
        <w:t>.</w:t>
      </w:r>
      <w:r w:rsidRPr="00242BAF">
        <w:rPr>
          <w:color w:val="auto"/>
        </w:rPr>
        <w:t xml:space="preserve"> </w:t>
      </w:r>
      <w:r w:rsidRPr="00E05A7F">
        <w:rPr>
          <w:color w:val="auto"/>
        </w:rPr>
        <w:t>Metabolomic enrichment analysis</w:t>
      </w:r>
      <w:r>
        <w:rPr>
          <w:color w:val="auto"/>
        </w:rPr>
        <w:t>.</w:t>
      </w:r>
      <w:r>
        <w:rPr>
          <w:b/>
        </w:rPr>
        <w:t xml:space="preserve"> </w:t>
      </w:r>
      <w:r w:rsidRPr="00242BAF">
        <w:rPr>
          <w:bCs/>
        </w:rPr>
        <w:t>(</w:t>
      </w:r>
      <w:r w:rsidR="00D049B6" w:rsidRPr="00242BAF">
        <w:rPr>
          <w:b/>
        </w:rPr>
        <w:t>A</w:t>
      </w:r>
      <w:r w:rsidR="00D049B6" w:rsidRPr="00242BAF">
        <w:rPr>
          <w:bCs/>
        </w:rPr>
        <w:t>)</w:t>
      </w:r>
      <w:r w:rsidR="00D049B6" w:rsidRPr="00242BAF">
        <w:rPr>
          <w:b/>
        </w:rPr>
        <w:t xml:space="preserve"> </w:t>
      </w:r>
      <w:r w:rsidR="00D049B6" w:rsidRPr="00242BAF">
        <w:rPr>
          <w:bCs/>
        </w:rPr>
        <w:t xml:space="preserve">Relative abundance of metabolites associated with the glycolysis pathway, * </w:t>
      </w:r>
      <w:r w:rsidR="00D049B6" w:rsidRPr="00242BAF">
        <w:rPr>
          <w:bCs/>
          <w:i/>
          <w:iCs/>
        </w:rPr>
        <w:t>p</w:t>
      </w:r>
      <w:r>
        <w:rPr>
          <w:bCs/>
        </w:rPr>
        <w:t xml:space="preserve"> </w:t>
      </w:r>
      <w:r w:rsidR="00D049B6" w:rsidRPr="00242BAF">
        <w:rPr>
          <w:bCs/>
        </w:rPr>
        <w:t>&lt; 0.05</w:t>
      </w:r>
      <w:r w:rsidR="00D049B6" w:rsidRPr="00242BAF">
        <w:t>, **</w:t>
      </w:r>
      <w:r>
        <w:t xml:space="preserve"> </w:t>
      </w:r>
      <w:r w:rsidR="00D049B6" w:rsidRPr="00242BAF">
        <w:rPr>
          <w:i/>
          <w:iCs/>
        </w:rPr>
        <w:t>p</w:t>
      </w:r>
      <w:r w:rsidRPr="00242BAF">
        <w:rPr>
          <w:i/>
          <w:iCs/>
        </w:rPr>
        <w:t xml:space="preserve"> </w:t>
      </w:r>
      <w:r w:rsidR="00D049B6" w:rsidRPr="00242BAF">
        <w:t xml:space="preserve">&lt; 0.01, # </w:t>
      </w:r>
      <w:r w:rsidR="00D049B6" w:rsidRPr="00242BAF">
        <w:rPr>
          <w:i/>
          <w:iCs/>
        </w:rPr>
        <w:t>p</w:t>
      </w:r>
      <w:r>
        <w:t xml:space="preserve"> </w:t>
      </w:r>
      <w:r w:rsidR="00D049B6" w:rsidRPr="00242BAF">
        <w:t xml:space="preserve">&lt; 0.05 vs </w:t>
      </w:r>
      <w:r w:rsidR="003E3B85" w:rsidRPr="00242BAF">
        <w:t>KD</w:t>
      </w:r>
      <w:r w:rsidR="00D049B6" w:rsidRPr="00242BAF">
        <w:t xml:space="preserve">. </w:t>
      </w:r>
      <w:r>
        <w:t>(</w:t>
      </w:r>
      <w:r w:rsidR="00D049B6" w:rsidRPr="00242BAF">
        <w:rPr>
          <w:b/>
          <w:bCs/>
        </w:rPr>
        <w:t>B</w:t>
      </w:r>
      <w:r w:rsidR="00D049B6" w:rsidRPr="00242BAF">
        <w:t>) Heat map and unsupervised cluster analysis of the top 50 metabolites in the OE vs KD comparison analysis (</w:t>
      </w:r>
      <w:r w:rsidR="00D049B6" w:rsidRPr="00242BAF">
        <w:rPr>
          <w:i/>
          <w:iCs/>
        </w:rPr>
        <w:t>p</w:t>
      </w:r>
      <w:r>
        <w:t xml:space="preserve"> </w:t>
      </w:r>
      <w:r w:rsidR="00D049B6" w:rsidRPr="00242BAF">
        <w:t>&lt;</w:t>
      </w:r>
      <w:r>
        <w:t xml:space="preserve"> </w:t>
      </w:r>
      <w:r w:rsidR="00D049B6" w:rsidRPr="00242BAF">
        <w:t xml:space="preserve">0.01). Three biological replicates of each sample were used for the analysis. Blue means decrease and red means increase in abundance. </w:t>
      </w:r>
      <w:r>
        <w:t>(</w:t>
      </w:r>
      <w:r w:rsidR="00D049B6" w:rsidRPr="00242BAF">
        <w:rPr>
          <w:b/>
          <w:bCs/>
        </w:rPr>
        <w:t>C</w:t>
      </w:r>
      <w:r w:rsidR="00D049B6" w:rsidRPr="00242BAF">
        <w:t>) Enrichment pathway analysis of the top 50 significant metabolites in bar graph form. Red indicates more significant.</w:t>
      </w:r>
    </w:p>
    <w:p w14:paraId="71BC2C6A" w14:textId="77777777" w:rsidR="004E6911" w:rsidRPr="00242BAF" w:rsidRDefault="004E6911" w:rsidP="00242BAF">
      <w:pPr>
        <w:adjustRightInd w:val="0"/>
        <w:snapToGrid w:val="0"/>
        <w:sectPr w:rsidR="004E6911" w:rsidRPr="00242BAF" w:rsidSect="00242BAF">
          <w:headerReference w:type="first" r:id="rId14"/>
          <w:type w:val="continuous"/>
          <w:pgSz w:w="11909" w:h="16834"/>
          <w:pgMar w:top="1417" w:right="1531" w:bottom="1077" w:left="1531" w:header="1020" w:footer="850" w:gutter="0"/>
          <w:cols w:space="720"/>
          <w:titlePg/>
          <w:docGrid w:linePitch="360"/>
        </w:sectPr>
      </w:pPr>
    </w:p>
    <w:p w14:paraId="63B13A0B" w14:textId="210CB162" w:rsidR="00242BAF" w:rsidRDefault="004E6911" w:rsidP="00242BAF">
      <w:pPr>
        <w:pStyle w:val="MDPI52figure"/>
      </w:pPr>
      <w:r w:rsidRPr="00242BAF">
        <w:rPr>
          <w:noProof/>
        </w:rPr>
        <w:lastRenderedPageBreak/>
        <w:drawing>
          <wp:inline distT="0" distB="0" distL="0" distR="0" wp14:anchorId="5070B863" wp14:editId="604DC75A">
            <wp:extent cx="7616952" cy="4910328"/>
            <wp:effectExtent l="0" t="0" r="0" b="508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6952" cy="4910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2039A" w14:textId="770B7E59" w:rsidR="00903DCA" w:rsidRPr="00242BAF" w:rsidRDefault="004E6911" w:rsidP="00E61FA9">
      <w:pPr>
        <w:pStyle w:val="MDPI51figurecaption"/>
        <w:rPr>
          <w:b/>
          <w:bCs/>
        </w:rPr>
        <w:sectPr w:rsidR="00903DCA" w:rsidRPr="00242BAF" w:rsidSect="00242BAF">
          <w:pgSz w:w="16834" w:h="11909" w:orient="landscape"/>
          <w:pgMar w:top="1417" w:right="1531" w:bottom="1077" w:left="1531" w:header="1020" w:footer="850" w:gutter="0"/>
          <w:cols w:space="720"/>
          <w:docGrid w:linePitch="360"/>
        </w:sectPr>
      </w:pPr>
      <w:r w:rsidRPr="00242BAF">
        <w:rPr>
          <w:b/>
          <w:bCs/>
        </w:rPr>
        <w:t xml:space="preserve">Figure </w:t>
      </w:r>
      <w:r w:rsidR="00242BAF">
        <w:rPr>
          <w:b/>
          <w:bCs/>
        </w:rPr>
        <w:t>S</w:t>
      </w:r>
      <w:r w:rsidRPr="00242BAF">
        <w:rPr>
          <w:b/>
          <w:bCs/>
        </w:rPr>
        <w:t>4</w:t>
      </w:r>
      <w:r w:rsidR="00242BAF">
        <w:rPr>
          <w:b/>
          <w:bCs/>
        </w:rPr>
        <w:t>.</w:t>
      </w:r>
      <w:r w:rsidRPr="00242BAF">
        <w:rPr>
          <w:b/>
        </w:rPr>
        <w:t xml:space="preserve"> </w:t>
      </w:r>
      <w:r w:rsidR="00242BAF" w:rsidRPr="00E05A7F">
        <w:rPr>
          <w:color w:val="auto"/>
        </w:rPr>
        <w:t>Uncropped western blots of SOD2 expression and densitometry graphs</w:t>
      </w:r>
      <w:r w:rsidR="00242BAF">
        <w:rPr>
          <w:color w:val="auto"/>
        </w:rPr>
        <w:t>.</w:t>
      </w:r>
      <w:r w:rsidR="00242BAF">
        <w:rPr>
          <w:b/>
        </w:rPr>
        <w:t xml:space="preserve"> </w:t>
      </w:r>
      <w:r w:rsidR="00242BAF" w:rsidRPr="00242BAF">
        <w:rPr>
          <w:bCs/>
        </w:rPr>
        <w:t>(</w:t>
      </w:r>
      <w:r w:rsidRPr="00242BAF">
        <w:rPr>
          <w:b/>
        </w:rPr>
        <w:t>A</w:t>
      </w:r>
      <w:r w:rsidRPr="00242BAF">
        <w:rPr>
          <w:bCs/>
        </w:rPr>
        <w:t>)</w:t>
      </w:r>
      <w:r w:rsidRPr="00242BAF">
        <w:rPr>
          <w:b/>
        </w:rPr>
        <w:t xml:space="preserve"> </w:t>
      </w:r>
      <w:r w:rsidRPr="00242BAF">
        <w:rPr>
          <w:bCs/>
        </w:rPr>
        <w:t xml:space="preserve">Full length Western Blot of the SOD2 expression in OE and KD cells supplemented with or without lipids in FBS or androgen depleted conditions (CSS). </w:t>
      </w:r>
      <w:r w:rsidR="00E61FA9">
        <w:rPr>
          <w:bCs/>
        </w:rPr>
        <w:t>(</w:t>
      </w:r>
      <w:r w:rsidR="00E61FA9" w:rsidRPr="00E61FA9">
        <w:rPr>
          <w:b/>
        </w:rPr>
        <w:t>B</w:t>
      </w:r>
      <w:r w:rsidR="00E61FA9">
        <w:rPr>
          <w:bCs/>
        </w:rPr>
        <w:t xml:space="preserve">) </w:t>
      </w:r>
      <w:r w:rsidRPr="00242BAF">
        <w:rPr>
          <w:bCs/>
        </w:rPr>
        <w:t>The uncropped licor blots and the densitometry graphs for figure 4 blots are shown (normalized to GAPDH). Mitochondrial IDH2 (Abcam 131263) was used as another loading</w:t>
      </w:r>
      <w:r w:rsidRPr="00242BAF">
        <w:t xml:space="preserve"> control.</w:t>
      </w:r>
    </w:p>
    <w:p w14:paraId="196614BF" w14:textId="5C9F489B" w:rsidR="00903DCA" w:rsidRPr="00242BAF" w:rsidRDefault="00B83FD1" w:rsidP="00B83FD1">
      <w:pPr>
        <w:pStyle w:val="MDPI52figure"/>
      </w:pPr>
      <w:r w:rsidRPr="002E3102">
        <w:rPr>
          <w:noProof/>
        </w:rPr>
        <w:lastRenderedPageBreak/>
        <w:drawing>
          <wp:inline distT="0" distB="0" distL="0" distR="0" wp14:anchorId="65B15BD7" wp14:editId="0208494C">
            <wp:extent cx="5617845" cy="479917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845" cy="4799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F041E" w14:textId="6EF5712A" w:rsidR="00903DCA" w:rsidRPr="00242BAF" w:rsidRDefault="00E61FA9" w:rsidP="00E61FA9">
      <w:pPr>
        <w:pStyle w:val="MDPI51figurecaption"/>
      </w:pPr>
      <w:r w:rsidRPr="00E61FA9">
        <w:rPr>
          <w:rFonts w:eastAsiaTheme="minorEastAsia"/>
          <w:b/>
          <w:bCs/>
        </w:rPr>
        <w:t xml:space="preserve">Figure </w:t>
      </w:r>
      <w:r>
        <w:rPr>
          <w:rFonts w:eastAsiaTheme="minorEastAsia"/>
          <w:b/>
          <w:bCs/>
        </w:rPr>
        <w:t>S</w:t>
      </w:r>
      <w:r w:rsidRPr="00E61FA9">
        <w:rPr>
          <w:rFonts w:eastAsiaTheme="minorEastAsia"/>
          <w:b/>
          <w:bCs/>
        </w:rPr>
        <w:t xml:space="preserve">5. </w:t>
      </w:r>
      <w:r w:rsidR="00903DCA" w:rsidRPr="00E61FA9">
        <w:rPr>
          <w:rFonts w:eastAsiaTheme="minorEastAsia"/>
        </w:rPr>
        <w:t>Correlation of CPT1A and AR expression in clinical samples</w:t>
      </w:r>
      <w:r>
        <w:rPr>
          <w:rFonts w:eastAsiaTheme="minorEastAsia"/>
        </w:rPr>
        <w:t>.</w:t>
      </w:r>
      <w:r w:rsidR="00903DCA" w:rsidRPr="00242BAF">
        <w:rPr>
          <w:rFonts w:eastAsiaTheme="minorEastAsia"/>
        </w:rPr>
        <w:t xml:space="preserve"> Log2 normalized whole transcript mRNA expression values from Taylor et al. (PMID: 20579941) prostate cancer samples were downloaded from cBioPortal. </w:t>
      </w:r>
      <w:r>
        <w:rPr>
          <w:rFonts w:eastAsiaTheme="minorEastAsia"/>
        </w:rPr>
        <w:t>(</w:t>
      </w:r>
      <w:r w:rsidR="00903DCA" w:rsidRPr="00E61FA9">
        <w:rPr>
          <w:rFonts w:eastAsiaTheme="minorEastAsia"/>
          <w:b/>
          <w:bCs/>
        </w:rPr>
        <w:t>A</w:t>
      </w:r>
      <w:r w:rsidRPr="00E61FA9">
        <w:rPr>
          <w:rFonts w:eastAsiaTheme="minorEastAsia"/>
          <w:b/>
          <w:bCs/>
        </w:rPr>
        <w:t>,</w:t>
      </w:r>
      <w:r w:rsidR="00903DCA" w:rsidRPr="00E61FA9">
        <w:rPr>
          <w:rFonts w:eastAsiaTheme="minorEastAsia"/>
          <w:b/>
          <w:bCs/>
        </w:rPr>
        <w:t>B</w:t>
      </w:r>
      <w:r w:rsidR="00903DCA" w:rsidRPr="00242BAF">
        <w:rPr>
          <w:rFonts w:eastAsiaTheme="minorEastAsia"/>
        </w:rPr>
        <w:t>) Expression of AR (</w:t>
      </w:r>
      <w:r w:rsidR="00903DCA" w:rsidRPr="00E61FA9">
        <w:rPr>
          <w:rFonts w:eastAsiaTheme="minorEastAsia"/>
          <w:b/>
          <w:bCs/>
        </w:rPr>
        <w:t>A</w:t>
      </w:r>
      <w:r w:rsidR="00903DCA" w:rsidRPr="00242BAF">
        <w:rPr>
          <w:rFonts w:eastAsiaTheme="minorEastAsia"/>
        </w:rPr>
        <w:t>) and CPT1A (</w:t>
      </w:r>
      <w:r w:rsidR="00903DCA" w:rsidRPr="00E61FA9">
        <w:rPr>
          <w:rFonts w:eastAsiaTheme="minorEastAsia"/>
          <w:b/>
          <w:bCs/>
        </w:rPr>
        <w:t>B</w:t>
      </w:r>
      <w:r w:rsidR="00903DCA" w:rsidRPr="00242BAF">
        <w:rPr>
          <w:rFonts w:eastAsiaTheme="minorEastAsia"/>
        </w:rPr>
        <w:t xml:space="preserve">) between primary and metastatic samples were compared using a Wilcoxon rank sum test. </w:t>
      </w:r>
      <w:r>
        <w:rPr>
          <w:rFonts w:eastAsiaTheme="minorEastAsia"/>
        </w:rPr>
        <w:t>(</w:t>
      </w:r>
      <w:r w:rsidR="00903DCA" w:rsidRPr="00E61FA9">
        <w:rPr>
          <w:rFonts w:eastAsiaTheme="minorEastAsia"/>
          <w:b/>
          <w:bCs/>
        </w:rPr>
        <w:t>C</w:t>
      </w:r>
      <w:r w:rsidRPr="00E61FA9">
        <w:rPr>
          <w:rFonts w:eastAsiaTheme="minorEastAsia"/>
          <w:b/>
          <w:bCs/>
        </w:rPr>
        <w:t>,</w:t>
      </w:r>
      <w:r w:rsidR="00903DCA" w:rsidRPr="00E61FA9">
        <w:rPr>
          <w:rFonts w:eastAsiaTheme="minorEastAsia"/>
          <w:b/>
          <w:bCs/>
        </w:rPr>
        <w:t>D</w:t>
      </w:r>
      <w:r w:rsidR="00903DCA" w:rsidRPr="00242BAF">
        <w:rPr>
          <w:rFonts w:eastAsiaTheme="minorEastAsia"/>
        </w:rPr>
        <w:t>) Pearson correlation was calculated for the correlation between AR and CPT1A expression in either primary (</w:t>
      </w:r>
      <w:r w:rsidR="00903DCA" w:rsidRPr="00E61FA9">
        <w:rPr>
          <w:rFonts w:eastAsiaTheme="minorEastAsia"/>
          <w:b/>
          <w:bCs/>
        </w:rPr>
        <w:t>A</w:t>
      </w:r>
      <w:r w:rsidR="00903DCA" w:rsidRPr="00242BAF">
        <w:rPr>
          <w:rFonts w:eastAsiaTheme="minorEastAsia"/>
        </w:rPr>
        <w:t>) or metastatic tumors (</w:t>
      </w:r>
      <w:r w:rsidR="00903DCA" w:rsidRPr="00E61FA9">
        <w:rPr>
          <w:rFonts w:eastAsiaTheme="minorEastAsia"/>
          <w:b/>
          <w:bCs/>
        </w:rPr>
        <w:t>B</w:t>
      </w:r>
      <w:r w:rsidR="00903DCA" w:rsidRPr="00242BAF">
        <w:rPr>
          <w:rFonts w:eastAsiaTheme="minorEastAsia"/>
        </w:rPr>
        <w:t>).</w:t>
      </w:r>
    </w:p>
    <w:p w14:paraId="74499B50" w14:textId="441A6223" w:rsidR="00903DCA" w:rsidRPr="00242BAF" w:rsidRDefault="00903DCA" w:rsidP="00242BAF">
      <w:pPr>
        <w:adjustRightInd w:val="0"/>
        <w:snapToGrid w:val="0"/>
        <w:rPr>
          <w:b/>
          <w:bCs/>
        </w:rPr>
      </w:pPr>
      <w:r w:rsidRPr="00242BAF">
        <w:rPr>
          <w:b/>
          <w:bCs/>
        </w:rPr>
        <w:br w:type="page"/>
      </w:r>
    </w:p>
    <w:p w14:paraId="4FA2A522" w14:textId="6F72DE8C" w:rsidR="003C280E" w:rsidRPr="00242BAF" w:rsidRDefault="00B83FD1" w:rsidP="00B83FD1">
      <w:pPr>
        <w:pStyle w:val="MDPI52figure"/>
      </w:pPr>
      <w:r w:rsidRPr="00E677A8">
        <w:rPr>
          <w:noProof/>
        </w:rPr>
        <w:lastRenderedPageBreak/>
        <w:drawing>
          <wp:inline distT="0" distB="0" distL="0" distR="0" wp14:anchorId="24D0A0C4" wp14:editId="1165E2DA">
            <wp:extent cx="5617845" cy="6247452"/>
            <wp:effectExtent l="0" t="0" r="1905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845" cy="6247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7F80F" w14:textId="0CBC8B2F" w:rsidR="00047A37" w:rsidRDefault="00E61FA9" w:rsidP="002C1F1C">
      <w:pPr>
        <w:pStyle w:val="MDPI51figurecaption"/>
      </w:pPr>
      <w:r w:rsidRPr="00E61FA9">
        <w:rPr>
          <w:b/>
          <w:bCs/>
        </w:rPr>
        <w:t xml:space="preserve">Figure </w:t>
      </w:r>
      <w:r w:rsidR="00B83FD1">
        <w:rPr>
          <w:b/>
          <w:bCs/>
        </w:rPr>
        <w:t>S</w:t>
      </w:r>
      <w:r w:rsidRPr="00E61FA9">
        <w:rPr>
          <w:b/>
          <w:bCs/>
        </w:rPr>
        <w:t xml:space="preserve">6. </w:t>
      </w:r>
      <w:r w:rsidR="00677A5E" w:rsidRPr="00242BAF">
        <w:t xml:space="preserve">Supplement to </w:t>
      </w:r>
      <w:r>
        <w:t>F</w:t>
      </w:r>
      <w:r w:rsidR="00677A5E" w:rsidRPr="00242BAF">
        <w:t xml:space="preserve">igure 5: </w:t>
      </w:r>
      <w:r w:rsidR="00C06489" w:rsidRPr="00242BAF">
        <w:t>Serine Biosynthesis (</w:t>
      </w:r>
      <w:r w:rsidR="00C06489" w:rsidRPr="00E61FA9">
        <w:rPr>
          <w:b/>
          <w:bCs/>
        </w:rPr>
        <w:t>A</w:t>
      </w:r>
      <w:r w:rsidR="00C06489" w:rsidRPr="00242BAF">
        <w:t>) and Unfolded Protein Response (</w:t>
      </w:r>
      <w:r w:rsidR="00C06489" w:rsidRPr="00E61FA9">
        <w:rPr>
          <w:b/>
          <w:bCs/>
        </w:rPr>
        <w:t>B</w:t>
      </w:r>
      <w:r w:rsidR="00C06489" w:rsidRPr="00242BAF">
        <w:t>) are not associated with less progression-free survival. The TCGA Firehose legacy dataset (</w:t>
      </w:r>
      <w:r w:rsidR="00C06489" w:rsidRPr="00E61FA9">
        <w:rPr>
          <w:i/>
          <w:iCs/>
        </w:rPr>
        <w:t>n</w:t>
      </w:r>
      <w:r>
        <w:t xml:space="preserve"> </w:t>
      </w:r>
      <w:r w:rsidR="00C06489" w:rsidRPr="00242BAF">
        <w:t>= 492) was divided by median split into high and low pathway scores. Pathways from our OE vs KD RNAseq analyses (Fig</w:t>
      </w:r>
      <w:r>
        <w:t>ure</w:t>
      </w:r>
      <w:r w:rsidR="00C06489" w:rsidRPr="00242BAF">
        <w:t xml:space="preserve"> 2C) were then studied for progression free survival (PFS) in the TCGA-PRAD dataset. KM plots with the number at risk and p-value are shown.</w:t>
      </w:r>
    </w:p>
    <w:p w14:paraId="34B040E6" w14:textId="77777777" w:rsidR="002C1F1C" w:rsidRPr="00016FE9" w:rsidRDefault="002C1F1C" w:rsidP="002C1F1C">
      <w:pPr>
        <w:pStyle w:val="MDPI31text"/>
        <w:spacing w:before="240" w:after="240"/>
        <w:ind w:firstLine="0"/>
        <w:rPr>
          <w:rFonts w:eastAsia="SimSun"/>
          <w:lang w:eastAsia="zh-CN"/>
        </w:rPr>
      </w:pPr>
      <w:r w:rsidRPr="00016FE9">
        <w:rPr>
          <w:rFonts w:eastAsia="SimSun"/>
          <w:b/>
          <w:lang w:eastAsia="zh-CN"/>
        </w:rPr>
        <w:t>Publisher’s Note:</w:t>
      </w:r>
      <w:r w:rsidRPr="00016FE9">
        <w:rPr>
          <w:rFonts w:eastAsia="SimSun"/>
          <w:lang w:eastAsia="zh-CN"/>
        </w:rPr>
        <w:t xml:space="preserve"> MDPI stays neutral with regard to jurisdictional claims in published maps and institutional affiliations.</w:t>
      </w:r>
    </w:p>
    <w:tbl>
      <w:tblPr>
        <w:tblStyle w:val="PlainTable4"/>
        <w:tblW w:w="8876" w:type="dxa"/>
        <w:jc w:val="center"/>
        <w:tblLook w:val="04A0" w:firstRow="1" w:lastRow="0" w:firstColumn="1" w:lastColumn="0" w:noHBand="0" w:noVBand="1"/>
      </w:tblPr>
      <w:tblGrid>
        <w:gridCol w:w="1727"/>
        <w:gridCol w:w="7149"/>
      </w:tblGrid>
      <w:tr w:rsidR="002C1F1C" w:rsidRPr="00084990" w14:paraId="07624767" w14:textId="77777777" w:rsidTr="00633D2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8B67EBC" w14:textId="77777777" w:rsidR="002C1F1C" w:rsidRPr="00084990" w:rsidRDefault="002C1F1C" w:rsidP="00633D25">
            <w:pPr>
              <w:pStyle w:val="MDPI71References"/>
              <w:numPr>
                <w:ilvl w:val="0"/>
                <w:numId w:val="0"/>
              </w:numPr>
              <w:spacing w:before="240"/>
              <w:ind w:left="-85"/>
              <w:rPr>
                <w:rFonts w:eastAsia="SimSun"/>
                <w:b w:val="0"/>
                <w:color w:val="auto"/>
              </w:rPr>
            </w:pPr>
            <w:bookmarkStart w:id="1" w:name="refTemp65"/>
            <w:bookmarkEnd w:id="1"/>
            <w:r w:rsidRPr="00084990">
              <w:rPr>
                <w:rFonts w:eastAsia="SimSun"/>
                <w:noProof/>
                <w:snapToGrid/>
                <w:color w:val="auto"/>
              </w:rPr>
              <w:drawing>
                <wp:inline distT="0" distB="0" distL="0" distR="0" wp14:anchorId="6059F815" wp14:editId="768F2A46">
                  <wp:extent cx="1000800" cy="360000"/>
                  <wp:effectExtent l="0" t="0" r="0" b="254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8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9" w:type="dxa"/>
            <w:vAlign w:val="center"/>
          </w:tcPr>
          <w:p w14:paraId="3C28E191" w14:textId="77777777" w:rsidR="002C1F1C" w:rsidRPr="00084990" w:rsidRDefault="002C1F1C" w:rsidP="00633D25">
            <w:pPr>
              <w:pStyle w:val="MDPI71References"/>
              <w:numPr>
                <w:ilvl w:val="0"/>
                <w:numId w:val="0"/>
              </w:numPr>
              <w:spacing w:before="240"/>
              <w:ind w:left="-8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SimSun"/>
                <w:b w:val="0"/>
                <w:color w:val="auto"/>
              </w:rPr>
            </w:pPr>
            <w:r w:rsidRPr="00084990">
              <w:rPr>
                <w:rFonts w:eastAsia="SimSun"/>
                <w:b w:val="0"/>
                <w:color w:val="auto"/>
              </w:rPr>
              <w:t>© 2020 by the authors. Licensee MDPI, Basel, Switzerland. This article is an open access article distributed under the terms and conditions of the Creative Commons Attribution (CC BY) license (http://creativecommons.org/licenses/by/4.0/).</w:t>
            </w:r>
          </w:p>
        </w:tc>
      </w:tr>
    </w:tbl>
    <w:p w14:paraId="20A27900" w14:textId="77777777" w:rsidR="002C1F1C" w:rsidRPr="00242BAF" w:rsidRDefault="002C1F1C" w:rsidP="002C1F1C">
      <w:pPr>
        <w:pStyle w:val="MDPI51figurecaption"/>
      </w:pPr>
    </w:p>
    <w:sectPr w:rsidR="002C1F1C" w:rsidRPr="00242BAF" w:rsidSect="00242BAF">
      <w:pgSz w:w="11909" w:h="16834"/>
      <w:pgMar w:top="1417" w:right="1531" w:bottom="1077" w:left="1531" w:header="1020" w:footer="85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comment w:id="0" w:author="MDPI-10" w:date="2020-11-10T15:30:00Z" w:initials="M">
    <w:p w14:paraId="024E451C" w14:textId="35889387" w:rsidR="00242BAF" w:rsidRDefault="00242BAF">
      <w:pPr>
        <w:pStyle w:val="CommentText"/>
      </w:pPr>
      <w:r>
        <w:rPr>
          <w:rStyle w:val="CommentReference"/>
        </w:rPr>
        <w:annotationRef/>
      </w:r>
      <w:r>
        <w:t>Please define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commentEx w15:paraId="024E451C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55309B" w16cex:dateUtc="2020-11-10T13:30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024E451C" w16cid:durableId="2355309B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5817D94" w14:textId="77777777" w:rsidR="00080EA7" w:rsidRDefault="00080EA7" w:rsidP="00242BAF">
      <w:pPr>
        <w:spacing w:after="0" w:line="240" w:lineRule="auto"/>
      </w:pPr>
      <w:r>
        <w:separator/>
      </w:r>
    </w:p>
  </w:endnote>
  <w:endnote w:type="continuationSeparator" w:id="0">
    <w:p w14:paraId="64C28B2F" w14:textId="77777777" w:rsidR="00080EA7" w:rsidRDefault="00080EA7" w:rsidP="00242B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CC2FF85" w14:textId="77777777" w:rsidR="00080EA7" w:rsidRDefault="00080EA7" w:rsidP="00242BAF">
      <w:pPr>
        <w:spacing w:after="0" w:line="240" w:lineRule="auto"/>
      </w:pPr>
      <w:r>
        <w:separator/>
      </w:r>
    </w:p>
  </w:footnote>
  <w:footnote w:type="continuationSeparator" w:id="0">
    <w:p w14:paraId="6341AA16" w14:textId="77777777" w:rsidR="00080EA7" w:rsidRDefault="00080EA7" w:rsidP="00242B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BEBABD" w14:textId="77777777" w:rsidR="00242BAF" w:rsidRDefault="00242BAF" w:rsidP="00242BAF">
    <w:pPr>
      <w:pStyle w:val="MDPIheaderjournallogo"/>
    </w:pPr>
    <w:r w:rsidRPr="00A04686">
      <w:rPr>
        <w:noProof/>
        <w:lang w:eastAsia="zh-CN"/>
      </w:rPr>
      <w:drawing>
        <wp:inline distT="0" distB="0" distL="0" distR="0" wp14:anchorId="2C0EB3C9" wp14:editId="4B13F8AA">
          <wp:extent cx="1685925" cy="428625"/>
          <wp:effectExtent l="0" t="0" r="0" b="0"/>
          <wp:docPr id="3" name="Picture 3" descr="C:\Users\home\Desktop\logos\cancers-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ome\Desktop\logos\cancers-log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5925" cy="428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2751C4">
      <w:rPr>
        <w:i w:val="0"/>
        <w:noProof/>
        <w:szCs w:val="16"/>
        <w:lang w:eastAsia="zh-CN"/>
      </w:rPr>
      <mc:AlternateContent>
        <mc:Choice Requires="wps">
          <w:drawing>
            <wp:anchor distT="45720" distB="45720" distL="114300" distR="114300" simplePos="0" relativeHeight="251659264" behindDoc="1" locked="0" layoutInCell="1" allowOverlap="1" wp14:anchorId="58377902" wp14:editId="632A271A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0385" cy="709295"/>
              <wp:effectExtent l="0" t="0" r="0" b="0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038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9D2FCB1" w14:textId="77777777" w:rsidR="00242BAF" w:rsidRDefault="00242BAF" w:rsidP="00242BAF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  <w:r w:rsidRPr="003A55A8">
                            <w:rPr>
                              <w:i w:val="0"/>
                              <w:noProof/>
                              <w:szCs w:val="16"/>
                              <w:lang w:eastAsia="zh-CN"/>
                            </w:rPr>
                            <w:drawing>
                              <wp:inline distT="0" distB="0" distL="0" distR="0" wp14:anchorId="6BEA1A10" wp14:editId="0EF6CA62">
                                <wp:extent cx="542925" cy="352425"/>
                                <wp:effectExtent l="0" t="0" r="0" b="0"/>
                                <wp:docPr id="6" name="Picture 3" descr="C:\Users\home\Desktop\logos\ori\png\logo-mdpi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home\Desktop\logos\ori\png\logo-mdpi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2925" cy="3524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377902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474.8pt;margin-top:51pt;width:42.55pt;height:55.85pt;z-index:-251657216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" stroked="f">
              <v:textbox inset="0,0,0,0">
                <w:txbxContent>
                  <w:p w14:paraId="29D2FCB1" w14:textId="77777777" w:rsidR="00242BAF" w:rsidRDefault="00242BAF" w:rsidP="00242BAF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  <w:r w:rsidRPr="003A55A8">
                      <w:rPr>
                        <w:i w:val="0"/>
                        <w:noProof/>
                        <w:szCs w:val="16"/>
                        <w:lang w:eastAsia="zh-CN"/>
                      </w:rPr>
                      <w:drawing>
                        <wp:inline distT="0" distB="0" distL="0" distR="0" wp14:anchorId="6BEA1A10" wp14:editId="0EF6CA62">
                          <wp:extent cx="542925" cy="352425"/>
                          <wp:effectExtent l="0" t="0" r="0" b="0"/>
                          <wp:docPr id="6" name="Picture 3" descr="C:\Users\home\Desktop\logos\ori\png\logo-mdpi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home\Desktop\logos\ori\png\logo-mdpi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42925" cy="352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50A245F"/>
    <w:multiLevelType w:val="hybridMultilevel"/>
    <w:tmpl w:val="1C3A3F0C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05051C"/>
    <w:multiLevelType w:val="hybridMultilevel"/>
    <w:tmpl w:val="857682CE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369A6535"/>
    <w:multiLevelType w:val="hybridMultilevel"/>
    <w:tmpl w:val="781408B4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MDPI-10">
    <w15:presenceInfo w15:providerId="AD" w15:userId="S::mdpi10@MDPIROMANIA.onmicrosoft.com::aee8b398-214c-4c13-9f42-31f5a17d019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74BB"/>
    <w:rsid w:val="00047A37"/>
    <w:rsid w:val="00080EA7"/>
    <w:rsid w:val="00242BAF"/>
    <w:rsid w:val="00265A6E"/>
    <w:rsid w:val="002C1F1C"/>
    <w:rsid w:val="00302161"/>
    <w:rsid w:val="003C280E"/>
    <w:rsid w:val="003E3B85"/>
    <w:rsid w:val="004572A8"/>
    <w:rsid w:val="004E6911"/>
    <w:rsid w:val="00677A5E"/>
    <w:rsid w:val="006974BB"/>
    <w:rsid w:val="007B1750"/>
    <w:rsid w:val="00810825"/>
    <w:rsid w:val="00903DCA"/>
    <w:rsid w:val="009B0275"/>
    <w:rsid w:val="00B70002"/>
    <w:rsid w:val="00B83FD1"/>
    <w:rsid w:val="00C06489"/>
    <w:rsid w:val="00C72416"/>
    <w:rsid w:val="00D049B6"/>
    <w:rsid w:val="00E61FA9"/>
    <w:rsid w:val="00F317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7E28A68"/>
  <w15:chartTrackingRefBased/>
  <w15:docId w15:val="{24F6B337-D237-4A55-9699-587140FD2D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Theme="minorHAnsi" w:hAnsi="Arial" w:cs="Arial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903D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2BA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2BAF"/>
    <w:rPr>
      <w:rFonts w:ascii="Segoe UI" w:hAnsi="Segoe UI" w:cs="Segoe UI"/>
      <w:sz w:val="18"/>
      <w:szCs w:val="18"/>
    </w:rPr>
  </w:style>
  <w:style w:type="paragraph" w:customStyle="1" w:styleId="MDPI11articletype">
    <w:name w:val="MDPI_1.1_article_type"/>
    <w:next w:val="MDPI12title"/>
    <w:qFormat/>
    <w:rsid w:val="00242BAF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color w:val="000000"/>
      <w:sz w:val="20"/>
      <w:lang w:eastAsia="de-DE" w:bidi="en-US"/>
    </w:rPr>
  </w:style>
  <w:style w:type="paragraph" w:customStyle="1" w:styleId="MDPI12title">
    <w:name w:val="MDPI_1.2_title"/>
    <w:next w:val="MDPI13authornames"/>
    <w:qFormat/>
    <w:rsid w:val="00242BAF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242BAF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242BA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42BAF"/>
    <w:pPr>
      <w:spacing w:after="0" w:line="240" w:lineRule="auto"/>
      <w:jc w:val="both"/>
    </w:pPr>
    <w:rPr>
      <w:rFonts w:ascii="Times New Roman" w:eastAsia="Times New Roman" w:hAnsi="Times New Roman" w:cs="Times New Roman"/>
      <w:color w:val="000000"/>
      <w:sz w:val="20"/>
      <w:szCs w:val="20"/>
      <w:lang w:eastAsia="de-DE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42BAF"/>
    <w:rPr>
      <w:rFonts w:ascii="Times New Roman" w:eastAsia="Times New Roman" w:hAnsi="Times New Roman" w:cs="Times New Roman"/>
      <w:color w:val="000000"/>
      <w:sz w:val="20"/>
      <w:szCs w:val="20"/>
      <w:lang w:eastAsia="de-DE"/>
    </w:rPr>
  </w:style>
  <w:style w:type="paragraph" w:styleId="Header">
    <w:name w:val="header"/>
    <w:basedOn w:val="Normal"/>
    <w:link w:val="HeaderChar"/>
    <w:uiPriority w:val="99"/>
    <w:unhideWhenUsed/>
    <w:rsid w:val="00242B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2BAF"/>
  </w:style>
  <w:style w:type="paragraph" w:styleId="Footer">
    <w:name w:val="footer"/>
    <w:basedOn w:val="Normal"/>
    <w:link w:val="FooterChar"/>
    <w:uiPriority w:val="99"/>
    <w:unhideWhenUsed/>
    <w:rsid w:val="00242BA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2BAF"/>
  </w:style>
  <w:style w:type="paragraph" w:customStyle="1" w:styleId="MDPI14history">
    <w:name w:val="MDPI_1.4_history"/>
    <w:basedOn w:val="Normal"/>
    <w:next w:val="Normal"/>
    <w:qFormat/>
    <w:rsid w:val="00242BAF"/>
    <w:pPr>
      <w:adjustRightInd w:val="0"/>
      <w:snapToGrid w:val="0"/>
      <w:spacing w:before="120" w:after="0" w:line="20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paragraph" w:customStyle="1" w:styleId="MDPI15academiceditor">
    <w:name w:val="MDPI_1.5_academic_editor"/>
    <w:qFormat/>
    <w:rsid w:val="00242BAF"/>
    <w:pPr>
      <w:adjustRightInd w:val="0"/>
      <w:snapToGrid w:val="0"/>
      <w:spacing w:after="0" w:line="260" w:lineRule="atLeast"/>
      <w:ind w:left="113"/>
    </w:pPr>
    <w:rPr>
      <w:rFonts w:ascii="Palatino Linotype" w:eastAsia="Times New Roman" w:hAnsi="Palatino Linotype" w:cs="Times New Roman"/>
      <w:color w:val="000000"/>
      <w:sz w:val="18"/>
      <w:lang w:eastAsia="de-DE" w:bidi="en-US"/>
    </w:rPr>
  </w:style>
  <w:style w:type="paragraph" w:customStyle="1" w:styleId="MDPI16affiliation">
    <w:name w:val="MDPI_1.6_affiliation"/>
    <w:qFormat/>
    <w:rsid w:val="00242BAF"/>
    <w:pPr>
      <w:adjustRightInd w:val="0"/>
      <w:snapToGrid w:val="0"/>
      <w:spacing w:after="0" w:line="26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242BAF"/>
    <w:pPr>
      <w:adjustRightInd w:val="0"/>
      <w:snapToGrid w:val="0"/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color w:val="000000"/>
      <w:sz w:val="20"/>
      <w:lang w:eastAsia="de-DE" w:bidi="en-US"/>
    </w:rPr>
  </w:style>
  <w:style w:type="paragraph" w:customStyle="1" w:styleId="MDPI18keywords">
    <w:name w:val="MDPI_1.8_keywords"/>
    <w:next w:val="Normal"/>
    <w:qFormat/>
    <w:rsid w:val="00242BAF"/>
    <w:pPr>
      <w:adjustRightInd w:val="0"/>
      <w:snapToGrid w:val="0"/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19classification">
    <w:name w:val="MDPI_1.9_classification"/>
    <w:qFormat/>
    <w:rsid w:val="00242BAF"/>
    <w:pPr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  <w:style w:type="paragraph" w:customStyle="1" w:styleId="MDPI19line">
    <w:name w:val="MDPI_1.9_line"/>
    <w:qFormat/>
    <w:rsid w:val="00242BAF"/>
    <w:pPr>
      <w:pBdr>
        <w:bottom w:val="single" w:sz="6" w:space="1" w:color="auto"/>
      </w:pBdr>
      <w:spacing w:after="0" w:line="260" w:lineRule="atLeast"/>
      <w:jc w:val="both"/>
    </w:pPr>
    <w:rPr>
      <w:rFonts w:ascii="Palatino Linotype" w:eastAsia="Times New Roman" w:hAnsi="Palatino Linotype" w:cstheme="minorBidi"/>
      <w:color w:val="000000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242BAF"/>
    <w:pPr>
      <w:adjustRightInd w:val="0"/>
      <w:snapToGrid w:val="0"/>
      <w:spacing w:before="240" w:after="120" w:line="260" w:lineRule="atLeast"/>
      <w:jc w:val="both"/>
      <w:outlineLvl w:val="0"/>
    </w:pPr>
    <w:rPr>
      <w:rFonts w:ascii="Palatino Linotype" w:eastAsia="Times New Roman" w:hAnsi="Palatino Linotype" w:cs="Times New Roman"/>
      <w:b/>
      <w:snapToGrid w:val="0"/>
      <w:color w:val="000000"/>
      <w:sz w:val="20"/>
      <w:lang w:eastAsia="de-DE" w:bidi="en-US"/>
    </w:rPr>
  </w:style>
  <w:style w:type="paragraph" w:customStyle="1" w:styleId="MDPI22heading2">
    <w:name w:val="MDPI_2.2_heading2"/>
    <w:qFormat/>
    <w:rsid w:val="00242BAF"/>
    <w:pPr>
      <w:adjustRightInd w:val="0"/>
      <w:snapToGrid w:val="0"/>
      <w:spacing w:before="240" w:after="120" w:line="260" w:lineRule="atLeast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sz w:val="20"/>
      <w:lang w:eastAsia="de-DE" w:bidi="en-US"/>
    </w:rPr>
  </w:style>
  <w:style w:type="paragraph" w:customStyle="1" w:styleId="MDPI23heading3">
    <w:name w:val="MDPI_2.3_heading3"/>
    <w:qFormat/>
    <w:rsid w:val="00242BAF"/>
    <w:pPr>
      <w:adjustRightInd w:val="0"/>
      <w:snapToGrid w:val="0"/>
      <w:spacing w:before="240" w:after="120" w:line="260" w:lineRule="atLeast"/>
      <w:outlineLvl w:val="2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1text">
    <w:name w:val="MDPI_3.1_text"/>
    <w:link w:val="MDPI31textChar"/>
    <w:qFormat/>
    <w:rsid w:val="00242BAF"/>
    <w:pPr>
      <w:adjustRightInd w:val="0"/>
      <w:snapToGrid w:val="0"/>
      <w:spacing w:after="0"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2textnoindent">
    <w:name w:val="MDPI_3.2_text_no_indent"/>
    <w:qFormat/>
    <w:rsid w:val="00242BAF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3textspaceafter">
    <w:name w:val="MDPI_3.3_text_space_after"/>
    <w:qFormat/>
    <w:rsid w:val="00242BAF"/>
    <w:pPr>
      <w:spacing w:after="24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4textspacebefore">
    <w:name w:val="MDPI_3.4_text_space_before"/>
    <w:qFormat/>
    <w:rsid w:val="00242BAF"/>
    <w:pPr>
      <w:spacing w:before="240"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5textbeforelist">
    <w:name w:val="MDPI_3.5_text_before_list"/>
    <w:qFormat/>
    <w:rsid w:val="00242BAF"/>
    <w:pPr>
      <w:spacing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6textafterlist">
    <w:name w:val="MDPI_3.6_text_after_list"/>
    <w:qFormat/>
    <w:rsid w:val="00242BAF"/>
    <w:pPr>
      <w:spacing w:before="120"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7itemize">
    <w:name w:val="MDPI_3.7_itemize"/>
    <w:qFormat/>
    <w:rsid w:val="00242BAF"/>
    <w:pPr>
      <w:numPr>
        <w:numId w:val="1"/>
      </w:numPr>
      <w:spacing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8bullet">
    <w:name w:val="MDPI_3.8_bullet"/>
    <w:qFormat/>
    <w:rsid w:val="00242BAF"/>
    <w:pPr>
      <w:numPr>
        <w:numId w:val="2"/>
      </w:num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9equation">
    <w:name w:val="MDPI_3.9_equation"/>
    <w:qFormat/>
    <w:rsid w:val="00242BAF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aequationnumber">
    <w:name w:val="MDPI_3.a_equation_number"/>
    <w:qFormat/>
    <w:rsid w:val="00242BAF"/>
    <w:pPr>
      <w:spacing w:before="120" w:after="120" w:line="240" w:lineRule="auto"/>
      <w:jc w:val="right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411onetablecaption">
    <w:name w:val="MDPI_4.1.1_one_table_caption"/>
    <w:qFormat/>
    <w:rsid w:val="00242BAF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theme="minorBidi"/>
      <w:noProof/>
      <w:color w:val="000000"/>
      <w:sz w:val="18"/>
      <w:lang w:bidi="en-US"/>
    </w:rPr>
  </w:style>
  <w:style w:type="paragraph" w:customStyle="1" w:styleId="MDPI41tablecaption">
    <w:name w:val="MDPI_4.1_table_caption"/>
    <w:qFormat/>
    <w:rsid w:val="00242BAF"/>
    <w:pPr>
      <w:adjustRightInd w:val="0"/>
      <w:snapToGrid w:val="0"/>
      <w:spacing w:before="240" w:after="120" w:line="260" w:lineRule="atLeast"/>
      <w:ind w:left="425" w:right="425"/>
      <w:jc w:val="both"/>
    </w:pPr>
    <w:rPr>
      <w:rFonts w:ascii="Palatino Linotype" w:eastAsia="Times New Roman" w:hAnsi="Palatino Linotype" w:cstheme="minorBidi"/>
      <w:color w:val="000000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242BAF"/>
    <w:pPr>
      <w:adjustRightInd w:val="0"/>
      <w:snapToGrid w:val="0"/>
      <w:spacing w:after="0" w:line="240" w:lineRule="auto"/>
      <w:jc w:val="center"/>
    </w:pPr>
    <w:rPr>
      <w:rFonts w:ascii="Palatino Linotype" w:hAnsi="Palatino Linotype" w:cs="Times New Roman"/>
      <w:color w:val="000000"/>
      <w:sz w:val="20"/>
      <w:szCs w:val="2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242BAF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theme="minorBidi"/>
      <w:color w:val="000000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242BAF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color w:val="000000"/>
      <w:sz w:val="18"/>
      <w:szCs w:val="20"/>
      <w:lang w:bidi="en-US"/>
    </w:rPr>
  </w:style>
  <w:style w:type="paragraph" w:customStyle="1" w:styleId="MDPI51figurecaption">
    <w:name w:val="MDPI_5.1_figure_caption"/>
    <w:qFormat/>
    <w:rsid w:val="00242BAF"/>
    <w:pPr>
      <w:adjustRightInd w:val="0"/>
      <w:snapToGrid w:val="0"/>
      <w:spacing w:before="120" w:after="240" w:line="260" w:lineRule="atLeast"/>
      <w:ind w:left="425" w:right="425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242BAF"/>
    <w:pPr>
      <w:adjustRightInd w:val="0"/>
      <w:snapToGrid w:val="0"/>
      <w:spacing w:before="240" w:after="12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eastAsia="de-DE" w:bidi="en-US"/>
    </w:rPr>
  </w:style>
  <w:style w:type="paragraph" w:customStyle="1" w:styleId="MDPI61Supplementary">
    <w:name w:val="MDPI_6.1_Supplementary"/>
    <w:qFormat/>
    <w:rsid w:val="00242BAF"/>
    <w:pPr>
      <w:spacing w:before="240"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bidi="en-US"/>
    </w:rPr>
  </w:style>
  <w:style w:type="paragraph" w:customStyle="1" w:styleId="MDPI62Acknowledgments">
    <w:name w:val="MDPI_6.2_Acknowledgments"/>
    <w:qFormat/>
    <w:rsid w:val="00242BAF"/>
    <w:pPr>
      <w:adjustRightInd w:val="0"/>
      <w:snapToGrid w:val="0"/>
      <w:spacing w:before="120" w:after="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63AuthorContributions">
    <w:name w:val="MDPI_6.3_AuthorContributions"/>
    <w:qFormat/>
    <w:rsid w:val="00242BAF"/>
    <w:pPr>
      <w:spacing w:after="0" w:line="260" w:lineRule="atLeast"/>
      <w:jc w:val="both"/>
    </w:pPr>
    <w:rPr>
      <w:rFonts w:ascii="Palatino Linotype" w:eastAsia="SimSun" w:hAnsi="Palatino Linotype" w:cs="Times New Roman"/>
      <w:snapToGrid w:val="0"/>
      <w:sz w:val="18"/>
      <w:szCs w:val="20"/>
      <w:lang w:bidi="en-US"/>
    </w:rPr>
  </w:style>
  <w:style w:type="paragraph" w:customStyle="1" w:styleId="MDPI64CoI">
    <w:name w:val="MDPI_6.4_CoI"/>
    <w:qFormat/>
    <w:rsid w:val="00242BAF"/>
    <w:pPr>
      <w:adjustRightInd w:val="0"/>
      <w:snapToGrid w:val="0"/>
      <w:spacing w:before="120" w:after="12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71References">
    <w:name w:val="MDPI_7.1_References"/>
    <w:qFormat/>
    <w:rsid w:val="00242BAF"/>
    <w:pPr>
      <w:numPr>
        <w:numId w:val="3"/>
      </w:numPr>
      <w:spacing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242BAF"/>
    <w:pPr>
      <w:adjustRightInd w:val="0"/>
      <w:snapToGrid w:val="0"/>
      <w:spacing w:before="400" w:after="0" w:line="260" w:lineRule="atLeast"/>
      <w:jc w:val="both"/>
    </w:pPr>
    <w:rPr>
      <w:rFonts w:ascii="Palatino Linotype" w:eastAsia="Times New Roman" w:hAnsi="Palatino Linotype" w:cs="Times New Roman"/>
      <w:noProof/>
      <w:snapToGrid w:val="0"/>
      <w:color w:val="000000"/>
      <w:spacing w:val="-2"/>
      <w:sz w:val="18"/>
      <w:szCs w:val="20"/>
      <w:lang w:val="en-GB" w:eastAsia="en-GB"/>
    </w:rPr>
  </w:style>
  <w:style w:type="paragraph" w:customStyle="1" w:styleId="MDPI73CopyrightImage">
    <w:name w:val="MDPI_7.3_CopyrightImage"/>
    <w:rsid w:val="00242BAF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color w:val="000000"/>
      <w:sz w:val="20"/>
      <w:szCs w:val="20"/>
      <w:lang w:eastAsia="de-CH"/>
    </w:rPr>
  </w:style>
  <w:style w:type="paragraph" w:customStyle="1" w:styleId="MDPI81theorem">
    <w:name w:val="MDPI_8.1_theorem"/>
    <w:qFormat/>
    <w:rsid w:val="00242BAF"/>
    <w:pPr>
      <w:spacing w:after="0" w:line="260" w:lineRule="atLeast"/>
      <w:jc w:val="both"/>
    </w:pPr>
    <w:rPr>
      <w:rFonts w:ascii="Palatino Linotype" w:eastAsia="Times New Roman" w:hAnsi="Palatino Linotype" w:cs="Times New Roman"/>
      <w:i/>
      <w:snapToGrid w:val="0"/>
      <w:color w:val="000000"/>
      <w:sz w:val="20"/>
      <w:lang w:eastAsia="de-DE" w:bidi="en-US"/>
    </w:rPr>
  </w:style>
  <w:style w:type="paragraph" w:customStyle="1" w:styleId="MDPI82proof">
    <w:name w:val="MDPI_8.2_proof"/>
    <w:qFormat/>
    <w:rsid w:val="00242BAF"/>
    <w:pPr>
      <w:spacing w:after="0" w:line="260" w:lineRule="atLeast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equationFram">
    <w:name w:val="MDPI_equationFram"/>
    <w:qFormat/>
    <w:rsid w:val="00242BAF"/>
    <w:pPr>
      <w:adjustRightInd w:val="0"/>
      <w:snapToGrid w:val="0"/>
      <w:spacing w:before="120" w:after="120" w:line="240" w:lineRule="auto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footer">
    <w:name w:val="MDPI_footer"/>
    <w:qFormat/>
    <w:rsid w:val="00242BAF"/>
    <w:pPr>
      <w:adjustRightInd w:val="0"/>
      <w:snapToGrid w:val="0"/>
      <w:spacing w:before="120" w:after="0" w:line="260" w:lineRule="atLeast"/>
      <w:jc w:val="center"/>
    </w:pPr>
    <w:rPr>
      <w:rFonts w:ascii="Palatino Linotype" w:eastAsia="Times New Roman" w:hAnsi="Palatino Linotype" w:cs="Times New Roman"/>
      <w:color w:val="000000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242BAF"/>
    <w:pPr>
      <w:tabs>
        <w:tab w:val="right" w:pos="8845"/>
      </w:tabs>
      <w:spacing w:after="0" w:line="160" w:lineRule="exact"/>
    </w:pPr>
    <w:rPr>
      <w:rFonts w:ascii="Palatino Linotype" w:eastAsia="Times New Roman" w:hAnsi="Palatino Linotype" w:cs="Times New Roman"/>
      <w:color w:val="000000"/>
      <w:sz w:val="16"/>
      <w:szCs w:val="20"/>
      <w:lang w:eastAsia="de-DE"/>
    </w:rPr>
  </w:style>
  <w:style w:type="paragraph" w:customStyle="1" w:styleId="MDPIheader">
    <w:name w:val="MDPI_header"/>
    <w:qFormat/>
    <w:rsid w:val="00242BAF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color w:val="000000"/>
      <w:sz w:val="16"/>
      <w:szCs w:val="20"/>
      <w:lang w:eastAsia="de-DE"/>
    </w:rPr>
  </w:style>
  <w:style w:type="paragraph" w:customStyle="1" w:styleId="MDPIheadercitation">
    <w:name w:val="MDPI_header_citation"/>
    <w:rsid w:val="00242BAF"/>
    <w:pPr>
      <w:spacing w:after="240" w:line="240" w:lineRule="auto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headerjournallogo">
    <w:name w:val="MDPI_header_journal_logo"/>
    <w:qFormat/>
    <w:rsid w:val="00242BAF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i/>
      <w:color w:val="000000"/>
      <w:sz w:val="24"/>
      <w:lang w:eastAsia="de-CH"/>
    </w:rPr>
  </w:style>
  <w:style w:type="paragraph" w:customStyle="1" w:styleId="MDPIheadermdpilogo">
    <w:name w:val="MDPI_header_mdpi_logo"/>
    <w:qFormat/>
    <w:rsid w:val="00242BAF"/>
    <w:pPr>
      <w:adjustRightInd w:val="0"/>
      <w:snapToGrid w:val="0"/>
      <w:spacing w:after="0" w:line="260" w:lineRule="atLeast"/>
      <w:jc w:val="right"/>
    </w:pPr>
    <w:rPr>
      <w:rFonts w:ascii="Palatino Linotype" w:eastAsia="Times New Roman" w:hAnsi="Palatino Linotype" w:cs="Times New Roman"/>
      <w:color w:val="000000"/>
      <w:sz w:val="24"/>
      <w:lang w:eastAsia="de-CH"/>
    </w:rPr>
  </w:style>
  <w:style w:type="paragraph" w:customStyle="1" w:styleId="MDPItext">
    <w:name w:val="MDPI_text"/>
    <w:qFormat/>
    <w:rsid w:val="00242BAF"/>
    <w:pPr>
      <w:spacing w:after="0"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color w:val="000000"/>
      <w:lang w:eastAsia="de-DE" w:bidi="en-US"/>
    </w:rPr>
  </w:style>
  <w:style w:type="paragraph" w:customStyle="1" w:styleId="MDPItitle">
    <w:name w:val="MDPI_title"/>
    <w:qFormat/>
    <w:rsid w:val="00242BAF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42BAF"/>
    <w:pPr>
      <w:spacing w:after="160"/>
      <w:jc w:val="left"/>
    </w:pPr>
    <w:rPr>
      <w:rFonts w:ascii="Arial" w:eastAsiaTheme="minorHAnsi" w:hAnsi="Arial" w:cs="Arial"/>
      <w:b/>
      <w:bCs/>
      <w:color w:val="auto"/>
      <w:lang w:eastAsia="en-US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42BAF"/>
    <w:rPr>
      <w:rFonts w:ascii="Times New Roman" w:eastAsia="Times New Roman" w:hAnsi="Times New Roman" w:cs="Times New Roman"/>
      <w:b/>
      <w:bCs/>
      <w:color w:val="000000"/>
      <w:sz w:val="20"/>
      <w:szCs w:val="20"/>
      <w:lang w:eastAsia="de-DE"/>
    </w:rPr>
  </w:style>
  <w:style w:type="table" w:styleId="PlainTable4">
    <w:name w:val="Plain Table 4"/>
    <w:basedOn w:val="TableNormal"/>
    <w:uiPriority w:val="44"/>
    <w:rsid w:val="002C1F1C"/>
    <w:pPr>
      <w:spacing w:after="0" w:line="240" w:lineRule="auto"/>
    </w:pPr>
    <w:rPr>
      <w:rFonts w:ascii="Calibri" w:eastAsia="SimSun" w:hAnsi="Calibri" w:cs="Times New Roman"/>
      <w:sz w:val="20"/>
      <w:szCs w:val="20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MDPI31textChar">
    <w:name w:val="MDPI_3.1_text Char"/>
    <w:basedOn w:val="DefaultParagraphFont"/>
    <w:link w:val="MDPI31text"/>
    <w:rsid w:val="002C1F1C"/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99306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image" Target="media/image3.emf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2.emf"/><Relationship Id="rId17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microsoft.com/office/2011/relationships/people" Target="peop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8/08/relationships/commentsExtensible" Target="commentsExtensible.xml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10" Type="http://schemas.microsoft.com/office/2016/09/relationships/commentsIds" Target="commentsIds.xm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microsoft.com/office/2011/relationships/commentsExtended" Target="commentsExtended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0.png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6</Pages>
  <Words>500</Words>
  <Characters>2734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</dc:title>
  <dc:subject/>
  <dc:creator>MDPI</dc:creator>
  <cp:keywords/>
  <dc:description/>
  <cp:lastModifiedBy>MDPI-10</cp:lastModifiedBy>
  <cp:revision>7</cp:revision>
  <dcterms:created xsi:type="dcterms:W3CDTF">2020-11-03T02:35:00Z</dcterms:created>
  <dcterms:modified xsi:type="dcterms:W3CDTF">2020-11-18T12:16:00Z</dcterms:modified>
</cp:coreProperties>
</file>