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05DD1D1" w14:textId="77777777" w:rsidR="00166F73" w:rsidRPr="00BD7455" w:rsidRDefault="00166F73" w:rsidP="00BD7455">
      <w:pPr>
        <w:pStyle w:val="MDPI11articletype"/>
        <w:rPr>
          <w:rFonts w:eastAsia="Palatino Linotype"/>
        </w:rPr>
      </w:pPr>
      <w:r w:rsidRPr="00BD7455">
        <w:rPr>
          <w:rFonts w:eastAsia="Palatino Linotype"/>
        </w:rPr>
        <w:t>Supplementary Materials</w:t>
      </w:r>
    </w:p>
    <w:p w14:paraId="6A47098D" w14:textId="77777777" w:rsidR="00166F73" w:rsidRPr="00BD7455" w:rsidRDefault="00166F73" w:rsidP="00BD7455">
      <w:pPr>
        <w:pStyle w:val="MDPI12title"/>
      </w:pPr>
      <w:r w:rsidRPr="00BD7455">
        <w:t xml:space="preserve">Cooperation between SS18-SSX1 and miR-214 </w:t>
      </w:r>
      <w:bookmarkStart w:id="0" w:name="_GoBack"/>
      <w:bookmarkEnd w:id="0"/>
      <w:r w:rsidRPr="00BD7455">
        <w:t>in Synovial Sarcoma Development and Progression</w:t>
      </w:r>
    </w:p>
    <w:p w14:paraId="42466321" w14:textId="03C31D25" w:rsidR="00166F73" w:rsidRPr="00BD7455" w:rsidRDefault="00166F73" w:rsidP="00BD7455">
      <w:pPr>
        <w:pStyle w:val="MDPI13authornames"/>
        <w:rPr>
          <w:color w:val="auto"/>
        </w:rPr>
      </w:pPr>
      <w:r w:rsidRPr="00BD7455">
        <w:rPr>
          <w:color w:val="auto"/>
        </w:rPr>
        <w:t xml:space="preserve">Miwa Tanaka, </w:t>
      </w:r>
      <w:proofErr w:type="spellStart"/>
      <w:r w:rsidRPr="00BD7455">
        <w:rPr>
          <w:color w:val="auto"/>
        </w:rPr>
        <w:t>Mizuki</w:t>
      </w:r>
      <w:proofErr w:type="spellEnd"/>
      <w:r w:rsidRPr="00BD7455">
        <w:rPr>
          <w:color w:val="auto"/>
        </w:rPr>
        <w:t xml:space="preserve"> Homme, Yukari Yamazaki, Keisuke Ae, Seiichi Matsumoto, Subbaya Subramanian and </w:t>
      </w:r>
      <w:proofErr w:type="spellStart"/>
      <w:r w:rsidRPr="00BD7455">
        <w:rPr>
          <w:color w:val="auto"/>
        </w:rPr>
        <w:t>Takuro</w:t>
      </w:r>
      <w:proofErr w:type="spellEnd"/>
      <w:r w:rsidRPr="00BD7455">
        <w:rPr>
          <w:color w:val="auto"/>
        </w:rPr>
        <w:t xml:space="preserve"> Nakamura</w:t>
      </w:r>
    </w:p>
    <w:p w14:paraId="2155BAF6" w14:textId="77777777" w:rsidR="00166F73" w:rsidRPr="00BD7455" w:rsidRDefault="00166F73" w:rsidP="00BD7455">
      <w:pPr>
        <w:pStyle w:val="MDPI52figure"/>
      </w:pPr>
      <w:r w:rsidRPr="00BD7455">
        <w:rPr>
          <w:lang w:eastAsia="zh-CN" w:bidi="ar-SA"/>
        </w:rPr>
        <w:drawing>
          <wp:inline distT="0" distB="0" distL="0" distR="0" wp14:anchorId="2CFDFFDA" wp14:editId="274D263D">
            <wp:extent cx="7416000" cy="2781215"/>
            <wp:effectExtent l="0" t="0" r="0" b="635"/>
            <wp:docPr id="1" name="図 1" descr="スクリーンショット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16000" cy="278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23E44" w14:textId="77777777" w:rsidR="00166F73" w:rsidRPr="00BD7455" w:rsidRDefault="00166F73" w:rsidP="00BD7455">
      <w:pPr>
        <w:pStyle w:val="MDPI51figurecaption"/>
      </w:pPr>
      <w:r w:rsidRPr="00BD7455">
        <w:rPr>
          <w:b/>
          <w:bCs/>
        </w:rPr>
        <w:t xml:space="preserve">Figure S1. </w:t>
      </w:r>
      <w:r w:rsidRPr="00BD7455">
        <w:t>Retroviral integrations in mouse synovial sarcoma. (</w:t>
      </w:r>
      <w:r w:rsidRPr="00BD7455">
        <w:rPr>
          <w:b/>
        </w:rPr>
        <w:t>A</w:t>
      </w:r>
      <w:r w:rsidRPr="00BD7455">
        <w:t>) Southern blotting of synovial sarcoma tissue shows retroviral integrations of multiple copies. Restriction enzymes used for DNA digestion, restriction sites within the retroviral vector, and the probe are indicated. (</w:t>
      </w:r>
      <w:r w:rsidRPr="00BD7455">
        <w:rPr>
          <w:b/>
        </w:rPr>
        <w:t>B</w:t>
      </w:r>
      <w:r w:rsidRPr="00BD7455">
        <w:t xml:space="preserve">) RT-PCR of </w:t>
      </w:r>
      <w:r w:rsidRPr="00BD7455">
        <w:rPr>
          <w:i/>
          <w:iCs/>
        </w:rPr>
        <w:t>Dnm3</w:t>
      </w:r>
      <w:r w:rsidRPr="00BD7455">
        <w:t xml:space="preserve"> in mouse synovial sarcoma. </w:t>
      </w:r>
      <w:proofErr w:type="spellStart"/>
      <w:r w:rsidRPr="00BD7455">
        <w:rPr>
          <w:i/>
          <w:iCs/>
        </w:rPr>
        <w:t>Hprt</w:t>
      </w:r>
      <w:proofErr w:type="spellEnd"/>
      <w:r w:rsidRPr="00BD7455">
        <w:t xml:space="preserve"> is used as a control.</w:t>
      </w:r>
    </w:p>
    <w:p w14:paraId="184B9ACF" w14:textId="77777777" w:rsidR="00166F73" w:rsidRPr="00BD7455" w:rsidRDefault="00166F73" w:rsidP="00BD7455">
      <w:pPr>
        <w:pStyle w:val="MDPI11articletype"/>
        <w:rPr>
          <w:rFonts w:eastAsia="Palatino Linotype"/>
        </w:rPr>
        <w:sectPr w:rsidR="00166F73" w:rsidRPr="00BD7455" w:rsidSect="00BD7455">
          <w:headerReference w:type="default" r:id="rId8"/>
          <w:headerReference w:type="first" r:id="rId9"/>
          <w:type w:val="continuous"/>
          <w:pgSz w:w="16840" w:h="11909" w:orient="landscape"/>
          <w:pgMar w:top="1417" w:right="1531" w:bottom="1077" w:left="1531" w:header="1020" w:footer="850" w:gutter="0"/>
          <w:cols w:space="425"/>
          <w:titlePg/>
          <w:docGrid w:type="linesAndChars" w:linePitch="400"/>
        </w:sectPr>
      </w:pPr>
    </w:p>
    <w:p w14:paraId="277EC474" w14:textId="77777777" w:rsidR="001D26C0" w:rsidRPr="00BD7455" w:rsidRDefault="001D26C0" w:rsidP="00BD7455">
      <w:pPr>
        <w:pStyle w:val="MDPI52figure"/>
      </w:pPr>
      <w:r w:rsidRPr="00BD7455">
        <w:rPr>
          <w:lang w:eastAsia="zh-CN" w:bidi="ar-SA"/>
        </w:rPr>
        <w:lastRenderedPageBreak/>
        <w:drawing>
          <wp:inline distT="0" distB="0" distL="0" distR="0" wp14:anchorId="541C0496" wp14:editId="51E8C88E">
            <wp:extent cx="3416300" cy="5410200"/>
            <wp:effectExtent l="0" t="0" r="0" b="0"/>
            <wp:docPr id="2" name="図 2" descr="地図, テキスト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16300" cy="541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35408" w14:textId="6D89147F" w:rsidR="00D43F3D" w:rsidRPr="00BD7455" w:rsidRDefault="00166F73" w:rsidP="00BD7455">
      <w:pPr>
        <w:pStyle w:val="MDPI51figurecaption"/>
      </w:pPr>
      <w:r w:rsidRPr="00BD7455">
        <w:rPr>
          <w:b/>
          <w:bCs/>
        </w:rPr>
        <w:t xml:space="preserve">Figure S2. </w:t>
      </w:r>
      <w:r w:rsidR="001D26C0" w:rsidRPr="00BD7455">
        <w:t xml:space="preserve">Upregulation of </w:t>
      </w:r>
      <w:r w:rsidR="001D26C0" w:rsidRPr="00BD7455">
        <w:rPr>
          <w:i/>
          <w:iCs/>
        </w:rPr>
        <w:t>miR-214</w:t>
      </w:r>
      <w:r w:rsidR="001D26C0" w:rsidRPr="00BD7455">
        <w:t xml:space="preserve"> and </w:t>
      </w:r>
      <w:r w:rsidR="001D26C0" w:rsidRPr="00BD7455">
        <w:rPr>
          <w:i/>
          <w:iCs/>
        </w:rPr>
        <w:t>Dnm3os</w:t>
      </w:r>
      <w:r w:rsidR="001D26C0" w:rsidRPr="00BD7455">
        <w:t xml:space="preserve"> in synovial sarcoma. (</w:t>
      </w:r>
      <w:r w:rsidR="001D26C0" w:rsidRPr="00BD7455">
        <w:rPr>
          <w:b/>
        </w:rPr>
        <w:t>A</w:t>
      </w:r>
      <w:r w:rsidR="001D26C0" w:rsidRPr="00BD7455">
        <w:t xml:space="preserve">) RT-qPCR for </w:t>
      </w:r>
      <w:r w:rsidR="001D26C0" w:rsidRPr="00BD7455">
        <w:rPr>
          <w:i/>
          <w:iCs/>
        </w:rPr>
        <w:t>miR-214</w:t>
      </w:r>
      <w:r w:rsidR="001D26C0" w:rsidRPr="00BD7455">
        <w:t xml:space="preserve"> in human sarcoma tiss</w:t>
      </w:r>
      <w:r w:rsidR="00113441" w:rsidRPr="00BD7455">
        <w:t>ue</w:t>
      </w:r>
      <w:r w:rsidR="001D26C0" w:rsidRPr="00BD7455">
        <w:t>s. SS: synovial sarcoma, RMS: rhabdomyosarcoma, MLS: myxoid liposarcoma, DFSP: dermatofibrosarcoma protuberans, EWS: Ewing sarcoma, SFT: solitary fibrous tumor. The numbers of cases examined are indicated. **</w:t>
      </w:r>
      <w:r w:rsidR="001D26C0" w:rsidRPr="00BD7455">
        <w:rPr>
          <w:i/>
          <w:iCs/>
        </w:rPr>
        <w:t xml:space="preserve"> </w:t>
      </w:r>
      <w:r w:rsidR="00BD7455" w:rsidRPr="00BD7455">
        <w:rPr>
          <w:i/>
          <w:iCs/>
        </w:rPr>
        <w:t>p</w:t>
      </w:r>
      <w:r w:rsidR="001D26C0" w:rsidRPr="00BD7455">
        <w:t xml:space="preserve"> &lt; 0.01. (</w:t>
      </w:r>
      <w:r w:rsidR="001D26C0" w:rsidRPr="00BD7455">
        <w:rPr>
          <w:b/>
        </w:rPr>
        <w:t>B</w:t>
      </w:r>
      <w:r w:rsidR="001D26C0" w:rsidRPr="00BD7455">
        <w:t xml:space="preserve">) RT-qPCR for mouse </w:t>
      </w:r>
      <w:r w:rsidR="001D26C0" w:rsidRPr="00BD7455">
        <w:rPr>
          <w:i/>
          <w:iCs/>
        </w:rPr>
        <w:t>Dnm3os</w:t>
      </w:r>
      <w:r w:rsidR="001D26C0" w:rsidRPr="00BD7455">
        <w:t xml:space="preserve"> (left) and human </w:t>
      </w:r>
      <w:r w:rsidR="001D26C0" w:rsidRPr="00BD7455">
        <w:rPr>
          <w:i/>
          <w:iCs/>
        </w:rPr>
        <w:t>DNM3OS</w:t>
      </w:r>
      <w:r w:rsidR="001D26C0" w:rsidRPr="00BD7455">
        <w:t xml:space="preserve"> (right) in mouse and human sarcomas. SS: synovial sarcoma, EWS: Ewing sarcoma, ASPS: alveolar soft part sarcoma, RMS: rhabdomyosarcoma. The numbers of cases examined are indicated. **</w:t>
      </w:r>
      <w:r w:rsidR="001D26C0" w:rsidRPr="00BD7455">
        <w:rPr>
          <w:i/>
          <w:iCs/>
        </w:rPr>
        <w:t xml:space="preserve"> </w:t>
      </w:r>
      <w:r w:rsidR="00BD7455" w:rsidRPr="00BD7455">
        <w:rPr>
          <w:i/>
          <w:iCs/>
        </w:rPr>
        <w:t>p</w:t>
      </w:r>
      <w:r w:rsidR="001D26C0" w:rsidRPr="00BD7455">
        <w:t xml:space="preserve"> &lt; 0.01.</w:t>
      </w:r>
    </w:p>
    <w:p w14:paraId="42FB9218" w14:textId="77777777" w:rsidR="00D43F3D" w:rsidRPr="00BD7455" w:rsidRDefault="00D43F3D" w:rsidP="00BD7455">
      <w:pPr>
        <w:pStyle w:val="MDPI12title"/>
        <w:rPr>
          <w:sz w:val="18"/>
        </w:rPr>
      </w:pPr>
      <w:r w:rsidRPr="00BD7455">
        <w:br w:type="page"/>
      </w:r>
    </w:p>
    <w:p w14:paraId="48207EBB" w14:textId="7106323B" w:rsidR="001D26C0" w:rsidRPr="00BD7455" w:rsidRDefault="00C8091A" w:rsidP="00BD7455">
      <w:pPr>
        <w:pStyle w:val="MDPI52figure"/>
      </w:pPr>
      <w:r w:rsidRPr="00BD7455">
        <w:lastRenderedPageBreak/>
        <w:drawing>
          <wp:inline distT="0" distB="0" distL="0" distR="0" wp14:anchorId="15C1E89D" wp14:editId="4B058728">
            <wp:extent cx="2984500" cy="2070100"/>
            <wp:effectExtent l="0" t="0" r="0" b="0"/>
            <wp:docPr id="4" name="図 4" descr="テキスト, 地図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84500" cy="207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AA7DF" w14:textId="77777777" w:rsidR="00D43F3D" w:rsidRPr="00BD7455" w:rsidRDefault="00166F73" w:rsidP="00BD7455">
      <w:pPr>
        <w:pStyle w:val="MDPI51figurecaption"/>
      </w:pPr>
      <w:r w:rsidRPr="00BD7455">
        <w:rPr>
          <w:b/>
          <w:bCs/>
        </w:rPr>
        <w:t xml:space="preserve">Figure S3. </w:t>
      </w:r>
      <w:r w:rsidR="00D43F3D" w:rsidRPr="00BD7455">
        <w:t>Cumulative incidences of synovial sarcoma with or without Fgfr1 or Nedd9. The number of mice used are indicated. Significance was examined by log-rank test.</w:t>
      </w:r>
      <w:r w:rsidR="00D43F3D" w:rsidRPr="00BD7455">
        <w:br w:type="page"/>
      </w:r>
    </w:p>
    <w:p w14:paraId="2AF6EAFB" w14:textId="7E35E1ED" w:rsidR="00F57144" w:rsidRPr="00BD7455" w:rsidRDefault="00C8091A" w:rsidP="00BD7455">
      <w:pPr>
        <w:pStyle w:val="MDPI52figure"/>
      </w:pPr>
      <w:r w:rsidRPr="00BD7455">
        <w:lastRenderedPageBreak/>
        <w:drawing>
          <wp:inline distT="0" distB="0" distL="0" distR="0" wp14:anchorId="74293A67" wp14:editId="2730CD94">
            <wp:extent cx="5617845" cy="5617845"/>
            <wp:effectExtent l="0" t="0" r="0" b="0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7845" cy="561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17846" w14:textId="77777777" w:rsidR="00D43F3D" w:rsidRPr="00BD7455" w:rsidRDefault="00F268D5" w:rsidP="00BD7455">
      <w:pPr>
        <w:pStyle w:val="MDPI51figurecaption"/>
      </w:pPr>
      <w:r w:rsidRPr="00BD7455">
        <w:rPr>
          <w:b/>
          <w:bCs/>
        </w:rPr>
        <w:t>Figure S</w:t>
      </w:r>
      <w:r w:rsidR="003E4155" w:rsidRPr="00BD7455">
        <w:rPr>
          <w:b/>
          <w:bCs/>
        </w:rPr>
        <w:t>4</w:t>
      </w:r>
      <w:r w:rsidRPr="00BD7455">
        <w:rPr>
          <w:b/>
          <w:bCs/>
        </w:rPr>
        <w:t xml:space="preserve">. </w:t>
      </w:r>
      <w:r w:rsidR="00991CBA" w:rsidRPr="00BD7455">
        <w:t>Effects of miR-214 expression in mouse synovial sarcoma. (</w:t>
      </w:r>
      <w:r w:rsidR="00991CBA" w:rsidRPr="00BD7455">
        <w:rPr>
          <w:b/>
        </w:rPr>
        <w:t>A</w:t>
      </w:r>
      <w:r w:rsidR="00991CBA" w:rsidRPr="00BD7455">
        <w:t xml:space="preserve">) RT-qPCR for candidate </w:t>
      </w:r>
      <w:r w:rsidR="00991CBA" w:rsidRPr="00BD7455">
        <w:rPr>
          <w:i/>
          <w:iCs/>
        </w:rPr>
        <w:t>miR-214</w:t>
      </w:r>
      <w:r w:rsidR="00991CBA" w:rsidRPr="00BD7455">
        <w:t xml:space="preserve"> target genes, </w:t>
      </w:r>
      <w:r w:rsidR="00991CBA" w:rsidRPr="00BD7455">
        <w:rPr>
          <w:i/>
          <w:iCs/>
        </w:rPr>
        <w:t xml:space="preserve">Tpp1, Plagl2, </w:t>
      </w:r>
      <w:proofErr w:type="spellStart"/>
      <w:r w:rsidR="00991CBA" w:rsidRPr="00BD7455">
        <w:rPr>
          <w:i/>
          <w:iCs/>
        </w:rPr>
        <w:t>Chfr</w:t>
      </w:r>
      <w:proofErr w:type="spellEnd"/>
      <w:r w:rsidR="00991CBA" w:rsidRPr="00BD7455">
        <w:rPr>
          <w:i/>
          <w:iCs/>
        </w:rPr>
        <w:t>, Fbxo3,</w:t>
      </w:r>
      <w:r w:rsidR="00991CBA" w:rsidRPr="00BD7455">
        <w:t xml:space="preserve"> </w:t>
      </w:r>
      <w:r w:rsidR="00991CBA" w:rsidRPr="00BD7455">
        <w:rPr>
          <w:i/>
          <w:iCs/>
        </w:rPr>
        <w:t xml:space="preserve">Lats2, </w:t>
      </w:r>
      <w:r w:rsidR="00991CBA" w:rsidRPr="00BD7455">
        <w:t xml:space="preserve">and </w:t>
      </w:r>
      <w:proofErr w:type="spellStart"/>
      <w:r w:rsidR="00991CBA" w:rsidRPr="00BD7455">
        <w:rPr>
          <w:i/>
          <w:iCs/>
        </w:rPr>
        <w:t>Cbl</w:t>
      </w:r>
      <w:proofErr w:type="spellEnd"/>
      <w:r w:rsidR="00991CBA" w:rsidRPr="00BD7455">
        <w:t xml:space="preserve"> in synovial sarcoma cells with or without </w:t>
      </w:r>
      <w:r w:rsidR="00991CBA" w:rsidRPr="00BD7455">
        <w:rPr>
          <w:i/>
          <w:iCs/>
        </w:rPr>
        <w:t>miR-214</w:t>
      </w:r>
      <w:r w:rsidR="00991CBA" w:rsidRPr="00BD7455">
        <w:t xml:space="preserve">. * </w:t>
      </w:r>
      <w:r w:rsidR="00991CBA" w:rsidRPr="00BD7455">
        <w:rPr>
          <w:i/>
          <w:iCs/>
        </w:rPr>
        <w:t>P</w:t>
      </w:r>
      <w:r w:rsidR="00991CBA" w:rsidRPr="00BD7455">
        <w:t xml:space="preserve"> &lt; 0.05, ** </w:t>
      </w:r>
      <w:r w:rsidR="00991CBA" w:rsidRPr="00BD7455">
        <w:rPr>
          <w:i/>
          <w:iCs/>
        </w:rPr>
        <w:t>P</w:t>
      </w:r>
      <w:r w:rsidR="00991CBA" w:rsidRPr="00BD7455">
        <w:t xml:space="preserve"> &lt; 0.01. (</w:t>
      </w:r>
      <w:r w:rsidR="00991CBA" w:rsidRPr="00BD7455">
        <w:rPr>
          <w:b/>
        </w:rPr>
        <w:t>B</w:t>
      </w:r>
      <w:r w:rsidR="00991CBA" w:rsidRPr="00BD7455">
        <w:t xml:space="preserve">) Proliferation of synovial sarcoma cells with </w:t>
      </w:r>
      <w:r w:rsidR="00991CBA" w:rsidRPr="00BD7455">
        <w:rPr>
          <w:i/>
          <w:iCs/>
        </w:rPr>
        <w:t>miR-214</w:t>
      </w:r>
      <w:r w:rsidR="003E4155" w:rsidRPr="00BD7455">
        <w:rPr>
          <w:i/>
          <w:iCs/>
        </w:rPr>
        <w:t xml:space="preserve">, anti-miR-214 </w:t>
      </w:r>
      <w:r w:rsidR="003E4155" w:rsidRPr="00BD7455">
        <w:t>expression</w:t>
      </w:r>
      <w:r w:rsidR="00991CBA" w:rsidRPr="00BD7455">
        <w:t xml:space="preserve"> or</w:t>
      </w:r>
      <w:r w:rsidR="00991CBA" w:rsidRPr="00BD7455">
        <w:rPr>
          <w:i/>
          <w:iCs/>
        </w:rPr>
        <w:t xml:space="preserve"> SS18-SSX1 </w:t>
      </w:r>
      <w:r w:rsidR="00991CBA" w:rsidRPr="00BD7455">
        <w:t>knockdown</w:t>
      </w:r>
      <w:r w:rsidR="00991CBA" w:rsidRPr="00BD7455">
        <w:rPr>
          <w:i/>
          <w:iCs/>
        </w:rPr>
        <w:t xml:space="preserve"> </w:t>
      </w:r>
      <w:r w:rsidR="00991CBA" w:rsidRPr="00BD7455">
        <w:t xml:space="preserve">(left). </w:t>
      </w:r>
      <w:r w:rsidR="00991CBA" w:rsidRPr="00BD7455">
        <w:rPr>
          <w:i/>
          <w:iCs/>
        </w:rPr>
        <w:t>miR-214</w:t>
      </w:r>
      <w:r w:rsidR="00991CBA" w:rsidRPr="00BD7455">
        <w:t xml:space="preserve"> and SS18-SSX1 expression is confirmed by RT-qPCR or immunoblotting (right) * </w:t>
      </w:r>
      <w:r w:rsidR="00991CBA" w:rsidRPr="00BD7455">
        <w:rPr>
          <w:i/>
          <w:iCs/>
        </w:rPr>
        <w:t>P</w:t>
      </w:r>
      <w:r w:rsidR="00991CBA" w:rsidRPr="00BD7455">
        <w:t xml:space="preserve"> &lt; 0.05, ** </w:t>
      </w:r>
      <w:r w:rsidR="00991CBA" w:rsidRPr="00BD7455">
        <w:rPr>
          <w:i/>
          <w:iCs/>
        </w:rPr>
        <w:t>P</w:t>
      </w:r>
      <w:r w:rsidR="00991CBA" w:rsidRPr="00BD7455">
        <w:t xml:space="preserve"> &lt; 0.01. (</w:t>
      </w:r>
      <w:r w:rsidR="00991CBA" w:rsidRPr="00BD7455">
        <w:rPr>
          <w:b/>
        </w:rPr>
        <w:t>C</w:t>
      </w:r>
      <w:r w:rsidR="00991CBA" w:rsidRPr="00BD7455">
        <w:t xml:space="preserve">) Proliferation of synovial sarcoma cells with or without </w:t>
      </w:r>
      <w:r w:rsidR="00991CBA" w:rsidRPr="00BD7455">
        <w:rPr>
          <w:i/>
          <w:iCs/>
        </w:rPr>
        <w:t>Dnm3os</w:t>
      </w:r>
      <w:r w:rsidR="00991CBA" w:rsidRPr="00BD7455">
        <w:t xml:space="preserve"> expression. (</w:t>
      </w:r>
      <w:r w:rsidR="00991CBA" w:rsidRPr="00BD7455">
        <w:rPr>
          <w:b/>
        </w:rPr>
        <w:t>D</w:t>
      </w:r>
      <w:r w:rsidR="00991CBA" w:rsidRPr="00BD7455">
        <w:t xml:space="preserve">) Migration and invasion activities of synovial sarcoma cells with or without </w:t>
      </w:r>
      <w:r w:rsidR="00991CBA" w:rsidRPr="00BD7455">
        <w:rPr>
          <w:i/>
          <w:iCs/>
        </w:rPr>
        <w:t>miR-214</w:t>
      </w:r>
      <w:r w:rsidR="00991CBA" w:rsidRPr="00BD7455">
        <w:t xml:space="preserve"> were tested by wound healing assay (left) and invasion assay (right). (</w:t>
      </w:r>
      <w:r w:rsidR="00991CBA" w:rsidRPr="00BD7455">
        <w:rPr>
          <w:b/>
        </w:rPr>
        <w:t>E</w:t>
      </w:r>
      <w:r w:rsidR="00991CBA" w:rsidRPr="00BD7455">
        <w:t xml:space="preserve">) The number of CD163-positive macrophages and naphthol AS-D chloroacetate esterase (NASDCLE)-positive granulocytes in synovial sarcoma with </w:t>
      </w:r>
      <w:r w:rsidR="00117DD7" w:rsidRPr="00BD7455">
        <w:t xml:space="preserve">(SS214, n = </w:t>
      </w:r>
      <w:r w:rsidR="00FD0F7F" w:rsidRPr="00BD7455">
        <w:t>10</w:t>
      </w:r>
      <w:r w:rsidR="00117DD7" w:rsidRPr="00BD7455">
        <w:t xml:space="preserve">) or without miR-214 (SS, n = </w:t>
      </w:r>
      <w:r w:rsidR="00FD0F7F" w:rsidRPr="00BD7455">
        <w:t>11</w:t>
      </w:r>
      <w:r w:rsidR="00117DD7" w:rsidRPr="00BD7455">
        <w:t>).</w:t>
      </w:r>
    </w:p>
    <w:p w14:paraId="168FEE26" w14:textId="77777777" w:rsidR="00D43F3D" w:rsidRPr="00BD7455" w:rsidRDefault="00D43F3D" w:rsidP="00BD7455">
      <w:pPr>
        <w:pStyle w:val="MDPI12title"/>
        <w:rPr>
          <w:sz w:val="18"/>
        </w:rPr>
      </w:pPr>
      <w:r w:rsidRPr="00BD7455">
        <w:br w:type="page"/>
      </w:r>
    </w:p>
    <w:p w14:paraId="2AAFDDAE" w14:textId="1BEBF70B" w:rsidR="00F268D5" w:rsidRPr="00BD7455" w:rsidRDefault="00C8091A" w:rsidP="00BD7455">
      <w:pPr>
        <w:pStyle w:val="MDPI52figure"/>
      </w:pPr>
      <w:r w:rsidRPr="00BD7455">
        <w:lastRenderedPageBreak/>
        <w:drawing>
          <wp:inline distT="0" distB="0" distL="0" distR="0" wp14:anchorId="46711825" wp14:editId="0A51AD4F">
            <wp:extent cx="5617845" cy="2221865"/>
            <wp:effectExtent l="0" t="0" r="0" b="635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7845" cy="222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826B1" w14:textId="286604B9" w:rsidR="00CC4DC3" w:rsidRPr="00BD7455" w:rsidRDefault="00BD7455" w:rsidP="00BD7455">
      <w:pPr>
        <w:pStyle w:val="MDPI51figurecaption"/>
      </w:pPr>
      <w:r w:rsidRPr="00BD7455">
        <w:rPr>
          <w:b/>
          <w:bCs/>
        </w:rPr>
        <w:t xml:space="preserve">Figure </w:t>
      </w:r>
      <w:r>
        <w:rPr>
          <w:b/>
          <w:bCs/>
        </w:rPr>
        <w:t>S</w:t>
      </w:r>
      <w:r w:rsidRPr="00BD7455">
        <w:rPr>
          <w:b/>
          <w:bCs/>
        </w:rPr>
        <w:t xml:space="preserve">5. </w:t>
      </w:r>
      <w:r w:rsidR="003E4155" w:rsidRPr="00BD7455">
        <w:t>The effect of</w:t>
      </w:r>
      <w:r w:rsidR="003E4155" w:rsidRPr="00BD7455">
        <w:rPr>
          <w:b/>
          <w:bCs/>
        </w:rPr>
        <w:t xml:space="preserve"> </w:t>
      </w:r>
      <w:proofErr w:type="spellStart"/>
      <w:r w:rsidR="003E4155" w:rsidRPr="00BD7455">
        <w:rPr>
          <w:i/>
          <w:iCs/>
        </w:rPr>
        <w:t>Pten</w:t>
      </w:r>
      <w:proofErr w:type="spellEnd"/>
      <w:r w:rsidR="003E4155" w:rsidRPr="00BD7455">
        <w:t xml:space="preserve"> silencing in synovial sarcoma development. (</w:t>
      </w:r>
      <w:r w:rsidR="003E4155" w:rsidRPr="00BD7455">
        <w:rPr>
          <w:b/>
        </w:rPr>
        <w:t>A</w:t>
      </w:r>
      <w:r w:rsidR="003E4155" w:rsidRPr="00BD7455">
        <w:t xml:space="preserve">) Western blotting shows </w:t>
      </w:r>
      <w:proofErr w:type="spellStart"/>
      <w:r w:rsidR="003E4155" w:rsidRPr="00BD7455">
        <w:rPr>
          <w:i/>
          <w:iCs/>
        </w:rPr>
        <w:t>Pten</w:t>
      </w:r>
      <w:proofErr w:type="spellEnd"/>
      <w:r w:rsidR="003E4155" w:rsidRPr="00BD7455">
        <w:t xml:space="preserve"> knockdown by shRNA. (</w:t>
      </w:r>
      <w:r w:rsidR="003E4155" w:rsidRPr="00BD7455">
        <w:rPr>
          <w:b/>
        </w:rPr>
        <w:t>B</w:t>
      </w:r>
      <w:r w:rsidR="003E4155" w:rsidRPr="00BD7455">
        <w:t xml:space="preserve">) Cumulative incidences of synovial sarcoma with </w:t>
      </w:r>
      <w:proofErr w:type="spellStart"/>
      <w:r w:rsidR="003E4155" w:rsidRPr="00BD7455">
        <w:t>shPten</w:t>
      </w:r>
      <w:proofErr w:type="spellEnd"/>
      <w:r w:rsidR="003E4155" w:rsidRPr="00BD7455">
        <w:t xml:space="preserve"> or negative control </w:t>
      </w:r>
      <w:proofErr w:type="spellStart"/>
      <w:r w:rsidR="003E4155" w:rsidRPr="00BD7455">
        <w:t>sh</w:t>
      </w:r>
      <w:proofErr w:type="spellEnd"/>
      <w:r w:rsidR="003E4155" w:rsidRPr="00BD7455">
        <w:t xml:space="preserve"> (</w:t>
      </w:r>
      <w:proofErr w:type="spellStart"/>
      <w:r w:rsidR="003E4155" w:rsidRPr="00BD7455">
        <w:t>ShNC</w:t>
      </w:r>
      <w:proofErr w:type="spellEnd"/>
      <w:r w:rsidR="003E4155" w:rsidRPr="00BD7455">
        <w:t>). The number of mice used are indicated. Significance was examined by log-rank test.</w:t>
      </w:r>
    </w:p>
    <w:p w14:paraId="6B3F763D" w14:textId="57D8F416" w:rsidR="003E4155" w:rsidRPr="00BD7455" w:rsidRDefault="00CC4DC3" w:rsidP="00BD7455">
      <w:pPr>
        <w:pStyle w:val="MDPI52figure"/>
      </w:pPr>
      <w:r w:rsidRPr="00BD7455">
        <w:drawing>
          <wp:inline distT="0" distB="0" distL="0" distR="0" wp14:anchorId="31608DD4" wp14:editId="5FBBEEF6">
            <wp:extent cx="3960000" cy="2468216"/>
            <wp:effectExtent l="0" t="0" r="2540" b="8890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2468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8CF4D" w14:textId="628F1441" w:rsidR="00CC4DC3" w:rsidRPr="00BD7455" w:rsidRDefault="00BD7455" w:rsidP="00BD7455">
      <w:pPr>
        <w:pStyle w:val="MDPI51figurecaption"/>
        <w:jc w:val="center"/>
      </w:pPr>
      <w:r w:rsidRPr="00BD7455">
        <w:rPr>
          <w:b/>
          <w:bCs/>
        </w:rPr>
        <w:t xml:space="preserve">Figure </w:t>
      </w:r>
      <w:r>
        <w:rPr>
          <w:b/>
          <w:bCs/>
        </w:rPr>
        <w:t>S</w:t>
      </w:r>
      <w:r w:rsidRPr="00BD7455">
        <w:rPr>
          <w:b/>
          <w:bCs/>
        </w:rPr>
        <w:t xml:space="preserve">6. </w:t>
      </w:r>
      <w:r w:rsidR="00CC4DC3" w:rsidRPr="00BD7455">
        <w:t>Original films of Figure 1D.</w:t>
      </w:r>
    </w:p>
    <w:p w14:paraId="02F24DF8" w14:textId="7271FF60" w:rsidR="00CC4DC3" w:rsidRPr="00BD7455" w:rsidRDefault="00CC4DC3" w:rsidP="00BD7455">
      <w:pPr>
        <w:pStyle w:val="MDPI52figure"/>
      </w:pPr>
      <w:r w:rsidRPr="00BD7455">
        <w:drawing>
          <wp:inline distT="0" distB="0" distL="0" distR="0" wp14:anchorId="61784A5B" wp14:editId="68737A71">
            <wp:extent cx="3960000" cy="2468219"/>
            <wp:effectExtent l="0" t="0" r="2540" b="8890"/>
            <wp:docPr id="7" name="図 7" descr="テキスト, 領収書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2468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EE902" w14:textId="531C34F9" w:rsidR="00CC4DC3" w:rsidRPr="00BD7455" w:rsidRDefault="00BD7455" w:rsidP="00BD7455">
      <w:pPr>
        <w:pStyle w:val="MDPI51figurecaption"/>
        <w:jc w:val="center"/>
      </w:pPr>
      <w:r w:rsidRPr="00BD7455">
        <w:rPr>
          <w:b/>
          <w:bCs/>
        </w:rPr>
        <w:t xml:space="preserve">Figure </w:t>
      </w:r>
      <w:r>
        <w:rPr>
          <w:b/>
          <w:bCs/>
        </w:rPr>
        <w:t>S</w:t>
      </w:r>
      <w:r w:rsidRPr="00BD7455">
        <w:rPr>
          <w:b/>
          <w:bCs/>
        </w:rPr>
        <w:t xml:space="preserve">7. </w:t>
      </w:r>
      <w:r w:rsidR="00CC4DC3" w:rsidRPr="00BD7455">
        <w:t>Original films of Figure 4E.</w:t>
      </w:r>
    </w:p>
    <w:p w14:paraId="23764C36" w14:textId="3AE135E3" w:rsidR="00CC4DC3" w:rsidRPr="00BD7455" w:rsidRDefault="00CC4DC3" w:rsidP="00BD7455">
      <w:pPr>
        <w:pStyle w:val="MDPI52figure"/>
      </w:pPr>
      <w:r w:rsidRPr="00BD7455">
        <w:lastRenderedPageBreak/>
        <w:drawing>
          <wp:inline distT="0" distB="0" distL="0" distR="0" wp14:anchorId="08FB445E" wp14:editId="07B0D03A">
            <wp:extent cx="5400000" cy="2200948"/>
            <wp:effectExtent l="0" t="0" r="0" b="8890"/>
            <wp:docPr id="8" name="図 8" descr="スクリーンショット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200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D2B5D" w14:textId="43E988F5" w:rsidR="00CC4DC3" w:rsidRPr="00BD7455" w:rsidRDefault="00BD7455" w:rsidP="00BD7455">
      <w:pPr>
        <w:pStyle w:val="MDPI51figurecaption"/>
        <w:jc w:val="center"/>
      </w:pPr>
      <w:r w:rsidRPr="00BD7455">
        <w:rPr>
          <w:b/>
          <w:bCs/>
        </w:rPr>
        <w:t xml:space="preserve">Figure </w:t>
      </w:r>
      <w:r>
        <w:rPr>
          <w:b/>
          <w:bCs/>
        </w:rPr>
        <w:t>S</w:t>
      </w:r>
      <w:r w:rsidRPr="00BD7455">
        <w:rPr>
          <w:b/>
          <w:bCs/>
        </w:rPr>
        <w:t xml:space="preserve">8. </w:t>
      </w:r>
      <w:r w:rsidR="00CC4DC3" w:rsidRPr="00BD7455">
        <w:t>Original films of Figure 5D.</w:t>
      </w:r>
    </w:p>
    <w:p w14:paraId="7A511CE7" w14:textId="32D50882" w:rsidR="00356684" w:rsidRDefault="00BD7455" w:rsidP="00BD7455">
      <w:pPr>
        <w:pStyle w:val="MDPI41tablecaption"/>
        <w:jc w:val="center"/>
      </w:pPr>
      <w:r w:rsidRPr="00BD7455">
        <w:rPr>
          <w:b/>
        </w:rPr>
        <w:t xml:space="preserve">Table </w:t>
      </w:r>
      <w:r>
        <w:rPr>
          <w:b/>
        </w:rPr>
        <w:t>S</w:t>
      </w:r>
      <w:r w:rsidRPr="00BD7455">
        <w:rPr>
          <w:b/>
        </w:rPr>
        <w:t>1</w:t>
      </w:r>
      <w:r>
        <w:rPr>
          <w:b/>
        </w:rPr>
        <w:t>–S</w:t>
      </w:r>
      <w:r w:rsidR="00D43F3D" w:rsidRPr="00BD7455">
        <w:rPr>
          <w:b/>
        </w:rPr>
        <w:t>5</w:t>
      </w:r>
      <w:r w:rsidR="00356684" w:rsidRPr="00BD7455">
        <w:rPr>
          <w:b/>
        </w:rPr>
        <w:t>.</w:t>
      </w:r>
      <w:r w:rsidR="00356684" w:rsidRPr="00BD7455">
        <w:t>: Please check the accompanying MS Excel.</w:t>
      </w:r>
    </w:p>
    <w:tbl>
      <w:tblPr>
        <w:tblStyle w:val="PlainTable4"/>
        <w:tblW w:w="9310" w:type="dxa"/>
        <w:jc w:val="center"/>
        <w:tblLook w:val="04A0" w:firstRow="1" w:lastRow="0" w:firstColumn="1" w:lastColumn="0" w:noHBand="0" w:noVBand="1"/>
      </w:tblPr>
      <w:tblGrid>
        <w:gridCol w:w="2161"/>
        <w:gridCol w:w="7149"/>
      </w:tblGrid>
      <w:tr w:rsidR="00BD7455" w:rsidRPr="00BD7455" w14:paraId="685A144B" w14:textId="77777777" w:rsidTr="00BD74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24933411" w14:textId="62C0A0C4" w:rsidR="00BD7455" w:rsidRPr="00BD7455" w:rsidRDefault="00BD7455" w:rsidP="00BD7455">
            <w:pPr>
              <w:pStyle w:val="MDPI41tablecaption"/>
              <w:spacing w:after="0"/>
              <w:ind w:left="-85"/>
              <w:rPr>
                <w:b w:val="0"/>
              </w:rPr>
            </w:pPr>
            <w:r w:rsidRPr="00BD7455">
              <w:rPr>
                <w:b w:val="0"/>
                <w:noProof/>
              </w:rPr>
              <w:drawing>
                <wp:inline distT="0" distB="0" distL="0" distR="0" wp14:anchorId="12E45D17" wp14:editId="69ECC192">
                  <wp:extent cx="1000800" cy="360000"/>
                  <wp:effectExtent l="0" t="0" r="0" b="254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8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49" w:type="dxa"/>
            <w:vAlign w:val="center"/>
          </w:tcPr>
          <w:p w14:paraId="3E4140A7" w14:textId="3ACAF70D" w:rsidR="00BD7455" w:rsidRPr="00BD7455" w:rsidRDefault="00BD7455" w:rsidP="00BD7455">
            <w:pPr>
              <w:pStyle w:val="MDPI41tablecaption"/>
              <w:spacing w:after="0"/>
              <w:ind w:left="-8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r w:rsidRPr="00BD7455">
              <w:rPr>
                <w:b w:val="0"/>
              </w:rPr>
              <w:t>© 2020 by the authors. Licensee MDPI, Basel, Switzerland. This article is an open access article distributed under the terms and conditions of the Creative Commons Attribution (CC BY) license (http://creativecommons.org/licenses/by/4.0/).</w:t>
            </w:r>
          </w:p>
        </w:tc>
      </w:tr>
    </w:tbl>
    <w:p w14:paraId="6829F738" w14:textId="77777777" w:rsidR="00F268D5" w:rsidRPr="00BD7455" w:rsidRDefault="00F268D5" w:rsidP="00BD7455">
      <w:pPr>
        <w:pStyle w:val="MDPI51figurecaption"/>
        <w:ind w:left="0"/>
      </w:pPr>
    </w:p>
    <w:sectPr w:rsidR="00F268D5" w:rsidRPr="00BD7455" w:rsidSect="00BD7455">
      <w:pgSz w:w="11909" w:h="16840"/>
      <w:pgMar w:top="1417" w:right="1531" w:bottom="1077" w:left="1531" w:header="1020" w:footer="850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84C31FF" w14:textId="77777777" w:rsidR="00EF00C9" w:rsidRDefault="00EF00C9" w:rsidP="00F268D5">
      <w:r>
        <w:separator/>
      </w:r>
    </w:p>
  </w:endnote>
  <w:endnote w:type="continuationSeparator" w:id="0">
    <w:p w14:paraId="44D499F0" w14:textId="77777777" w:rsidR="00EF00C9" w:rsidRDefault="00EF00C9" w:rsidP="00F268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B31B5A8" w14:textId="77777777" w:rsidR="00EF00C9" w:rsidRDefault="00EF00C9" w:rsidP="00F268D5">
      <w:r>
        <w:separator/>
      </w:r>
    </w:p>
  </w:footnote>
  <w:footnote w:type="continuationSeparator" w:id="0">
    <w:p w14:paraId="546AF492" w14:textId="77777777" w:rsidR="00EF00C9" w:rsidRDefault="00EF00C9" w:rsidP="00F268D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164816" w14:textId="77777777" w:rsidR="00F268D5" w:rsidRPr="00836BB8" w:rsidRDefault="00166F73" w:rsidP="00F268D5">
    <w:pPr>
      <w:tabs>
        <w:tab w:val="right" w:pos="8844"/>
      </w:tabs>
      <w:adjustRightInd w:val="0"/>
      <w:snapToGrid w:val="0"/>
      <w:spacing w:after="240"/>
      <w:rPr>
        <w:rFonts w:ascii="Palatino Linotype" w:hAnsi="Palatino Linotype"/>
        <w:sz w:val="16"/>
      </w:rPr>
    </w:pPr>
    <w:r>
      <w:rPr>
        <w:rFonts w:ascii="Palatino Linotype" w:hAnsi="Palatino Linotype"/>
        <w:sz w:val="16"/>
      </w:rPr>
      <w:ptab w:relativeTo="margin" w:alignment="right" w:leader="none"/>
    </w:r>
    <w:r w:rsidR="00F268D5">
      <w:rPr>
        <w:rFonts w:ascii="Palatino Linotype" w:hAnsi="Palatino Linotype"/>
        <w:sz w:val="16"/>
      </w:rPr>
      <w:t>S</w:t>
    </w:r>
    <w:r w:rsidR="00F268D5">
      <w:rPr>
        <w:rFonts w:ascii="Palatino Linotype" w:hAnsi="Palatino Linotype"/>
        <w:sz w:val="16"/>
      </w:rPr>
      <w:fldChar w:fldCharType="begin"/>
    </w:r>
    <w:r w:rsidR="00F268D5">
      <w:rPr>
        <w:rFonts w:ascii="Palatino Linotype" w:hAnsi="Palatino Linotype"/>
        <w:sz w:val="16"/>
      </w:rPr>
      <w:instrText xml:space="preserve"> PAGE   \* MERGEFORMAT </w:instrText>
    </w:r>
    <w:r w:rsidR="00F268D5">
      <w:rPr>
        <w:rFonts w:ascii="Palatino Linotype" w:hAnsi="Palatino Linotype"/>
        <w:sz w:val="16"/>
      </w:rPr>
      <w:fldChar w:fldCharType="separate"/>
    </w:r>
    <w:r w:rsidR="00427C48">
      <w:rPr>
        <w:rFonts w:ascii="Palatino Linotype" w:hAnsi="Palatino Linotype"/>
        <w:noProof/>
        <w:sz w:val="16"/>
      </w:rPr>
      <w:t>2</w:t>
    </w:r>
    <w:r w:rsidR="00F268D5">
      <w:rPr>
        <w:rFonts w:ascii="Palatino Linotype" w:hAnsi="Palatino Linotype"/>
        <w:sz w:val="16"/>
      </w:rPr>
      <w:fldChar w:fldCharType="end"/>
    </w:r>
    <w:r w:rsidR="00F268D5">
      <w:rPr>
        <w:rFonts w:ascii="Palatino Linotype" w:hAnsi="Palatino Linotype"/>
        <w:sz w:val="16"/>
      </w:rPr>
      <w:t xml:space="preserve"> of S</w:t>
    </w:r>
    <w:r w:rsidR="00F268D5">
      <w:rPr>
        <w:rFonts w:ascii="Palatino Linotype" w:hAnsi="Palatino Linotype"/>
        <w:sz w:val="16"/>
      </w:rPr>
      <w:fldChar w:fldCharType="begin"/>
    </w:r>
    <w:r w:rsidR="00F268D5">
      <w:rPr>
        <w:rFonts w:ascii="Palatino Linotype" w:hAnsi="Palatino Linotype"/>
        <w:sz w:val="16"/>
      </w:rPr>
      <w:instrText xml:space="preserve"> NUMPAGES   \* MERGEFORMAT </w:instrText>
    </w:r>
    <w:r w:rsidR="00F268D5">
      <w:rPr>
        <w:rFonts w:ascii="Palatino Linotype" w:hAnsi="Palatino Linotype"/>
        <w:sz w:val="16"/>
      </w:rPr>
      <w:fldChar w:fldCharType="separate"/>
    </w:r>
    <w:r w:rsidR="00427C48">
      <w:rPr>
        <w:rFonts w:ascii="Palatino Linotype" w:hAnsi="Palatino Linotype"/>
        <w:noProof/>
        <w:sz w:val="16"/>
      </w:rPr>
      <w:t>5</w:t>
    </w:r>
    <w:r w:rsidR="00F268D5">
      <w:rPr>
        <w:rFonts w:ascii="Palatino Linotype" w:hAnsi="Palatino Linotype"/>
        <w:sz w:val="16"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C55FE5" w14:textId="77777777" w:rsidR="00F268D5" w:rsidRPr="00836BB8" w:rsidRDefault="00F268D5" w:rsidP="00F268D5">
    <w:pPr>
      <w:tabs>
        <w:tab w:val="right" w:pos="8844"/>
      </w:tabs>
      <w:adjustRightInd w:val="0"/>
      <w:snapToGrid w:val="0"/>
      <w:spacing w:after="240"/>
      <w:rPr>
        <w:rFonts w:ascii="Palatino Linotype" w:hAnsi="Palatino Linotype"/>
        <w:sz w:val="16"/>
      </w:rPr>
    </w:pPr>
    <w:r>
      <w:rPr>
        <w:rFonts w:ascii="Palatino Linotype" w:hAnsi="Palatino Linotype"/>
        <w:sz w:val="16"/>
      </w:rPr>
      <w:tab/>
      <w:t>S</w:t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PAGE   \* MERGEFORMAT </w:instrText>
    </w:r>
    <w:r>
      <w:rPr>
        <w:rFonts w:ascii="Palatino Linotype" w:hAnsi="Palatino Linotype"/>
        <w:sz w:val="16"/>
      </w:rPr>
      <w:fldChar w:fldCharType="separate"/>
    </w:r>
    <w:r w:rsidR="00166F73">
      <w:rPr>
        <w:rFonts w:ascii="Palatino Linotype" w:hAnsi="Palatino Linotype"/>
        <w:noProof/>
        <w:sz w:val="16"/>
      </w:rPr>
      <w:t>1</w:t>
    </w:r>
    <w:r>
      <w:rPr>
        <w:rFonts w:ascii="Palatino Linotype" w:hAnsi="Palatino Linotype"/>
        <w:sz w:val="16"/>
      </w:rPr>
      <w:fldChar w:fldCharType="end"/>
    </w:r>
    <w:r>
      <w:rPr>
        <w:rFonts w:ascii="Palatino Linotype" w:hAnsi="Palatino Linotype"/>
        <w:sz w:val="16"/>
      </w:rPr>
      <w:t xml:space="preserve"> of S</w:t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NUMPAGES   \* MERGEFORMAT </w:instrText>
    </w:r>
    <w:r>
      <w:rPr>
        <w:rFonts w:ascii="Palatino Linotype" w:hAnsi="Palatino Linotype"/>
        <w:sz w:val="16"/>
      </w:rPr>
      <w:fldChar w:fldCharType="separate"/>
    </w:r>
    <w:r w:rsidR="00166F73">
      <w:rPr>
        <w:rFonts w:ascii="Palatino Linotype" w:hAnsi="Palatino Linotype"/>
        <w:noProof/>
        <w:sz w:val="16"/>
      </w:rPr>
      <w:t>8</w:t>
    </w:r>
    <w:r>
      <w:rPr>
        <w:rFonts w:ascii="Palatino Linotype" w:hAnsi="Palatino Linotype"/>
        <w:sz w:val="16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50A245F"/>
    <w:multiLevelType w:val="hybridMultilevel"/>
    <w:tmpl w:val="1C3A3F0C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05051C"/>
    <w:multiLevelType w:val="hybridMultilevel"/>
    <w:tmpl w:val="857682CE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369A6535"/>
    <w:multiLevelType w:val="hybridMultilevel"/>
    <w:tmpl w:val="781408B4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1"/>
  </w:num>
  <w:num w:numId="5">
    <w:abstractNumId w:val="2"/>
  </w:num>
  <w:num w:numId="6">
    <w:abstractNumId w:val="0"/>
  </w:num>
  <w:num w:numId="7">
    <w:abstractNumId w:val="1"/>
  </w:num>
  <w:num w:numId="8">
    <w:abstractNumId w:val="2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bordersDoNotSurroundHeader/>
  <w:bordersDoNotSurroundFooter/>
  <w:proofState w:spelling="clean" w:grammar="clean"/>
  <w:defaultTabStop w:val="96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132"/>
    <w:rsid w:val="00113441"/>
    <w:rsid w:val="00117DD7"/>
    <w:rsid w:val="00166F73"/>
    <w:rsid w:val="001D26C0"/>
    <w:rsid w:val="002A156B"/>
    <w:rsid w:val="00356684"/>
    <w:rsid w:val="003B1C43"/>
    <w:rsid w:val="003D3B76"/>
    <w:rsid w:val="003E4155"/>
    <w:rsid w:val="003E493C"/>
    <w:rsid w:val="00427C48"/>
    <w:rsid w:val="00504132"/>
    <w:rsid w:val="00726789"/>
    <w:rsid w:val="008337CE"/>
    <w:rsid w:val="0083798E"/>
    <w:rsid w:val="008A2A6D"/>
    <w:rsid w:val="008F1151"/>
    <w:rsid w:val="00991CBA"/>
    <w:rsid w:val="00A40121"/>
    <w:rsid w:val="00AB553E"/>
    <w:rsid w:val="00B02E3B"/>
    <w:rsid w:val="00B22221"/>
    <w:rsid w:val="00B95FF5"/>
    <w:rsid w:val="00BD7455"/>
    <w:rsid w:val="00C8091A"/>
    <w:rsid w:val="00CC4DC3"/>
    <w:rsid w:val="00CD1275"/>
    <w:rsid w:val="00D26BF7"/>
    <w:rsid w:val="00D43F3D"/>
    <w:rsid w:val="00EF00C9"/>
    <w:rsid w:val="00F11CC8"/>
    <w:rsid w:val="00F14B41"/>
    <w:rsid w:val="00F268D5"/>
    <w:rsid w:val="00F57144"/>
    <w:rsid w:val="00FB57C1"/>
    <w:rsid w:val="00FD0F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60D49F1C"/>
  <w14:defaultImageDpi w14:val="32767"/>
  <w15:chartTrackingRefBased/>
  <w15:docId w15:val="{F760F558-9FA8-DF4A-A41E-4405DA3AFF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268D5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268D5"/>
  </w:style>
  <w:style w:type="paragraph" w:styleId="Footer">
    <w:name w:val="footer"/>
    <w:basedOn w:val="Normal"/>
    <w:link w:val="FooterChar"/>
    <w:uiPriority w:val="99"/>
    <w:unhideWhenUsed/>
    <w:rsid w:val="00F268D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268D5"/>
  </w:style>
  <w:style w:type="paragraph" w:customStyle="1" w:styleId="MDPI11articletype">
    <w:name w:val="MDPI_1.1_article_type"/>
    <w:next w:val="MDPI12title"/>
    <w:qFormat/>
    <w:rsid w:val="00BD7455"/>
    <w:pPr>
      <w:adjustRightInd w:val="0"/>
      <w:snapToGrid w:val="0"/>
      <w:spacing w:before="240"/>
    </w:pPr>
    <w:rPr>
      <w:rFonts w:ascii="Palatino Linotype" w:eastAsia="Times New Roman" w:hAnsi="Palatino Linotype" w:cs="Times New Roman"/>
      <w:i/>
      <w:snapToGrid w:val="0"/>
      <w:color w:val="000000"/>
      <w:kern w:val="0"/>
      <w:sz w:val="20"/>
      <w:szCs w:val="22"/>
      <w:lang w:eastAsia="de-DE" w:bidi="en-US"/>
    </w:rPr>
  </w:style>
  <w:style w:type="paragraph" w:customStyle="1" w:styleId="MDPI12title">
    <w:name w:val="MDPI_1.2_title"/>
    <w:next w:val="MDPI13authornames"/>
    <w:qFormat/>
    <w:rsid w:val="00BD7455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MDPI13authornames">
    <w:name w:val="MDPI_1.3_authornames"/>
    <w:next w:val="MDPI14history"/>
    <w:qFormat/>
    <w:rsid w:val="00BD7455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kern w:val="0"/>
      <w:sz w:val="20"/>
      <w:szCs w:val="22"/>
      <w:lang w:eastAsia="de-DE" w:bidi="en-US"/>
    </w:rPr>
  </w:style>
  <w:style w:type="paragraph" w:customStyle="1" w:styleId="MDPI14history">
    <w:name w:val="MDPI_1.4_history"/>
    <w:basedOn w:val="MDPI62Acknowledgments"/>
    <w:next w:val="MDPI15academiceditor"/>
    <w:qFormat/>
    <w:rsid w:val="00BD7455"/>
    <w:pPr>
      <w:ind w:left="113"/>
      <w:jc w:val="left"/>
    </w:pPr>
    <w:rPr>
      <w:snapToGrid/>
    </w:rPr>
  </w:style>
  <w:style w:type="paragraph" w:customStyle="1" w:styleId="MDPI15academiceditor">
    <w:name w:val="MDPI_1.5_academic_editor"/>
    <w:qFormat/>
    <w:rsid w:val="00BD7455"/>
    <w:pPr>
      <w:adjustRightInd w:val="0"/>
      <w:snapToGrid w:val="0"/>
      <w:spacing w:line="260" w:lineRule="atLeast"/>
      <w:ind w:left="113"/>
    </w:pPr>
    <w:rPr>
      <w:rFonts w:ascii="Palatino Linotype" w:eastAsia="Times New Roman" w:hAnsi="Palatino Linotype" w:cs="Times New Roman"/>
      <w:color w:val="000000"/>
      <w:kern w:val="0"/>
      <w:sz w:val="18"/>
      <w:szCs w:val="22"/>
      <w:lang w:eastAsia="de-DE" w:bidi="en-US"/>
    </w:rPr>
  </w:style>
  <w:style w:type="paragraph" w:customStyle="1" w:styleId="MDPI16affiliation">
    <w:name w:val="MDPI_1.6_affiliation"/>
    <w:qFormat/>
    <w:rsid w:val="00BD7455"/>
    <w:pPr>
      <w:adjustRightInd w:val="0"/>
      <w:snapToGrid w:val="0"/>
      <w:spacing w:line="260" w:lineRule="atLeast"/>
      <w:ind w:left="311" w:hanging="198"/>
    </w:pPr>
    <w:rPr>
      <w:rFonts w:ascii="Palatino Linotype" w:eastAsia="Times New Roman" w:hAnsi="Palatino Linotype" w:cs="Times New Roman"/>
      <w:color w:val="000000"/>
      <w:kern w:val="0"/>
      <w:sz w:val="18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BD7455"/>
    <w:pPr>
      <w:adjustRightInd w:val="0"/>
      <w:snapToGrid w:val="0"/>
      <w:spacing w:before="240" w:line="260" w:lineRule="atLeast"/>
      <w:ind w:left="113"/>
      <w:jc w:val="both"/>
    </w:pPr>
    <w:rPr>
      <w:rFonts w:ascii="Palatino Linotype" w:eastAsia="Times New Roman" w:hAnsi="Palatino Linotype" w:cs="Times New Roman"/>
      <w:color w:val="000000"/>
      <w:kern w:val="0"/>
      <w:sz w:val="20"/>
      <w:szCs w:val="22"/>
      <w:lang w:eastAsia="de-DE" w:bidi="en-US"/>
    </w:rPr>
  </w:style>
  <w:style w:type="paragraph" w:customStyle="1" w:styleId="MDPI18keywords">
    <w:name w:val="MDPI_1.8_keywords"/>
    <w:next w:val="MDPI19classification"/>
    <w:qFormat/>
    <w:rsid w:val="00BD7455"/>
    <w:pPr>
      <w:adjustRightInd w:val="0"/>
      <w:snapToGrid w:val="0"/>
      <w:spacing w:before="240" w:line="260" w:lineRule="atLeast"/>
      <w:ind w:left="113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2"/>
      <w:lang w:eastAsia="de-DE" w:bidi="en-US"/>
    </w:rPr>
  </w:style>
  <w:style w:type="paragraph" w:customStyle="1" w:styleId="MDPI19classification">
    <w:name w:val="MDPI_1.9_classification"/>
    <w:qFormat/>
    <w:rsid w:val="00BD7455"/>
    <w:pPr>
      <w:spacing w:before="240" w:line="260" w:lineRule="atLeast"/>
      <w:ind w:left="113"/>
      <w:jc w:val="both"/>
    </w:pPr>
    <w:rPr>
      <w:rFonts w:ascii="Palatino Linotype" w:eastAsia="Times New Roman" w:hAnsi="Palatino Linotype" w:cs="Times New Roman"/>
      <w:b/>
      <w:color w:val="000000"/>
      <w:kern w:val="0"/>
      <w:sz w:val="20"/>
      <w:szCs w:val="22"/>
      <w:lang w:eastAsia="de-DE" w:bidi="en-US"/>
    </w:rPr>
  </w:style>
  <w:style w:type="paragraph" w:customStyle="1" w:styleId="MDPI19line">
    <w:name w:val="MDPI_1.9_line"/>
    <w:qFormat/>
    <w:rsid w:val="00BD7455"/>
    <w:pPr>
      <w:pBdr>
        <w:bottom w:val="single" w:sz="6" w:space="1" w:color="auto"/>
      </w:pBdr>
      <w:spacing w:line="260" w:lineRule="atLeast"/>
      <w:jc w:val="both"/>
    </w:pPr>
    <w:rPr>
      <w:rFonts w:ascii="Palatino Linotype" w:eastAsia="Times New Roman" w:hAnsi="Palatino Linotype"/>
      <w:color w:val="000000"/>
      <w:kern w:val="0"/>
      <w:sz w:val="20"/>
      <w:lang w:eastAsia="de-DE" w:bidi="en-US"/>
    </w:rPr>
  </w:style>
  <w:style w:type="paragraph" w:customStyle="1" w:styleId="MDPI21heading1">
    <w:name w:val="MDPI_2.1_heading1"/>
    <w:qFormat/>
    <w:rsid w:val="00BD7455"/>
    <w:pPr>
      <w:adjustRightInd w:val="0"/>
      <w:snapToGrid w:val="0"/>
      <w:spacing w:before="240" w:after="120" w:line="260" w:lineRule="atLeast"/>
      <w:jc w:val="both"/>
      <w:outlineLvl w:val="0"/>
    </w:pPr>
    <w:rPr>
      <w:rFonts w:ascii="Palatino Linotype" w:eastAsia="Times New Roman" w:hAnsi="Palatino Linotype" w:cs="Times New Roman"/>
      <w:b/>
      <w:snapToGrid w:val="0"/>
      <w:color w:val="000000"/>
      <w:kern w:val="0"/>
      <w:sz w:val="20"/>
      <w:szCs w:val="22"/>
      <w:lang w:eastAsia="de-DE" w:bidi="en-US"/>
    </w:rPr>
  </w:style>
  <w:style w:type="paragraph" w:customStyle="1" w:styleId="MDPI22heading2">
    <w:name w:val="MDPI_2.2_heading2"/>
    <w:qFormat/>
    <w:rsid w:val="00BD7455"/>
    <w:pPr>
      <w:adjustRightInd w:val="0"/>
      <w:snapToGrid w:val="0"/>
      <w:spacing w:before="240" w:after="120" w:line="260" w:lineRule="atLeast"/>
      <w:outlineLvl w:val="1"/>
    </w:pPr>
    <w:rPr>
      <w:rFonts w:ascii="Palatino Linotype" w:eastAsia="Times New Roman" w:hAnsi="Palatino Linotype" w:cs="Times New Roman"/>
      <w:i/>
      <w:noProof/>
      <w:snapToGrid w:val="0"/>
      <w:color w:val="000000"/>
      <w:kern w:val="0"/>
      <w:sz w:val="20"/>
      <w:szCs w:val="22"/>
      <w:lang w:eastAsia="de-DE" w:bidi="en-US"/>
    </w:rPr>
  </w:style>
  <w:style w:type="paragraph" w:customStyle="1" w:styleId="MDPI23heading3">
    <w:name w:val="MDPI_2.3_heading3"/>
    <w:qFormat/>
    <w:rsid w:val="00BD7455"/>
    <w:pPr>
      <w:adjustRightInd w:val="0"/>
      <w:snapToGrid w:val="0"/>
      <w:spacing w:before="240" w:after="120" w:line="260" w:lineRule="atLeast"/>
      <w:outlineLvl w:val="2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2"/>
      <w:lang w:eastAsia="de-DE" w:bidi="en-US"/>
    </w:rPr>
  </w:style>
  <w:style w:type="paragraph" w:customStyle="1" w:styleId="MDPI31text">
    <w:name w:val="MDPI_3.1_text"/>
    <w:qFormat/>
    <w:rsid w:val="00BD7455"/>
    <w:pPr>
      <w:adjustRightInd w:val="0"/>
      <w:snapToGrid w:val="0"/>
      <w:spacing w:line="260" w:lineRule="atLeast"/>
      <w:ind w:firstLine="425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2"/>
      <w:lang w:eastAsia="de-DE" w:bidi="en-US"/>
    </w:rPr>
  </w:style>
  <w:style w:type="paragraph" w:customStyle="1" w:styleId="MDPI32textnoindent">
    <w:name w:val="MDPI_3.2_text_no_indent"/>
    <w:qFormat/>
    <w:rsid w:val="00BD7455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2"/>
      <w:lang w:eastAsia="de-DE" w:bidi="en-US"/>
    </w:rPr>
  </w:style>
  <w:style w:type="paragraph" w:customStyle="1" w:styleId="MDPI33textspaceafter">
    <w:name w:val="MDPI_3.3_text_space_after"/>
    <w:qFormat/>
    <w:rsid w:val="00BD7455"/>
    <w:pPr>
      <w:spacing w:after="24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2"/>
      <w:lang w:eastAsia="de-DE" w:bidi="en-US"/>
    </w:rPr>
  </w:style>
  <w:style w:type="paragraph" w:customStyle="1" w:styleId="MDPI34textspacebefore">
    <w:name w:val="MDPI_3.4_text_space_before"/>
    <w:qFormat/>
    <w:rsid w:val="00BD7455"/>
    <w:pPr>
      <w:spacing w:before="24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2"/>
      <w:lang w:eastAsia="de-DE" w:bidi="en-US"/>
    </w:rPr>
  </w:style>
  <w:style w:type="paragraph" w:customStyle="1" w:styleId="MDPI35textbeforelist">
    <w:name w:val="MDPI_3.5_text_before_list"/>
    <w:qFormat/>
    <w:rsid w:val="00BD7455"/>
    <w:pPr>
      <w:spacing w:after="12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2"/>
      <w:lang w:eastAsia="de-DE" w:bidi="en-US"/>
    </w:rPr>
  </w:style>
  <w:style w:type="paragraph" w:customStyle="1" w:styleId="MDPI36textafterlist">
    <w:name w:val="MDPI_3.6_text_after_list"/>
    <w:qFormat/>
    <w:rsid w:val="00BD7455"/>
    <w:pPr>
      <w:spacing w:before="12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2"/>
      <w:lang w:eastAsia="de-DE" w:bidi="en-US"/>
    </w:rPr>
  </w:style>
  <w:style w:type="paragraph" w:customStyle="1" w:styleId="MDPI37itemize">
    <w:name w:val="MDPI_3.7_itemize"/>
    <w:qFormat/>
    <w:rsid w:val="00BD7455"/>
    <w:pPr>
      <w:numPr>
        <w:numId w:val="7"/>
      </w:numPr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2"/>
      <w:lang w:eastAsia="de-DE" w:bidi="en-US"/>
    </w:rPr>
  </w:style>
  <w:style w:type="paragraph" w:customStyle="1" w:styleId="MDPI38bullet">
    <w:name w:val="MDPI_3.8_bullet"/>
    <w:qFormat/>
    <w:rsid w:val="00BD7455"/>
    <w:pPr>
      <w:numPr>
        <w:numId w:val="8"/>
      </w:numPr>
      <w:adjustRightInd w:val="0"/>
      <w:snapToGrid w:val="0"/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2"/>
      <w:lang w:eastAsia="de-DE" w:bidi="en-US"/>
    </w:rPr>
  </w:style>
  <w:style w:type="paragraph" w:customStyle="1" w:styleId="MDPI39equation">
    <w:name w:val="MDPI_3.9_equation"/>
    <w:qFormat/>
    <w:rsid w:val="00BD7455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2"/>
      <w:lang w:eastAsia="de-DE" w:bidi="en-US"/>
    </w:rPr>
  </w:style>
  <w:style w:type="paragraph" w:customStyle="1" w:styleId="MDPI3aequationnumber">
    <w:name w:val="MDPI_3.a_equation_number"/>
    <w:qFormat/>
    <w:rsid w:val="00BD7455"/>
    <w:pPr>
      <w:spacing w:before="120" w:after="120"/>
      <w:jc w:val="right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2"/>
      <w:lang w:eastAsia="de-DE" w:bidi="en-US"/>
    </w:rPr>
  </w:style>
  <w:style w:type="paragraph" w:customStyle="1" w:styleId="MDPI411onetablecaption">
    <w:name w:val="MDPI_4.1.1_one_table_caption"/>
    <w:qFormat/>
    <w:rsid w:val="00BD7455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color w:val="000000"/>
      <w:kern w:val="0"/>
      <w:sz w:val="18"/>
      <w:szCs w:val="22"/>
      <w:lang w:eastAsia="zh-CN" w:bidi="en-US"/>
    </w:rPr>
  </w:style>
  <w:style w:type="paragraph" w:customStyle="1" w:styleId="MDPI41tablecaption">
    <w:name w:val="MDPI_4.1_table_caption"/>
    <w:qFormat/>
    <w:rsid w:val="00BD7455"/>
    <w:pPr>
      <w:adjustRightInd w:val="0"/>
      <w:snapToGrid w:val="0"/>
      <w:spacing w:before="240" w:after="120" w:line="260" w:lineRule="atLeast"/>
      <w:ind w:left="425" w:right="425"/>
      <w:jc w:val="both"/>
    </w:pPr>
    <w:rPr>
      <w:rFonts w:ascii="Palatino Linotype" w:eastAsia="Times New Roman" w:hAnsi="Palatino Linotype"/>
      <w:color w:val="000000"/>
      <w:kern w:val="0"/>
      <w:sz w:val="18"/>
      <w:szCs w:val="22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BD7455"/>
    <w:pPr>
      <w:adjustRightInd w:val="0"/>
      <w:snapToGrid w:val="0"/>
      <w:jc w:val="center"/>
    </w:pPr>
    <w:rPr>
      <w:rFonts w:ascii="Palatino Linotype" w:hAnsi="Palatino Linotype" w:cs="Times New Roman"/>
      <w:color w:val="000000"/>
      <w:kern w:val="0"/>
      <w:sz w:val="20"/>
      <w:szCs w:val="20"/>
      <w:lang w:eastAsia="zh-CN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3tablefooter">
    <w:name w:val="MDPI_4.3_table_footer"/>
    <w:next w:val="MDPI31text"/>
    <w:qFormat/>
    <w:rsid w:val="00BD7455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color w:val="000000"/>
      <w:kern w:val="0"/>
      <w:sz w:val="18"/>
      <w:szCs w:val="22"/>
      <w:lang w:eastAsia="de-DE" w:bidi="en-US"/>
    </w:rPr>
  </w:style>
  <w:style w:type="paragraph" w:customStyle="1" w:styleId="MDPI511onefigurecaption">
    <w:name w:val="MDPI_5.1.1_one_figure_caption"/>
    <w:qFormat/>
    <w:rsid w:val="00BD7455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Times New Roman"/>
      <w:noProof/>
      <w:color w:val="000000"/>
      <w:kern w:val="0"/>
      <w:sz w:val="18"/>
      <w:szCs w:val="20"/>
      <w:lang w:eastAsia="zh-CN" w:bidi="en-US"/>
    </w:rPr>
  </w:style>
  <w:style w:type="paragraph" w:customStyle="1" w:styleId="MDPI51figurecaption">
    <w:name w:val="MDPI_5.1_figure_caption"/>
    <w:qFormat/>
    <w:rsid w:val="00BD7455"/>
    <w:pPr>
      <w:adjustRightInd w:val="0"/>
      <w:snapToGrid w:val="0"/>
      <w:spacing w:before="120" w:after="24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kern w:val="0"/>
      <w:sz w:val="18"/>
      <w:szCs w:val="20"/>
      <w:lang w:eastAsia="de-DE" w:bidi="en-US"/>
    </w:rPr>
  </w:style>
  <w:style w:type="paragraph" w:customStyle="1" w:styleId="MDPI52figure">
    <w:name w:val="MDPI_5.2_figure"/>
    <w:qFormat/>
    <w:rsid w:val="00BD7455"/>
    <w:pPr>
      <w:adjustRightInd w:val="0"/>
      <w:snapToGrid w:val="0"/>
      <w:spacing w:before="240" w:after="120" w:line="260" w:lineRule="atLeast"/>
      <w:jc w:val="center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0"/>
      <w:lang w:eastAsia="de-DE" w:bidi="en-US"/>
    </w:rPr>
  </w:style>
  <w:style w:type="paragraph" w:customStyle="1" w:styleId="MDPI61Supplementary">
    <w:name w:val="MDPI_6.1_Supplementary"/>
    <w:qFormat/>
    <w:rsid w:val="00BD7455"/>
    <w:pPr>
      <w:spacing w:before="24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en-US" w:bidi="en-US"/>
    </w:rPr>
  </w:style>
  <w:style w:type="paragraph" w:customStyle="1" w:styleId="MDPI62Acknowledgments">
    <w:name w:val="MDPI_6.2_Acknowledgments"/>
    <w:qFormat/>
    <w:rsid w:val="00BD7455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de-DE" w:bidi="en-US"/>
    </w:rPr>
  </w:style>
  <w:style w:type="paragraph" w:customStyle="1" w:styleId="MDPI63AuthorContributions">
    <w:name w:val="MDPI_6.3_AuthorContributions"/>
    <w:qFormat/>
    <w:rsid w:val="00BD7455"/>
    <w:pPr>
      <w:spacing w:line="260" w:lineRule="atLeast"/>
      <w:jc w:val="both"/>
    </w:pPr>
    <w:rPr>
      <w:rFonts w:ascii="Palatino Linotype" w:eastAsia="宋体" w:hAnsi="Palatino Linotype" w:cs="Times New Roman"/>
      <w:snapToGrid w:val="0"/>
      <w:kern w:val="0"/>
      <w:sz w:val="18"/>
      <w:szCs w:val="20"/>
      <w:lang w:eastAsia="en-US" w:bidi="en-US"/>
    </w:rPr>
  </w:style>
  <w:style w:type="paragraph" w:customStyle="1" w:styleId="MDPI64CoI">
    <w:name w:val="MDPI_6.4_CoI"/>
    <w:qFormat/>
    <w:rsid w:val="00BD7455"/>
    <w:pPr>
      <w:adjustRightInd w:val="0"/>
      <w:snapToGrid w:val="0"/>
      <w:spacing w:before="120" w:after="12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de-DE" w:bidi="en-US"/>
    </w:rPr>
  </w:style>
  <w:style w:type="paragraph" w:customStyle="1" w:styleId="MDPI71References">
    <w:name w:val="MDPI_7.1_References"/>
    <w:qFormat/>
    <w:rsid w:val="00BD7455"/>
    <w:pPr>
      <w:numPr>
        <w:numId w:val="9"/>
      </w:numPr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de-DE" w:bidi="en-US"/>
    </w:rPr>
  </w:style>
  <w:style w:type="paragraph" w:customStyle="1" w:styleId="MDPI72Copyright">
    <w:name w:val="MDPI_7.2_Copyright"/>
    <w:qFormat/>
    <w:rsid w:val="00BD7455"/>
    <w:pPr>
      <w:adjustRightInd w:val="0"/>
      <w:snapToGrid w:val="0"/>
      <w:spacing w:before="400" w:line="260" w:lineRule="atLeast"/>
      <w:jc w:val="both"/>
    </w:pPr>
    <w:rPr>
      <w:rFonts w:ascii="Palatino Linotype" w:eastAsia="Times New Roman" w:hAnsi="Palatino Linotype" w:cs="Times New Roman"/>
      <w:noProof/>
      <w:snapToGrid w:val="0"/>
      <w:color w:val="000000"/>
      <w:spacing w:val="-2"/>
      <w:kern w:val="0"/>
      <w:sz w:val="18"/>
      <w:szCs w:val="20"/>
      <w:lang w:val="en-GB" w:eastAsia="en-GB"/>
    </w:rPr>
  </w:style>
  <w:style w:type="paragraph" w:customStyle="1" w:styleId="MDPI73CopyrightImage">
    <w:name w:val="MDPI_7.3_CopyrightImage"/>
    <w:rsid w:val="00BD7455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 w:cs="Times New Roman"/>
      <w:color w:val="000000"/>
      <w:kern w:val="0"/>
      <w:sz w:val="20"/>
      <w:szCs w:val="20"/>
      <w:lang w:eastAsia="de-CH"/>
    </w:rPr>
  </w:style>
  <w:style w:type="paragraph" w:customStyle="1" w:styleId="MDPI81theorem">
    <w:name w:val="MDPI_8.1_theorem"/>
    <w:qFormat/>
    <w:rsid w:val="00BD7455"/>
    <w:pPr>
      <w:spacing w:line="260" w:lineRule="atLeast"/>
      <w:jc w:val="both"/>
    </w:pPr>
    <w:rPr>
      <w:rFonts w:ascii="Palatino Linotype" w:eastAsia="Times New Roman" w:hAnsi="Palatino Linotype" w:cs="Times New Roman"/>
      <w:i/>
      <w:snapToGrid w:val="0"/>
      <w:color w:val="000000"/>
      <w:kern w:val="0"/>
      <w:sz w:val="20"/>
      <w:szCs w:val="22"/>
      <w:lang w:eastAsia="de-DE" w:bidi="en-US"/>
    </w:rPr>
  </w:style>
  <w:style w:type="paragraph" w:customStyle="1" w:styleId="MDPI82proof">
    <w:name w:val="MDPI_8.2_proof"/>
    <w:qFormat/>
    <w:rsid w:val="00BD7455"/>
    <w:pPr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2"/>
      <w:lang w:eastAsia="de-DE" w:bidi="en-US"/>
    </w:rPr>
  </w:style>
  <w:style w:type="paragraph" w:customStyle="1" w:styleId="MDPIequationFram">
    <w:name w:val="MDPI_equationFram"/>
    <w:qFormat/>
    <w:rsid w:val="00BD7455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2"/>
      <w:lang w:eastAsia="de-DE" w:bidi="en-US"/>
    </w:rPr>
  </w:style>
  <w:style w:type="paragraph" w:customStyle="1" w:styleId="MDPIfooter">
    <w:name w:val="MDPI_footer"/>
    <w:qFormat/>
    <w:rsid w:val="00BD7455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 w:cs="Times New Roman"/>
      <w:color w:val="000000"/>
      <w:kern w:val="0"/>
      <w:sz w:val="20"/>
      <w:szCs w:val="20"/>
      <w:lang w:eastAsia="de-DE"/>
    </w:rPr>
  </w:style>
  <w:style w:type="paragraph" w:customStyle="1" w:styleId="MDPIfooterfirstpage">
    <w:name w:val="MDPI_footer_firstpage"/>
    <w:qFormat/>
    <w:rsid w:val="00BD7455"/>
    <w:pPr>
      <w:tabs>
        <w:tab w:val="right" w:pos="8845"/>
      </w:tabs>
      <w:spacing w:line="160" w:lineRule="exact"/>
    </w:pPr>
    <w:rPr>
      <w:rFonts w:ascii="Palatino Linotype" w:eastAsia="Times New Roman" w:hAnsi="Palatino Linotype" w:cs="Times New Roman"/>
      <w:color w:val="000000"/>
      <w:kern w:val="0"/>
      <w:sz w:val="16"/>
      <w:szCs w:val="20"/>
      <w:lang w:eastAsia="de-DE"/>
    </w:rPr>
  </w:style>
  <w:style w:type="paragraph" w:customStyle="1" w:styleId="MDPIheader">
    <w:name w:val="MDPI_header"/>
    <w:qFormat/>
    <w:rsid w:val="00BD7455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iCs/>
      <w:color w:val="000000"/>
      <w:kern w:val="0"/>
      <w:sz w:val="16"/>
      <w:szCs w:val="20"/>
      <w:lang w:eastAsia="de-DE"/>
    </w:rPr>
  </w:style>
  <w:style w:type="paragraph" w:customStyle="1" w:styleId="MDPIheadercitation">
    <w:name w:val="MDPI_header_citation"/>
    <w:rsid w:val="00BD7455"/>
    <w:pPr>
      <w:spacing w:after="240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de-DE" w:bidi="en-US"/>
    </w:rPr>
  </w:style>
  <w:style w:type="paragraph" w:customStyle="1" w:styleId="MDPIheaderjournallogo">
    <w:name w:val="MDPI_header_journal_logo"/>
    <w:qFormat/>
    <w:rsid w:val="00BD7455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 w:cs="Times New Roman"/>
      <w:i/>
      <w:color w:val="000000"/>
      <w:kern w:val="0"/>
      <w:szCs w:val="22"/>
      <w:lang w:eastAsia="de-CH"/>
    </w:rPr>
  </w:style>
  <w:style w:type="paragraph" w:customStyle="1" w:styleId="MDPIheadermdpilogo">
    <w:name w:val="MDPI_header_mdpi_logo"/>
    <w:qFormat/>
    <w:rsid w:val="00BD7455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 w:cs="Times New Roman"/>
      <w:color w:val="000000"/>
      <w:kern w:val="0"/>
      <w:szCs w:val="22"/>
      <w:lang w:eastAsia="de-CH"/>
    </w:rPr>
  </w:style>
  <w:style w:type="paragraph" w:customStyle="1" w:styleId="MDPItext">
    <w:name w:val="MDPI_text"/>
    <w:qFormat/>
    <w:rsid w:val="00BD7455"/>
    <w:pPr>
      <w:spacing w:line="260" w:lineRule="atLeast"/>
      <w:ind w:left="425" w:right="425" w:firstLine="284"/>
      <w:jc w:val="both"/>
    </w:pPr>
    <w:rPr>
      <w:rFonts w:ascii="Times New Roman" w:eastAsia="Times New Roman" w:hAnsi="Times New Roman" w:cs="Times New Roman"/>
      <w:noProof/>
      <w:snapToGrid w:val="0"/>
      <w:color w:val="000000"/>
      <w:kern w:val="0"/>
      <w:sz w:val="22"/>
      <w:szCs w:val="22"/>
      <w:lang w:eastAsia="de-DE" w:bidi="en-US"/>
    </w:rPr>
  </w:style>
  <w:style w:type="paragraph" w:customStyle="1" w:styleId="MDPItitle">
    <w:name w:val="MDPI_title"/>
    <w:qFormat/>
    <w:rsid w:val="00BD7455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b/>
      <w:snapToGrid w:val="0"/>
      <w:color w:val="000000"/>
      <w:kern w:val="0"/>
      <w:sz w:val="36"/>
      <w:szCs w:val="20"/>
      <w:lang w:eastAsia="de-DE" w:bidi="en-US"/>
    </w:rPr>
  </w:style>
  <w:style w:type="character" w:styleId="LineNumber">
    <w:name w:val="line number"/>
    <w:basedOn w:val="DefaultParagraphFont"/>
    <w:uiPriority w:val="99"/>
    <w:semiHidden/>
    <w:unhideWhenUsed/>
    <w:rsid w:val="00F268D5"/>
  </w:style>
  <w:style w:type="table" w:styleId="TableGridLight">
    <w:name w:val="Grid Table Light"/>
    <w:basedOn w:val="TableNormal"/>
    <w:uiPriority w:val="40"/>
    <w:rsid w:val="00F268D5"/>
    <w:rPr>
      <w:sz w:val="21"/>
    </w:rPr>
    <w:tblPr>
      <w:tblBorders>
        <w:top w:val="single" w:sz="4" w:space="0" w:color="7BCB85" w:themeColor="background1" w:themeShade="BF"/>
        <w:left w:val="single" w:sz="4" w:space="0" w:color="7BCB85" w:themeColor="background1" w:themeShade="BF"/>
        <w:bottom w:val="single" w:sz="4" w:space="0" w:color="7BCB85" w:themeColor="background1" w:themeShade="BF"/>
        <w:right w:val="single" w:sz="4" w:space="0" w:color="7BCB85" w:themeColor="background1" w:themeShade="BF"/>
        <w:insideH w:val="single" w:sz="4" w:space="0" w:color="7BCB85" w:themeColor="background1" w:themeShade="BF"/>
        <w:insideV w:val="single" w:sz="4" w:space="0" w:color="7BCB85" w:themeColor="background1" w:themeShade="BF"/>
      </w:tblBorders>
    </w:tblPr>
  </w:style>
  <w:style w:type="table" w:styleId="PlainTable2">
    <w:name w:val="Plain Table 2"/>
    <w:basedOn w:val="TableNormal"/>
    <w:uiPriority w:val="42"/>
    <w:rsid w:val="00356684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eGrid">
    <w:name w:val="Table Grid"/>
    <w:basedOn w:val="TableNormal"/>
    <w:uiPriority w:val="39"/>
    <w:rsid w:val="0035668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35668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AE3BF" w:themeFill="background1" w:themeFillShade="F2"/>
      </w:tcPr>
    </w:tblStylePr>
    <w:tblStylePr w:type="band1Horz">
      <w:tblPr/>
      <w:tcPr>
        <w:shd w:val="clear" w:color="auto" w:fill="BAE3BF" w:themeFill="background1" w:themeFillShade="F2"/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113441"/>
    <w:rPr>
      <w:rFonts w:ascii="MS Mincho" w:eastAsia="MS Mincho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13441"/>
    <w:rPr>
      <w:rFonts w:ascii="MS Mincho" w:eastAsia="MS Mincho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166F7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66F7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66F7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66F7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66F73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tif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image" Target="media/image4.tiff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tif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tiff"/><Relationship Id="rId5" Type="http://schemas.openxmlformats.org/officeDocument/2006/relationships/footnotes" Target="footnotes.xml"/><Relationship Id="rId15" Type="http://schemas.openxmlformats.org/officeDocument/2006/relationships/image" Target="media/image7.tiff"/><Relationship Id="rId10" Type="http://schemas.openxmlformats.org/officeDocument/2006/relationships/image" Target="media/image2.tif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6.tiff"/></Relationships>
</file>

<file path=word/theme/theme1.xml><?xml version="1.0" encoding="utf-8"?>
<a:theme xmlns:a="http://schemas.openxmlformats.org/drawingml/2006/main" name="ホワイト">
  <a:themeElements>
    <a:clrScheme name="Office">
      <a:dk1>
        <a:sysClr val="windowText" lastClr="000000"/>
      </a:dk1>
      <a:lt1>
        <a:sysClr val="window" lastClr="CAEACE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Yu Gothic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Yu Mincho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6</Pages>
  <Words>434</Words>
  <Characters>2493</Characters>
  <Application>Microsoft Office Word</Application>
  <DocSecurity>0</DocSecurity>
  <Lines>48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>Supplementary Materials_x000d_Cooperation between SS18-SSX1 and miR-</vt:lpstr>
      <vt:lpstr/>
    </vt:vector>
  </TitlesOfParts>
  <Company/>
  <LinksUpToDate>false</LinksUpToDate>
  <CharactersWithSpaces>2912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Supplementary Materials_x000d_Cooperation between SS18-SSX1 and miR-</dc:title>
  <dc:subject/>
  <dc:creator>MDPI</dc:creator>
  <cp:keywords/>
  <dc:description/>
  <cp:lastModifiedBy>mdpi</cp:lastModifiedBy>
  <cp:revision>3</cp:revision>
  <cp:lastPrinted>2020-01-16T02:42:00Z</cp:lastPrinted>
  <dcterms:created xsi:type="dcterms:W3CDTF">2020-01-28T00:36:00Z</dcterms:created>
  <dcterms:modified xsi:type="dcterms:W3CDTF">2020-01-30T09:42:00Z</dcterms:modified>
</cp:coreProperties>
</file>