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C0C048" w14:textId="0DA76233" w:rsidR="00702402" w:rsidRDefault="00702402" w:rsidP="00702402">
      <w:pPr>
        <w:pStyle w:val="MDPI11articletype"/>
        <w:rPr>
          <w:noProof/>
          <w:snapToGrid/>
        </w:rPr>
      </w:pPr>
      <w:r>
        <w:rPr>
          <w:noProof/>
          <w:snapToGrid/>
        </w:rPr>
        <w:t>Supplementary Material</w:t>
      </w:r>
    </w:p>
    <w:p w14:paraId="652D8A54" w14:textId="299E8BE6" w:rsidR="00702402" w:rsidRDefault="00D159EC" w:rsidP="00765776">
      <w:pPr>
        <w:pStyle w:val="MDPI52figure"/>
        <w:rPr>
          <w:rFonts w:eastAsia="Calibri"/>
          <w:noProof/>
          <w:lang w:val="fr-FR"/>
        </w:rPr>
      </w:pPr>
      <w:r>
        <w:rPr>
          <w:rFonts w:eastAsia="Calibri"/>
          <w:noProof/>
          <w:snapToGrid/>
          <w:lang w:val="fr-FR"/>
        </w:rPr>
        <w:pict w14:anchorId="615E9D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15pt;height:266.75pt">
            <v:imagedata r:id="rId7" o:title="Supplementary Fig" croptop="4072f" cropbottom="8726f" cropleft="6542f"/>
          </v:shape>
        </w:pict>
      </w:r>
    </w:p>
    <w:p w14:paraId="2D4D2B54" w14:textId="6EBDDAAD" w:rsidR="00765776" w:rsidRDefault="00152023" w:rsidP="00702402">
      <w:pPr>
        <w:pStyle w:val="MDPI51figurecaption"/>
      </w:pPr>
      <w:r w:rsidRPr="00765776">
        <w:rPr>
          <w:b/>
        </w:rPr>
        <w:t xml:space="preserve">Figure S1. </w:t>
      </w:r>
      <w:r w:rsidRPr="00765776">
        <w:t>Comparative</w:t>
      </w:r>
      <w:r w:rsidRPr="001725E8">
        <w:t xml:space="preserve"> proteomic abundances of </w:t>
      </w:r>
      <w:r w:rsidRPr="00765776">
        <w:t>EMT</w:t>
      </w:r>
      <w:r w:rsidR="00765776">
        <w:t xml:space="preserve"> (</w:t>
      </w:r>
      <w:r w:rsidR="00765776" w:rsidRPr="00765776">
        <w:t>epithelial-to-mesenchymal transition</w:t>
      </w:r>
      <w:r w:rsidR="00765776">
        <w:t>)</w:t>
      </w:r>
      <w:r w:rsidRPr="001725E8">
        <w:t xml:space="preserve"> markers in the different groups and subgroups of rat mesothelial cell lines, described in Table 1. When </w:t>
      </w:r>
      <w:r w:rsidRPr="0028298E">
        <w:rPr>
          <w:i/>
          <w:iCs/>
        </w:rPr>
        <w:t>p</w:t>
      </w:r>
      <w:r w:rsidRPr="001725E8">
        <w:t xml:space="preserve"> &lt; 0.05 was observed, values are indicated at the top of the bars. CO3A1, Collagen alpha-1 (III) chain; FINC, Fibronectin; VIME, Vimentin. Corresponding genes are indicated below in italics.</w:t>
      </w:r>
    </w:p>
    <w:p w14:paraId="790022C8" w14:textId="2B478A77" w:rsidR="00765776" w:rsidRDefault="00004062" w:rsidP="0038187B">
      <w:pPr>
        <w:pStyle w:val="MDPI52figure"/>
      </w:pPr>
      <w:r>
        <w:rPr>
          <w:rFonts w:ascii="Times New Roman" w:eastAsia="Calibri" w:hAnsi="Times New Roman"/>
          <w:noProof/>
          <w:snapToGrid/>
          <w:color w:val="auto"/>
          <w:szCs w:val="24"/>
          <w:lang w:val="fr-FR" w:eastAsia="fr-FR" w:bidi="ar-SA"/>
        </w:rPr>
        <w:br w:type="page"/>
      </w:r>
      <w:r w:rsidR="000D3398">
        <w:rPr>
          <w:rFonts w:ascii="Times New Roman" w:eastAsia="Calibri" w:hAnsi="Times New Roman"/>
          <w:noProof/>
          <w:snapToGrid/>
          <w:color w:val="auto"/>
          <w:szCs w:val="24"/>
          <w:lang w:val="fr-FR" w:eastAsia="fr-FR" w:bidi="ar-SA"/>
        </w:rPr>
        <w:lastRenderedPageBreak/>
        <w:pict w14:anchorId="4F9B589A">
          <v:shape id="_x0000_i1026" type="#_x0000_t75" style="width:441.65pt;height:362.4pt">
            <v:imagedata r:id="rId8" o:title="Supplementary Fig"/>
          </v:shape>
        </w:pict>
      </w:r>
    </w:p>
    <w:p w14:paraId="2EF5D4DD" w14:textId="128EC658" w:rsidR="00152023" w:rsidRDefault="00152023" w:rsidP="0038187B">
      <w:pPr>
        <w:pStyle w:val="MDPI51figurecaption"/>
      </w:pPr>
      <w:r w:rsidRPr="00EE44C8">
        <w:rPr>
          <w:b/>
        </w:rPr>
        <w:t xml:space="preserve">Figure S2: </w:t>
      </w:r>
      <w:r w:rsidRPr="00EE44C8">
        <w:rPr>
          <w:bCs/>
        </w:rPr>
        <w:t>Evolution of proteomic abundances for the 12 additional major candidate biomarkers (complement to S100A4 shown in Fig</w:t>
      </w:r>
      <w:r w:rsidR="0038187B">
        <w:rPr>
          <w:bCs/>
        </w:rPr>
        <w:t xml:space="preserve">ure </w:t>
      </w:r>
      <w:r w:rsidRPr="001725E8">
        <w:t>1</w:t>
      </w:r>
      <w:r w:rsidR="0038187B">
        <w:t>(</w:t>
      </w:r>
      <w:r w:rsidRPr="001725E8">
        <w:t xml:space="preserve">C). Significant increases in red and decreases in blue, with </w:t>
      </w:r>
      <w:r w:rsidRPr="001365DF">
        <w:rPr>
          <w:i/>
          <w:iCs/>
        </w:rPr>
        <w:t>p</w:t>
      </w:r>
      <w:r w:rsidRPr="001725E8">
        <w:t xml:space="preserve"> values: Left, comparison between the different subgroups and groups of preneoplastic and neoplastic cell lines (in vitro); middle, comparison between invasive and non-invasive neoplastic cell lines (in vitro); right, comparison between invasive and non-invasive MM</w:t>
      </w:r>
      <w:r w:rsidR="001144FD">
        <w:t xml:space="preserve"> (</w:t>
      </w:r>
      <w:r w:rsidR="001144FD" w:rsidRPr="001144FD">
        <w:t>malignant mesothelioma</w:t>
      </w:r>
      <w:r w:rsidR="001144FD">
        <w:t>)</w:t>
      </w:r>
      <w:r w:rsidRPr="001725E8">
        <w:t xml:space="preserve"> tumors (in vivo). Blank bars correspond to the absence of significant differences between cell lines/tumors. Strong tendencies are indicated with lighter red/blue colors and </w:t>
      </w:r>
      <w:r w:rsidRPr="0038187B">
        <w:rPr>
          <w:i/>
          <w:iCs/>
        </w:rPr>
        <w:t>p</w:t>
      </w:r>
      <w:r w:rsidRPr="001725E8">
        <w:t xml:space="preserve"> values in italics.</w:t>
      </w:r>
    </w:p>
    <w:p w14:paraId="27F3DB75" w14:textId="7BAD240C" w:rsidR="00152023" w:rsidRDefault="000D3398" w:rsidP="003621FF">
      <w:pPr>
        <w:pStyle w:val="MDPI52figure"/>
      </w:pPr>
      <w:r>
        <w:rPr>
          <w:noProof/>
          <w:snapToGrid/>
        </w:rPr>
        <w:lastRenderedPageBreak/>
        <w:pict w14:anchorId="695D8CC3">
          <v:shape id="_x0000_i1027" type="#_x0000_t75" style="width:441.65pt;height:413.65pt">
            <v:imagedata r:id="rId9" o:title="figure s3"/>
          </v:shape>
        </w:pict>
      </w:r>
    </w:p>
    <w:p w14:paraId="6B518FD1" w14:textId="7297D32A" w:rsidR="00152023" w:rsidRDefault="00DF3C8C" w:rsidP="00DF3C8C">
      <w:pPr>
        <w:pStyle w:val="MDPI51figurecaption"/>
      </w:pPr>
      <w:r w:rsidRPr="00DF3C8C">
        <w:rPr>
          <w:b/>
        </w:rPr>
        <w:t xml:space="preserve">Figure </w:t>
      </w:r>
      <w:r w:rsidR="001365DF">
        <w:rPr>
          <w:b/>
        </w:rPr>
        <w:t>S</w:t>
      </w:r>
      <w:r w:rsidRPr="00DF3C8C">
        <w:rPr>
          <w:b/>
        </w:rPr>
        <w:t xml:space="preserve">3. </w:t>
      </w:r>
      <w:r w:rsidR="00152023" w:rsidRPr="00AD066E">
        <w:t xml:space="preserve">Sections of each human </w:t>
      </w:r>
      <w:r w:rsidR="00152023" w:rsidRPr="004B29DF">
        <w:t>MM</w:t>
      </w:r>
      <w:r w:rsidR="00004062" w:rsidRPr="004B29DF">
        <w:t xml:space="preserve"> (malignant mesothelioma)</w:t>
      </w:r>
      <w:r w:rsidR="00152023" w:rsidRPr="004B29DF">
        <w:t xml:space="preserve"> tumor histological subtype, stained with HPS</w:t>
      </w:r>
      <w:r w:rsidR="00004062" w:rsidRPr="004B29DF">
        <w:t xml:space="preserve"> (</w:t>
      </w:r>
      <w:r w:rsidR="004B29DF" w:rsidRPr="004B29DF">
        <w:t>hematoxylin-</w:t>
      </w:r>
      <w:proofErr w:type="spellStart"/>
      <w:r w:rsidR="004B29DF" w:rsidRPr="004B29DF">
        <w:t>phloxine</w:t>
      </w:r>
      <w:proofErr w:type="spellEnd"/>
      <w:r w:rsidR="004B29DF" w:rsidRPr="004B29DF">
        <w:t>-saffron</w:t>
      </w:r>
      <w:r w:rsidR="00004062">
        <w:t>)</w:t>
      </w:r>
      <w:r w:rsidR="00152023" w:rsidRPr="00AD066E">
        <w:t xml:space="preserve">.The two paraffin-embedded human MM tumor pieces were obtained from samples of the Tumor Bank of the Reims University Hospital Biological Resources, Collection n° AC-2019-340, declared at the Ministry of Health, according to the French Law for the use of tissue samples for research. </w:t>
      </w:r>
      <w:r w:rsidR="00152023" w:rsidRPr="00DF3C8C">
        <w:rPr>
          <w:b/>
          <w:bCs/>
        </w:rPr>
        <w:t>A</w:t>
      </w:r>
      <w:r w:rsidR="00152023" w:rsidRPr="00AD066E">
        <w:t xml:space="preserve">. General views of tumor samples, scale bars = 5 mm. Areas selected for proteomic analyses are indicated with opened black arrows. </w:t>
      </w:r>
      <w:r w:rsidR="00152023" w:rsidRPr="00DF3C8C">
        <w:rPr>
          <w:b/>
          <w:bCs/>
        </w:rPr>
        <w:t>B</w:t>
      </w:r>
      <w:r w:rsidR="00152023" w:rsidRPr="00AD066E">
        <w:t>. For each area of interest, two different samples were removed with a scalpel from 5 thicker (20 µm) sections, tumor cell clusters (T), and their periphery (P) (</w:t>
      </w:r>
      <w:r>
        <w:t>×</w:t>
      </w:r>
      <w:r w:rsidR="00152023" w:rsidRPr="00AD066E">
        <w:t xml:space="preserve">100, scale bars 250 µm). </w:t>
      </w:r>
      <w:r w:rsidR="00152023" w:rsidRPr="00DF3C8C">
        <w:rPr>
          <w:b/>
          <w:bCs/>
        </w:rPr>
        <w:t>C.</w:t>
      </w:r>
      <w:r w:rsidR="00152023" w:rsidRPr="00AD066E">
        <w:t xml:space="preserve"> High magnification views of tumor cell clusters (</w:t>
      </w:r>
      <w:r>
        <w:t>×</w:t>
      </w:r>
      <w:r w:rsidR="00152023" w:rsidRPr="00AD066E">
        <w:t>800, scale bars 25 µm).</w:t>
      </w:r>
    </w:p>
    <w:p w14:paraId="6814491B" w14:textId="0D9D232B" w:rsidR="00056D65" w:rsidRDefault="004B29DF" w:rsidP="00DF3C8C">
      <w:pPr>
        <w:pStyle w:val="MDPI52figure"/>
      </w:pPr>
      <w:r>
        <w:br w:type="page"/>
      </w:r>
      <w:r w:rsidR="000D3398">
        <w:rPr>
          <w:noProof/>
          <w:snapToGrid/>
        </w:rPr>
        <w:lastRenderedPageBreak/>
        <w:pict w14:anchorId="72909FDA">
          <v:shape id="_x0000_i1028" type="#_x0000_t75" style="width:441.65pt;height:576.95pt">
            <v:imagedata r:id="rId10" o:title="pixlr_20200410094025357" croptop="2076f" cropbottom="5133f"/>
          </v:shape>
        </w:pict>
      </w:r>
    </w:p>
    <w:p w14:paraId="3355A373" w14:textId="29B41B2A" w:rsidR="00152023" w:rsidRDefault="00152023" w:rsidP="00DF3C8C">
      <w:pPr>
        <w:pStyle w:val="MDPI51figurecaption"/>
      </w:pPr>
      <w:r w:rsidRPr="004B29DF">
        <w:rPr>
          <w:b/>
        </w:rPr>
        <w:t xml:space="preserve">Figure S4: </w:t>
      </w:r>
      <w:r w:rsidRPr="004B29DF">
        <w:rPr>
          <w:bCs/>
        </w:rPr>
        <w:t>Proteomic abundances of protein S-100A4 and EMT markers in human MM tumor samples (data</w:t>
      </w:r>
      <w:r w:rsidRPr="00DF3C8C">
        <w:rPr>
          <w:bCs/>
        </w:rPr>
        <w:t xml:space="preserve"> extracted from Supplementary Table S1).</w:t>
      </w:r>
      <w:r w:rsidR="00DF3C8C" w:rsidRPr="00DF3C8C">
        <w:rPr>
          <w:b/>
        </w:rPr>
        <w:t xml:space="preserve"> </w:t>
      </w:r>
      <w:r w:rsidRPr="00AD066E">
        <w:t xml:space="preserve">Comparison between epithelioid (Ep) and </w:t>
      </w:r>
      <w:proofErr w:type="spellStart"/>
      <w:r w:rsidRPr="00AD066E">
        <w:t>sarcomatoid</w:t>
      </w:r>
      <w:proofErr w:type="spellEnd"/>
      <w:r w:rsidRPr="00AD066E">
        <w:t xml:space="preserve"> subtypes for tumor (T) and periphery (P) areas, shown in Supplementary Fig</w:t>
      </w:r>
      <w:r w:rsidR="00EE1267">
        <w:t>ure</w:t>
      </w:r>
      <w:r w:rsidRPr="00AD066E">
        <w:t xml:space="preserve"> S3. When </w:t>
      </w:r>
      <w:r w:rsidRPr="00EE1267">
        <w:rPr>
          <w:i/>
          <w:iCs/>
        </w:rPr>
        <w:t>p</w:t>
      </w:r>
      <w:r w:rsidRPr="00AD066E">
        <w:t xml:space="preserve"> &lt; 0.05 was observed, values are indicated at the top of the bars. Blank bars correspond to the absence of significant differences. Variations in protein abundances for the same EMT markers in rat MM tumors are provided at the bottom of the figure for comparison, in parallel to protein S-100A4 data illustrated in Fig</w:t>
      </w:r>
      <w:r w:rsidR="00EE1267">
        <w:t>ure</w:t>
      </w:r>
      <w:r w:rsidRPr="00AD066E">
        <w:t xml:space="preserve"> 1C.</w:t>
      </w:r>
    </w:p>
    <w:p w14:paraId="776C44E5" w14:textId="6C6E7032" w:rsidR="00152023" w:rsidRDefault="000D3398" w:rsidP="00476407">
      <w:pPr>
        <w:pStyle w:val="MDPI52figure"/>
      </w:pPr>
      <w:r>
        <w:rPr>
          <w:noProof/>
          <w:snapToGrid/>
        </w:rPr>
        <w:lastRenderedPageBreak/>
        <w:pict w14:anchorId="76CD6776">
          <v:shape id="Picture 8" o:spid="_x0000_i1029" type="#_x0000_t75" style="width:429.1pt;height:225.2pt;visibility:visible;mso-wrap-style:square">
            <v:imagedata r:id="rId11" o:title="Supplementary Fig" croptop="13284f" cropbottom="11857f" cropleft="3987f" cropright="3987f"/>
          </v:shape>
        </w:pict>
      </w:r>
    </w:p>
    <w:p w14:paraId="6FFAC043" w14:textId="292EA079" w:rsidR="00152023" w:rsidRDefault="00152023" w:rsidP="00492AD2">
      <w:pPr>
        <w:pStyle w:val="MDPI51figurecaption"/>
      </w:pPr>
      <w:r w:rsidRPr="00DF1E05">
        <w:rPr>
          <w:b/>
        </w:rPr>
        <w:t xml:space="preserve">Figure S5: </w:t>
      </w:r>
      <w:r w:rsidRPr="00EE44C8">
        <w:rPr>
          <w:bCs/>
        </w:rPr>
        <w:t>Illustration of the impact of protein S-100A4 expression on survival probability for patients with renal cancer.</w:t>
      </w:r>
      <w:r w:rsidRPr="00DF1E05">
        <w:rPr>
          <w:b/>
        </w:rPr>
        <w:t xml:space="preserve"> </w:t>
      </w:r>
      <w:r w:rsidRPr="00DF1E05">
        <w:t xml:space="preserve">The human protein atlas/Pathology atlas </w:t>
      </w:r>
      <w:r w:rsidR="001144FD">
        <w:t>(</w:t>
      </w:r>
      <w:r w:rsidRPr="00DF1E05">
        <w:t>https://www.proteinatlas.org/ENSG00000196154-S100A4/pathology/renal+cancer</w:t>
      </w:r>
      <w:r w:rsidR="001144FD">
        <w:t>)</w:t>
      </w:r>
      <w:r w:rsidRPr="00DF1E05">
        <w:t>.</w:t>
      </w:r>
    </w:p>
    <w:p w14:paraId="01AEC5AD" w14:textId="1806E12F" w:rsidR="00152023" w:rsidRDefault="000D3398" w:rsidP="00492AD2">
      <w:pPr>
        <w:pStyle w:val="MDPI52figure"/>
      </w:pPr>
      <w:r>
        <w:rPr>
          <w:noProof/>
          <w:snapToGrid/>
        </w:rPr>
        <w:pict w14:anchorId="7BA22F8B">
          <v:shape id="Picture 9" o:spid="_x0000_i1030" type="#_x0000_t75" style="width:442.65pt;height:249.35pt;visibility:visible;mso-wrap-style:square">
            <v:imagedata r:id="rId12" o:title="Supplementary Fig"/>
          </v:shape>
        </w:pict>
      </w:r>
    </w:p>
    <w:p w14:paraId="08740FDD" w14:textId="02E663D1" w:rsidR="00152023" w:rsidRDefault="00492AD2" w:rsidP="00492AD2">
      <w:pPr>
        <w:pStyle w:val="MDPI51figurecaption"/>
      </w:pPr>
      <w:r w:rsidRPr="00492AD2">
        <w:rPr>
          <w:b/>
        </w:rPr>
        <w:t xml:space="preserve">Figure </w:t>
      </w:r>
      <w:r w:rsidR="00512545">
        <w:rPr>
          <w:b/>
        </w:rPr>
        <w:t>S</w:t>
      </w:r>
      <w:r w:rsidRPr="00492AD2">
        <w:rPr>
          <w:b/>
        </w:rPr>
        <w:t xml:space="preserve">6. </w:t>
      </w:r>
      <w:r w:rsidR="00152023" w:rsidRPr="00DF1E05">
        <w:t>M5-T1 rat mesothelioma tumor cells invading secondary organs and tissues. High magnification views (</w:t>
      </w:r>
      <w:r>
        <w:t>×</w:t>
      </w:r>
      <w:r w:rsidR="00152023" w:rsidRPr="00DF1E05">
        <w:t>800, the scale bars represent 25 µm). Inserts show general views (</w:t>
      </w:r>
      <w:r>
        <w:t>×</w:t>
      </w:r>
      <w:r w:rsidR="00152023" w:rsidRPr="00DF1E05">
        <w:t xml:space="preserve">25), arrows indicating the localization of magnifications, the scale bars represent 1 mm. </w:t>
      </w:r>
      <w:r w:rsidR="00152023" w:rsidRPr="00492AD2">
        <w:rPr>
          <w:b/>
          <w:bCs/>
        </w:rPr>
        <w:t>(A)</w:t>
      </w:r>
      <w:r w:rsidR="00152023" w:rsidRPr="00492AD2">
        <w:t xml:space="preserve">, </w:t>
      </w:r>
      <w:r w:rsidR="00152023" w:rsidRPr="00DF1E05">
        <w:t xml:space="preserve">Liver, asterisks (in white) show pre-apoptotic hepatocytes vicinal to tumor cells exhibiting increased eosinophilia. </w:t>
      </w:r>
      <w:r w:rsidR="00152023" w:rsidRPr="00492AD2">
        <w:rPr>
          <w:b/>
          <w:bCs/>
        </w:rPr>
        <w:t>(B)</w:t>
      </w:r>
      <w:r w:rsidR="00152023" w:rsidRPr="00DF1E05">
        <w:t xml:space="preserve">, Pancreas. </w:t>
      </w:r>
      <w:r w:rsidR="00152023" w:rsidRPr="00492AD2">
        <w:rPr>
          <w:b/>
          <w:bCs/>
        </w:rPr>
        <w:t>(C)</w:t>
      </w:r>
      <w:r w:rsidR="00152023" w:rsidRPr="00492AD2">
        <w:t>,</w:t>
      </w:r>
      <w:r w:rsidR="00152023" w:rsidRPr="00DF1E05">
        <w:t xml:space="preserve"> Kidney. </w:t>
      </w:r>
      <w:r w:rsidR="00152023" w:rsidRPr="00492AD2">
        <w:rPr>
          <w:b/>
          <w:bCs/>
        </w:rPr>
        <w:t>(D)</w:t>
      </w:r>
      <w:r w:rsidR="00152023" w:rsidRPr="00492AD2">
        <w:t xml:space="preserve">, </w:t>
      </w:r>
      <w:r w:rsidR="00152023" w:rsidRPr="00DF1E05">
        <w:t>Muscularis externa of the duodenum. The localization of clusters and isolated tumor cells are indicated with yellow arrows.</w:t>
      </w:r>
    </w:p>
    <w:p w14:paraId="679155EB" w14:textId="42FE7BE4" w:rsidR="00152023" w:rsidRDefault="000D3398" w:rsidP="00152023">
      <w:pPr>
        <w:pStyle w:val="MDPI52figure"/>
      </w:pPr>
      <w:r>
        <w:rPr>
          <w:noProof/>
          <w:snapToGrid/>
        </w:rPr>
        <w:lastRenderedPageBreak/>
        <w:pict w14:anchorId="58F09CCF">
          <v:shape id="Picture 10" o:spid="_x0000_i1031" type="#_x0000_t75" style="width:442.65pt;height:278.8pt;visibility:visible;mso-wrap-style:square">
            <v:imagedata r:id="rId13" o:title="Supplementary Fig"/>
          </v:shape>
        </w:pict>
      </w:r>
    </w:p>
    <w:p w14:paraId="282139F1" w14:textId="5B9008B0" w:rsidR="00152023" w:rsidRDefault="00152023" w:rsidP="00DD4EF5">
      <w:pPr>
        <w:pStyle w:val="MDPI51figurecaption"/>
      </w:pPr>
      <w:r w:rsidRPr="00DD4EF5">
        <w:rPr>
          <w:b/>
        </w:rPr>
        <w:t xml:space="preserve">Figure </w:t>
      </w:r>
      <w:r w:rsidR="00512545">
        <w:rPr>
          <w:b/>
        </w:rPr>
        <w:t>S</w:t>
      </w:r>
      <w:r w:rsidRPr="00DD4EF5">
        <w:rPr>
          <w:b/>
        </w:rPr>
        <w:t xml:space="preserve">7. </w:t>
      </w:r>
      <w:r w:rsidRPr="00DC0AB8">
        <w:t xml:space="preserve">Comparative abundances of additional S100 proteins detected in rat mesothelial cell lines and tumors. ** 0.01 &lt; </w:t>
      </w:r>
      <w:r w:rsidRPr="00DD4EF5">
        <w:rPr>
          <w:i/>
          <w:iCs/>
        </w:rPr>
        <w:t>p</w:t>
      </w:r>
      <w:r w:rsidRPr="00DC0AB8">
        <w:t xml:space="preserve"> &lt; 0.02, *** 0.001 &lt; </w:t>
      </w:r>
      <w:r w:rsidRPr="00DD4EF5">
        <w:rPr>
          <w:i/>
          <w:iCs/>
        </w:rPr>
        <w:t>p</w:t>
      </w:r>
      <w:r w:rsidRPr="00DC0AB8">
        <w:t xml:space="preserve"> &lt; 0.0001, **** </w:t>
      </w:r>
      <w:r w:rsidRPr="00DD4EF5">
        <w:rPr>
          <w:i/>
          <w:iCs/>
        </w:rPr>
        <w:t>p</w:t>
      </w:r>
      <w:r w:rsidRPr="00DC0AB8">
        <w:t xml:space="preserve"> &lt; 0.0001. Blank bars correspond to the absence of significant differences between cell lines/tumors.</w:t>
      </w:r>
    </w:p>
    <w:p w14:paraId="50588E65" w14:textId="17229842" w:rsidR="00152023" w:rsidRDefault="00152023" w:rsidP="00512545">
      <w:pPr>
        <w:pStyle w:val="MDPI41tablecaption"/>
      </w:pPr>
      <w:r w:rsidRPr="00512545">
        <w:rPr>
          <w:b/>
        </w:rPr>
        <w:br w:type="page"/>
      </w:r>
      <w:r w:rsidR="00512545" w:rsidRPr="00512545">
        <w:rPr>
          <w:b/>
        </w:rPr>
        <w:lastRenderedPageBreak/>
        <w:t xml:space="preserve">Table 1. </w:t>
      </w:r>
      <w:r w:rsidR="00512545" w:rsidRPr="00512545">
        <w:t xml:space="preserve">Comparative SWATH-MS analysis of human pleural malignant mesotheliomas (sarcomatoid vs epithelioid). Sample preparation followed the same procedure as described in section 4.4 for rat tumors. Spectral library generation, relative quantification, data extraction and statistical analysis were previously described </w:t>
      </w:r>
      <w:bookmarkStart w:id="0" w:name="_GoBack"/>
      <w:bookmarkEnd w:id="0"/>
      <w:r w:rsidR="00512545" w:rsidRPr="00512545">
        <w:t xml:space="preserve">in [68]. The list of data is restricted to all proteins with </w:t>
      </w:r>
      <w:r w:rsidR="00512545" w:rsidRPr="000D3398">
        <w:rPr>
          <w:i/>
          <w:iCs/>
        </w:rPr>
        <w:t>p</w:t>
      </w:r>
      <w:r w:rsidR="00512545" w:rsidRPr="00512545">
        <w:t xml:space="preserve"> &lt; 0.06 for clarity. All proteins with </w:t>
      </w:r>
      <w:r w:rsidR="00512545" w:rsidRPr="000D3398">
        <w:rPr>
          <w:i/>
          <w:iCs/>
        </w:rPr>
        <w:t>p</w:t>
      </w:r>
      <w:r w:rsidR="00512545" w:rsidRPr="00512545">
        <w:t xml:space="preserve"> &lt; 0.05 are highlighted in yellow. Sections of each tumor subtype, stained with HPS, are illustrated in Supplementary Fig</w:t>
      </w:r>
      <w:r w:rsidR="000D3398">
        <w:t>ure</w:t>
      </w:r>
      <w:r w:rsidR="00512545" w:rsidRPr="00512545">
        <w:t xml:space="preserve"> S3. Ep-MM, Sarc-MM, Sarc-Periph, and Ep-Periph correspond to areas selected for proteomic analysis and denoted with “T” (Tumor areas) and “P” (Periphery of the tumors) for each histological subtype (as shown in </w:t>
      </w:r>
      <w:r w:rsidR="000D3398">
        <w:t>S</w:t>
      </w:r>
      <w:r w:rsidR="00512545" w:rsidRPr="00512545">
        <w:t>uppl</w:t>
      </w:r>
      <w:r w:rsidR="000D3398">
        <w:t>ementary</w:t>
      </w:r>
      <w:r w:rsidR="00512545" w:rsidRPr="00512545">
        <w:t xml:space="preserve"> Fig</w:t>
      </w:r>
      <w:r w:rsidR="000D3398">
        <w:t>ure</w:t>
      </w:r>
      <w:r w:rsidR="00512545" w:rsidRPr="00512545">
        <w:t xml:space="preserve"> S3-B).</w:t>
      </w:r>
    </w:p>
    <w:p w14:paraId="2C09582F" w14:textId="6AF5CD1E" w:rsidR="00781F37" w:rsidRDefault="001144FD" w:rsidP="00781F37">
      <w:pPr>
        <w:pStyle w:val="MDPI43tablefooter"/>
        <w:ind w:left="425" w:right="425"/>
      </w:pPr>
      <w:r w:rsidRPr="002869FB">
        <w:rPr>
          <w:sz w:val="16"/>
          <w:szCs w:val="16"/>
        </w:rPr>
        <w:object w:dxaOrig="10758" w:dyaOrig="14422" w14:anchorId="7D9C2B4B">
          <v:shape id="_x0000_i1032" type="#_x0000_t75" style="width:424.25pt;height:707.9pt" o:ole="">
            <v:imagedata r:id="rId14" o:title=""/>
          </v:shape>
          <o:OLEObject Type="Embed" ProgID="Excel.Sheet.12" ShapeID="_x0000_i1032" DrawAspect="Content" ObjectID="_1648023346" r:id="rId15"/>
        </w:object>
      </w:r>
      <w:r w:rsidRPr="002869FB">
        <w:rPr>
          <w:sz w:val="16"/>
          <w:szCs w:val="16"/>
        </w:rPr>
        <w:object w:dxaOrig="10758" w:dyaOrig="14422" w14:anchorId="6B35CDD6">
          <v:shape id="_x0000_i1033" type="#_x0000_t75" style="width:423.3pt;height:711.8pt" o:ole="">
            <v:imagedata r:id="rId16" o:title=""/>
          </v:shape>
          <o:OLEObject Type="Embed" ProgID="Excel.Sheet.12" ShapeID="_x0000_i1033" DrawAspect="Content" ObjectID="_1648023347" r:id="rId17"/>
        </w:object>
      </w:r>
      <w:r w:rsidRPr="002869FB">
        <w:rPr>
          <w:sz w:val="16"/>
          <w:szCs w:val="16"/>
        </w:rPr>
        <w:object w:dxaOrig="10758" w:dyaOrig="14998" w14:anchorId="0A2672AC">
          <v:shape id="_x0000_i1034" type="#_x0000_t75" style="width:424.25pt;height:716.15pt" o:ole="">
            <v:imagedata r:id="rId18" o:title=""/>
          </v:shape>
          <o:OLEObject Type="Embed" ProgID="Excel.Sheet.12" ShapeID="_x0000_i1034" DrawAspect="Content" ObjectID="_1648023348" r:id="rId19"/>
        </w:object>
      </w:r>
      <w:r w:rsidRPr="008D2687">
        <w:object w:dxaOrig="10758" w:dyaOrig="14710" w14:anchorId="0009E191">
          <v:shape id="_x0000_i1035" type="#_x0000_t75" style="width:426.2pt;height:714.7pt" o:ole="">
            <v:imagedata r:id="rId20" o:title=""/>
          </v:shape>
          <o:OLEObject Type="Embed" ProgID="Excel.Sheet.12" ShapeID="_x0000_i1035" DrawAspect="Content" ObjectID="_1648023349" r:id="rId21"/>
        </w:object>
      </w:r>
      <w:r w:rsidRPr="00305687">
        <w:object w:dxaOrig="10758" w:dyaOrig="14710" w14:anchorId="161F2A2E">
          <v:shape id="_x0000_i1036" type="#_x0000_t75" style="width:422.35pt;height:714.2pt" o:ole="">
            <v:imagedata r:id="rId22" o:title=""/>
          </v:shape>
          <o:OLEObject Type="Embed" ProgID="Excel.Sheet.12" ShapeID="_x0000_i1036" DrawAspect="Content" ObjectID="_1648023350" r:id="rId23"/>
        </w:object>
      </w:r>
      <w:r w:rsidRPr="00CB7E19">
        <w:object w:dxaOrig="10758" w:dyaOrig="14710" w14:anchorId="44A1EA86">
          <v:shape id="_x0000_i1037" type="#_x0000_t75" style="width:426.2pt;height:714.7pt" o:ole="">
            <v:imagedata r:id="rId24" o:title=""/>
          </v:shape>
          <o:OLEObject Type="Embed" ProgID="Excel.Sheet.12" ShapeID="_x0000_i1037" DrawAspect="Content" ObjectID="_1648023351" r:id="rId25"/>
        </w:object>
      </w:r>
      <w:r w:rsidRPr="001F3766">
        <w:object w:dxaOrig="10758" w:dyaOrig="14710" w14:anchorId="12AEE693">
          <v:shape id="_x0000_i1038" type="#_x0000_t75" style="width:423.3pt;height:714.2pt" o:ole="">
            <v:imagedata r:id="rId26" o:title=""/>
          </v:shape>
          <o:OLEObject Type="Embed" ProgID="Excel.Sheet.12" ShapeID="_x0000_i1038" DrawAspect="Content" ObjectID="_1648023352" r:id="rId27"/>
        </w:object>
      </w:r>
      <w:r w:rsidRPr="00A73B30">
        <w:object w:dxaOrig="10758" w:dyaOrig="14710" w14:anchorId="5AD05923">
          <v:shape id="_x0000_i1039" type="#_x0000_t75" style="width:426.2pt;height:714.2pt" o:ole="">
            <v:imagedata r:id="rId28" o:title=""/>
          </v:shape>
          <o:OLEObject Type="Embed" ProgID="Excel.Sheet.12" ShapeID="_x0000_i1039" DrawAspect="Content" ObjectID="_1648023353" r:id="rId29"/>
        </w:object>
      </w:r>
      <w:r w:rsidRPr="00E0396B">
        <w:object w:dxaOrig="10758" w:dyaOrig="11254" w14:anchorId="05F8755A">
          <v:shape id="_x0000_i1040" type="#_x0000_t75" style="width:422.35pt;height:533pt" o:ole="">
            <v:imagedata r:id="rId30" o:title=""/>
          </v:shape>
          <o:OLEObject Type="Embed" ProgID="Excel.Sheet.12" ShapeID="_x0000_i1040" DrawAspect="Content" ObjectID="_1648023354" r:id="rId31"/>
        </w:object>
      </w:r>
      <w:r w:rsidR="00781F37" w:rsidRPr="00781F37">
        <w:t xml:space="preserve">(1): </w:t>
      </w:r>
      <w:proofErr w:type="spellStart"/>
      <w:r w:rsidR="00781F37" w:rsidRPr="00781F37">
        <w:t>Sarc</w:t>
      </w:r>
      <w:proofErr w:type="spellEnd"/>
      <w:r w:rsidR="00781F37" w:rsidRPr="00781F37">
        <w:t>-MM vs. Ep-MM.</w:t>
      </w:r>
    </w:p>
    <w:p w14:paraId="160DF7F8" w14:textId="2210BF66" w:rsidR="003A55A8" w:rsidRPr="00152023" w:rsidRDefault="001144FD" w:rsidP="00781F37">
      <w:pPr>
        <w:pStyle w:val="MDPI43tablefooter"/>
        <w:ind w:left="425" w:right="425"/>
        <w:rPr>
          <w:rFonts w:eastAsia="SimSun"/>
        </w:rPr>
      </w:pPr>
      <w:r w:rsidRPr="00CF2EF8">
        <w:object w:dxaOrig="10758" w:dyaOrig="14422" w14:anchorId="27BAA4CF">
          <v:shape id="_x0000_i1041" type="#_x0000_t75" style="width:421.35pt;height:712.25pt" o:ole="">
            <v:imagedata r:id="rId32" o:title=""/>
          </v:shape>
          <o:OLEObject Type="Embed" ProgID="Excel.Sheet.12" ShapeID="_x0000_i1041" DrawAspect="Content" ObjectID="_1648023355" r:id="rId33"/>
        </w:object>
      </w:r>
      <w:r w:rsidRPr="00CF2EF8">
        <w:object w:dxaOrig="10758" w:dyaOrig="14710" w14:anchorId="3E516BFF">
          <v:shape id="_x0000_i1042" type="#_x0000_t75" style="width:421.35pt;height:711.3pt" o:ole="">
            <v:imagedata r:id="rId34" o:title=""/>
          </v:shape>
          <o:OLEObject Type="Embed" ProgID="Excel.Sheet.12" ShapeID="_x0000_i1042" DrawAspect="Content" ObjectID="_1648023356" r:id="rId35"/>
        </w:object>
      </w:r>
      <w:r w:rsidRPr="00CF2EF8">
        <w:object w:dxaOrig="10758" w:dyaOrig="14422" w14:anchorId="54A8E476">
          <v:shape id="_x0000_i1043" type="#_x0000_t75" style="width:420.4pt;height:712.25pt" o:ole="">
            <v:imagedata r:id="rId36" o:title=""/>
          </v:shape>
          <o:OLEObject Type="Embed" ProgID="Excel.Sheet.12" ShapeID="_x0000_i1043" DrawAspect="Content" ObjectID="_1648023357" r:id="rId37"/>
        </w:object>
      </w:r>
      <w:r w:rsidRPr="00CF2EF8">
        <w:object w:dxaOrig="10758" w:dyaOrig="6646" w14:anchorId="6E516000">
          <v:shape id="_x0000_i1044" type="#_x0000_t75" style="width:422.8pt;height:321.85pt" o:ole="">
            <v:imagedata r:id="rId38" o:title=""/>
          </v:shape>
          <o:OLEObject Type="Embed" ProgID="Excel.Sheet.12" ShapeID="_x0000_i1044" DrawAspect="Content" ObjectID="_1648023358" r:id="rId39"/>
        </w:object>
      </w:r>
      <w:r w:rsidR="00781F37" w:rsidRPr="00781F37">
        <w:t xml:space="preserve">(2): </w:t>
      </w:r>
      <w:proofErr w:type="spellStart"/>
      <w:r w:rsidR="00781F37" w:rsidRPr="00781F37">
        <w:t>Sarc-Periph</w:t>
      </w:r>
      <w:proofErr w:type="spellEnd"/>
      <w:r w:rsidR="00781F37" w:rsidRPr="00781F37">
        <w:t xml:space="preserve"> vs. Ep-</w:t>
      </w:r>
      <w:proofErr w:type="spellStart"/>
      <w:r w:rsidR="00781F37" w:rsidRPr="00781F37">
        <w:t>Periph</w:t>
      </w:r>
      <w:proofErr w:type="spellEnd"/>
      <w:r w:rsidR="00781F37">
        <w:t>.</w:t>
      </w:r>
    </w:p>
    <w:sectPr w:rsidR="003A55A8" w:rsidRPr="00152023" w:rsidSect="00152023">
      <w:headerReference w:type="even" r:id="rId40"/>
      <w:headerReference w:type="default" r:id="rId41"/>
      <w:footerReference w:type="default" r:id="rId42"/>
      <w:headerReference w:type="first" r:id="rId43"/>
      <w:footerReference w:type="first" r:id="rId44"/>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9344EB" w14:textId="77777777" w:rsidR="00D159EC" w:rsidRDefault="00D159EC">
      <w:pPr>
        <w:spacing w:line="240" w:lineRule="auto"/>
      </w:pPr>
      <w:r>
        <w:separator/>
      </w:r>
    </w:p>
  </w:endnote>
  <w:endnote w:type="continuationSeparator" w:id="0">
    <w:p w14:paraId="0ADC583A" w14:textId="77777777" w:rsidR="00D159EC" w:rsidRDefault="00D159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72E115" w14:textId="77777777" w:rsidR="00AF7CE2" w:rsidRPr="00164C5C" w:rsidRDefault="00AF7CE2" w:rsidP="00AF7CE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AC6C4E" w14:textId="20F727D6" w:rsidR="00AF7CE2" w:rsidRPr="008B308E" w:rsidRDefault="00AF7CE2" w:rsidP="007C17C4">
    <w:pPr>
      <w:pStyle w:val="MDPIfooterfirstpage"/>
      <w:spacing w:line="240" w:lineRule="auto"/>
      <w:jc w:val="both"/>
      <w:rPr>
        <w:lang w:val="fr-CH"/>
      </w:rPr>
    </w:pPr>
    <w:r>
      <w:rPr>
        <w:i/>
      </w:rPr>
      <w:t xml:space="preserve">Cancers </w:t>
    </w:r>
    <w:r w:rsidR="00F71A8C" w:rsidRPr="00F71A8C">
      <w:rPr>
        <w:b/>
      </w:rPr>
      <w:t>20</w:t>
    </w:r>
    <w:r w:rsidR="007C17C4">
      <w:rPr>
        <w:b/>
      </w:rPr>
      <w:t>20</w:t>
    </w:r>
    <w:r w:rsidR="00F71A8C" w:rsidRPr="00F71A8C">
      <w:t xml:space="preserve">, </w:t>
    </w:r>
    <w:r w:rsidR="00F71A8C" w:rsidRPr="00F71A8C">
      <w:rPr>
        <w:i/>
      </w:rPr>
      <w:t>1</w:t>
    </w:r>
    <w:r w:rsidR="007C17C4">
      <w:rPr>
        <w:i/>
      </w:rPr>
      <w:t>2</w:t>
    </w:r>
    <w:r w:rsidR="00F71A8C" w:rsidRPr="00F71A8C">
      <w:t xml:space="preserve">, </w:t>
    </w:r>
    <w:r w:rsidR="00534C4A">
      <w:t>x; doi:</w:t>
    </w:r>
    <w:r w:rsidR="00874B5B" w:rsidRPr="008B308E">
      <w:rPr>
        <w:lang w:val="fr-CH"/>
      </w:rPr>
      <w:tab/>
    </w:r>
    <w:r w:rsidRPr="008B308E">
      <w:rPr>
        <w:lang w:val="fr-CH"/>
      </w:rPr>
      <w:t>www.mdpi.com/journal/</w:t>
    </w:r>
    <w:r w:rsidRPr="00511F0B">
      <w:t>cancers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00416B" w14:textId="77777777" w:rsidR="00D159EC" w:rsidRDefault="00D159EC">
      <w:pPr>
        <w:spacing w:line="240" w:lineRule="auto"/>
      </w:pPr>
      <w:r>
        <w:separator/>
      </w:r>
    </w:p>
  </w:footnote>
  <w:footnote w:type="continuationSeparator" w:id="0">
    <w:p w14:paraId="5FDDA9B7" w14:textId="77777777" w:rsidR="00D159EC" w:rsidRDefault="00D159E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93BE13" w14:textId="77777777" w:rsidR="00AF7CE2" w:rsidRDefault="00AF7CE2" w:rsidP="00AF7CE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03850" w14:textId="44BFF8E9" w:rsidR="00AF7CE2" w:rsidRPr="00836BB8" w:rsidRDefault="00AF7CE2" w:rsidP="007C17C4">
    <w:pPr>
      <w:tabs>
        <w:tab w:val="right" w:pos="8844"/>
      </w:tabs>
      <w:adjustRightInd w:val="0"/>
      <w:snapToGrid w:val="0"/>
      <w:spacing w:after="240" w:line="240" w:lineRule="auto"/>
      <w:rPr>
        <w:sz w:val="16"/>
      </w:rPr>
    </w:pPr>
    <w:r>
      <w:rPr>
        <w:i/>
        <w:sz w:val="16"/>
      </w:rPr>
      <w:t xml:space="preserve">Cancers </w:t>
    </w:r>
    <w:r w:rsidR="00F71A8C" w:rsidRPr="00F71A8C">
      <w:rPr>
        <w:b/>
        <w:sz w:val="16"/>
      </w:rPr>
      <w:t>20</w:t>
    </w:r>
    <w:r w:rsidR="007C17C4">
      <w:rPr>
        <w:b/>
        <w:sz w:val="16"/>
      </w:rPr>
      <w:t>20</w:t>
    </w:r>
    <w:r w:rsidR="00F71A8C" w:rsidRPr="00F71A8C">
      <w:rPr>
        <w:sz w:val="16"/>
      </w:rPr>
      <w:t xml:space="preserve">, </w:t>
    </w:r>
    <w:r w:rsidR="00F71A8C" w:rsidRPr="00F71A8C">
      <w:rPr>
        <w:i/>
        <w:sz w:val="16"/>
      </w:rPr>
      <w:t>1</w:t>
    </w:r>
    <w:r w:rsidR="007C17C4">
      <w:rPr>
        <w:i/>
        <w:sz w:val="16"/>
      </w:rPr>
      <w:t>2</w:t>
    </w:r>
    <w:r w:rsidR="00534C4A">
      <w:rPr>
        <w:sz w:val="16"/>
      </w:rPr>
      <w:t>, x</w:t>
    </w:r>
    <w:r w:rsidR="00874B5B">
      <w:rPr>
        <w:sz w:val="16"/>
      </w:rPr>
      <w:tab/>
    </w:r>
    <w:r w:rsidR="00534C4A">
      <w:rPr>
        <w:sz w:val="16"/>
      </w:rPr>
      <w:fldChar w:fldCharType="begin"/>
    </w:r>
    <w:r w:rsidR="00534C4A">
      <w:rPr>
        <w:sz w:val="16"/>
      </w:rPr>
      <w:instrText xml:space="preserve"> PAGE   \* MERGEFORMAT </w:instrText>
    </w:r>
    <w:r w:rsidR="00534C4A">
      <w:rPr>
        <w:sz w:val="16"/>
      </w:rPr>
      <w:fldChar w:fldCharType="separate"/>
    </w:r>
    <w:r w:rsidR="00316E1B">
      <w:rPr>
        <w:sz w:val="16"/>
      </w:rPr>
      <w:t>4</w:t>
    </w:r>
    <w:r w:rsidR="00534C4A">
      <w:rPr>
        <w:sz w:val="16"/>
      </w:rPr>
      <w:fldChar w:fldCharType="end"/>
    </w:r>
    <w:r w:rsidR="00534C4A">
      <w:rPr>
        <w:sz w:val="16"/>
      </w:rPr>
      <w:t xml:space="preserve"> of </w:t>
    </w:r>
    <w:r w:rsidR="00534C4A">
      <w:rPr>
        <w:sz w:val="16"/>
      </w:rPr>
      <w:fldChar w:fldCharType="begin"/>
    </w:r>
    <w:r w:rsidR="00534C4A">
      <w:rPr>
        <w:sz w:val="16"/>
      </w:rPr>
      <w:instrText xml:space="preserve"> NUMPAGES   \* MERGEFORMAT </w:instrText>
    </w:r>
    <w:r w:rsidR="00534C4A">
      <w:rPr>
        <w:sz w:val="16"/>
      </w:rPr>
      <w:fldChar w:fldCharType="separate"/>
    </w:r>
    <w:r w:rsidR="00316E1B">
      <w:rPr>
        <w:sz w:val="16"/>
      </w:rPr>
      <w:t>5</w:t>
    </w:r>
    <w:r w:rsidR="00534C4A">
      <w:rPr>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AE4094" w14:textId="77777777" w:rsidR="00AF7CE2" w:rsidRDefault="00D159EC" w:rsidP="00AF7CE2">
    <w:pPr>
      <w:pStyle w:val="MDPIheaderjournallogo"/>
    </w:pPr>
    <w:r>
      <w:rPr>
        <w:noProof/>
        <w:lang w:eastAsia="zh-CN"/>
      </w:rPr>
      <w:pict w14:anchorId="2383C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45" type="#_x0000_t75" style="width:132.4pt;height:34.3pt;visibility:visible">
          <v:imagedata r:id="rId1" o:title="cancers-logo"/>
        </v:shape>
      </w:pict>
    </w:r>
    <w:r>
      <w:rPr>
        <w:i w:val="0"/>
        <w:noProof/>
        <w:szCs w:val="16"/>
        <w:lang w:eastAsia="zh-CN"/>
      </w:rPr>
      <w:pict w14:anchorId="109052B4">
        <v:shapetype id="_x0000_t202" coordsize="21600,21600" o:spt="202" path="m,l,21600r21600,l21600,xe">
          <v:stroke joinstyle="miter"/>
          <v:path gradientshapeok="t" o:connecttype="rect"/>
        </v:shapetype>
        <v:shape id="Text Box 2" o:spid="_x0000_s2049" type="#_x0000_t202" style="position:absolute;margin-left:474.8pt;margin-top:51pt;width:43.55pt;height:55.85pt;z-index:-1;visibility:visible;mso-wrap-style:none;mso-wrap-distance-top:3.6pt;mso-wrap-distance-bottom:3.6pt;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" stroked="f">
          <v:textbox inset="0,0,0,0">
            <w:txbxContent>
              <w:p w14:paraId="0BC1893A" w14:textId="77777777" w:rsidR="00AF7CE2" w:rsidRDefault="00D159EC" w:rsidP="00AF7CE2">
                <w:pPr>
                  <w:pStyle w:val="MDPIheaderjournallogo"/>
                  <w:jc w:val="center"/>
                  <w:textboxTightWrap w:val="allLines"/>
                  <w:rPr>
                    <w:i w:val="0"/>
                    <w:szCs w:val="16"/>
                  </w:rPr>
                </w:pPr>
                <w:r>
                  <w:rPr>
                    <w:i w:val="0"/>
                    <w:noProof/>
                    <w:szCs w:val="16"/>
                    <w:lang w:eastAsia="zh-CN"/>
                  </w:rPr>
                  <w:pict w14:anchorId="3ED4BF9D">
                    <v:shape id="_x0000_i1047" type="#_x0000_t75" style="width:42.5pt;height:28.05pt;visibility:visible">
                      <v:imagedata r:id="rId2" o:title="logo-mdpi"/>
                    </v:shape>
                  </w:pict>
                </w:r>
              </w:p>
            </w:txbxContent>
          </v:textbox>
          <w10:wrap anchorx="margin"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bordersDoNotSurroundHeader/>
  <w:bordersDoNotSurroundFooter/>
  <w:proofState w:spelling="clean" w:grammar="clean"/>
  <w:attachedTemplate r:id="rId1"/>
  <w:doNotTrackMoves/>
  <w:defaultTabStop w:val="420"/>
  <w:drawingGridHorizontalSpacing w:val="100"/>
  <w:drawingGridVerticalSpacing w:val="163"/>
  <w:displayHorizontalDrawingGridEvery w:val="0"/>
  <w:displayVerticalDrawingGridEvery w:val="2"/>
  <w:characterSpacingControl w:val="compressPunctuation"/>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52023"/>
    <w:rsid w:val="00004062"/>
    <w:rsid w:val="00056D65"/>
    <w:rsid w:val="000618E3"/>
    <w:rsid w:val="000A6F47"/>
    <w:rsid w:val="000D3398"/>
    <w:rsid w:val="000D4AE8"/>
    <w:rsid w:val="000F0E63"/>
    <w:rsid w:val="001144FD"/>
    <w:rsid w:val="00126C03"/>
    <w:rsid w:val="00131BE1"/>
    <w:rsid w:val="001365DF"/>
    <w:rsid w:val="00152023"/>
    <w:rsid w:val="00186691"/>
    <w:rsid w:val="001B645A"/>
    <w:rsid w:val="001E2AEB"/>
    <w:rsid w:val="002026A3"/>
    <w:rsid w:val="00272F25"/>
    <w:rsid w:val="002A0D6E"/>
    <w:rsid w:val="002B5823"/>
    <w:rsid w:val="00310350"/>
    <w:rsid w:val="00316E1B"/>
    <w:rsid w:val="00326141"/>
    <w:rsid w:val="003271CA"/>
    <w:rsid w:val="00357223"/>
    <w:rsid w:val="003621FF"/>
    <w:rsid w:val="00364741"/>
    <w:rsid w:val="0038187B"/>
    <w:rsid w:val="00394E80"/>
    <w:rsid w:val="003A55A8"/>
    <w:rsid w:val="003B0587"/>
    <w:rsid w:val="003E6CBB"/>
    <w:rsid w:val="00401D30"/>
    <w:rsid w:val="0044756D"/>
    <w:rsid w:val="00476407"/>
    <w:rsid w:val="004807A8"/>
    <w:rsid w:val="00492AD2"/>
    <w:rsid w:val="004B29DF"/>
    <w:rsid w:val="004D3593"/>
    <w:rsid w:val="004E0105"/>
    <w:rsid w:val="00512545"/>
    <w:rsid w:val="00513C95"/>
    <w:rsid w:val="00534C4A"/>
    <w:rsid w:val="005425B6"/>
    <w:rsid w:val="00596A63"/>
    <w:rsid w:val="005A0BED"/>
    <w:rsid w:val="00611407"/>
    <w:rsid w:val="00627D4F"/>
    <w:rsid w:val="0063570B"/>
    <w:rsid w:val="00656F34"/>
    <w:rsid w:val="00676FEB"/>
    <w:rsid w:val="006837C3"/>
    <w:rsid w:val="00692393"/>
    <w:rsid w:val="0069273C"/>
    <w:rsid w:val="006D37E0"/>
    <w:rsid w:val="006F7149"/>
    <w:rsid w:val="00702402"/>
    <w:rsid w:val="007169A9"/>
    <w:rsid w:val="007346D0"/>
    <w:rsid w:val="00765776"/>
    <w:rsid w:val="00781F37"/>
    <w:rsid w:val="007C17C4"/>
    <w:rsid w:val="00817FC9"/>
    <w:rsid w:val="00851EBD"/>
    <w:rsid w:val="00874B5B"/>
    <w:rsid w:val="008B0E4D"/>
    <w:rsid w:val="008D09DD"/>
    <w:rsid w:val="008F4843"/>
    <w:rsid w:val="00925B94"/>
    <w:rsid w:val="00963346"/>
    <w:rsid w:val="00964FB2"/>
    <w:rsid w:val="009A7C8B"/>
    <w:rsid w:val="009D74AE"/>
    <w:rsid w:val="009F70E6"/>
    <w:rsid w:val="00A06051"/>
    <w:rsid w:val="00A53B15"/>
    <w:rsid w:val="00A70EAB"/>
    <w:rsid w:val="00A82D28"/>
    <w:rsid w:val="00AC2C4A"/>
    <w:rsid w:val="00AF29F4"/>
    <w:rsid w:val="00AF7CE2"/>
    <w:rsid w:val="00B005DB"/>
    <w:rsid w:val="00B16352"/>
    <w:rsid w:val="00B74A9D"/>
    <w:rsid w:val="00B874CF"/>
    <w:rsid w:val="00B904C6"/>
    <w:rsid w:val="00BB5186"/>
    <w:rsid w:val="00C34630"/>
    <w:rsid w:val="00C44C10"/>
    <w:rsid w:val="00C862EE"/>
    <w:rsid w:val="00CB5C68"/>
    <w:rsid w:val="00CD4EB1"/>
    <w:rsid w:val="00D109C8"/>
    <w:rsid w:val="00D159EC"/>
    <w:rsid w:val="00D47808"/>
    <w:rsid w:val="00D52E07"/>
    <w:rsid w:val="00D67A84"/>
    <w:rsid w:val="00D81694"/>
    <w:rsid w:val="00DA1857"/>
    <w:rsid w:val="00DA4414"/>
    <w:rsid w:val="00DD4EF5"/>
    <w:rsid w:val="00DE3283"/>
    <w:rsid w:val="00DF3C8C"/>
    <w:rsid w:val="00E13705"/>
    <w:rsid w:val="00E317F8"/>
    <w:rsid w:val="00E521BD"/>
    <w:rsid w:val="00EE1267"/>
    <w:rsid w:val="00F22713"/>
    <w:rsid w:val="00F46AA4"/>
    <w:rsid w:val="00F5117F"/>
    <w:rsid w:val="00F528E5"/>
    <w:rsid w:val="00F71A8C"/>
    <w:rsid w:val="00F90736"/>
    <w:rsid w:val="00FB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4586F07A"/>
  <w15:chartTrackingRefBased/>
  <w15:docId w15:val="{15DD32D3-6441-4257-A9B8-41A248D10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2023"/>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3A55A8"/>
    <w:pPr>
      <w:spacing w:before="240" w:line="240" w:lineRule="auto"/>
      <w:ind w:firstLine="0"/>
      <w:jc w:val="left"/>
    </w:pPr>
    <w:rPr>
      <w:i/>
    </w:rPr>
  </w:style>
  <w:style w:type="paragraph" w:customStyle="1" w:styleId="MDPI12title">
    <w:name w:val="MDPI_1.2_title"/>
    <w:next w:val="MDPI13authornames"/>
    <w:qFormat/>
    <w:rsid w:val="003A55A8"/>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3A55A8"/>
    <w:pPr>
      <w:spacing w:after="120"/>
      <w:ind w:firstLine="0"/>
      <w:jc w:val="left"/>
    </w:pPr>
    <w:rPr>
      <w:b/>
      <w:snapToGrid/>
    </w:rPr>
  </w:style>
  <w:style w:type="paragraph" w:customStyle="1" w:styleId="MDPI14history">
    <w:name w:val="MDPI_1.4_history"/>
    <w:basedOn w:val="MDPI62Acknowledgments"/>
    <w:next w:val="Normal"/>
    <w:qFormat/>
    <w:rsid w:val="003A55A8"/>
    <w:pPr>
      <w:ind w:left="113"/>
      <w:jc w:val="left"/>
    </w:pPr>
    <w:rPr>
      <w:snapToGrid/>
    </w:rPr>
  </w:style>
  <w:style w:type="paragraph" w:customStyle="1" w:styleId="MDPI16affiliation">
    <w:name w:val="MDPI_1.6_affiliation"/>
    <w:basedOn w:val="MDPI62Acknowledgments"/>
    <w:qFormat/>
    <w:rsid w:val="003A55A8"/>
    <w:pPr>
      <w:spacing w:before="0"/>
      <w:ind w:left="311" w:hanging="198"/>
      <w:jc w:val="left"/>
    </w:pPr>
    <w:rPr>
      <w:snapToGrid/>
      <w:szCs w:val="18"/>
    </w:rPr>
  </w:style>
  <w:style w:type="paragraph" w:customStyle="1" w:styleId="MDPI17abstract">
    <w:name w:val="MDPI_1.7_abstract"/>
    <w:basedOn w:val="MDPI31text"/>
    <w:next w:val="MDPI18keywords"/>
    <w:qFormat/>
    <w:rsid w:val="003A55A8"/>
    <w:pPr>
      <w:spacing w:before="240"/>
      <w:ind w:left="113" w:firstLine="0"/>
    </w:pPr>
    <w:rPr>
      <w:snapToGrid/>
    </w:rPr>
  </w:style>
  <w:style w:type="paragraph" w:customStyle="1" w:styleId="MDPI18keywords">
    <w:name w:val="MDPI_1.8_keywords"/>
    <w:basedOn w:val="MDPI31text"/>
    <w:next w:val="Normal"/>
    <w:qFormat/>
    <w:rsid w:val="003A55A8"/>
    <w:pPr>
      <w:spacing w:before="240"/>
      <w:ind w:left="113" w:firstLine="0"/>
    </w:pPr>
  </w:style>
  <w:style w:type="paragraph" w:customStyle="1" w:styleId="MDPI19line">
    <w:name w:val="MDPI_1.9_line"/>
    <w:basedOn w:val="MDPI31text"/>
    <w:qFormat/>
    <w:rsid w:val="003A55A8"/>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3A55A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3A55A8"/>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3A55A8"/>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3A55A8"/>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3A55A8"/>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3A55A8"/>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3A55A8"/>
    <w:pPr>
      <w:ind w:firstLine="0"/>
    </w:pPr>
  </w:style>
  <w:style w:type="paragraph" w:customStyle="1" w:styleId="MDPI33textspaceafter">
    <w:name w:val="MDPI_3.3_text_space_after"/>
    <w:basedOn w:val="MDPI31text"/>
    <w:qFormat/>
    <w:rsid w:val="003A55A8"/>
    <w:pPr>
      <w:spacing w:after="240"/>
    </w:pPr>
  </w:style>
  <w:style w:type="paragraph" w:customStyle="1" w:styleId="MDPI34textspacebefore">
    <w:name w:val="MDPI_3.4_text_space_before"/>
    <w:basedOn w:val="MDPI31text"/>
    <w:qFormat/>
    <w:rsid w:val="003A55A8"/>
    <w:pPr>
      <w:spacing w:before="240"/>
    </w:pPr>
  </w:style>
  <w:style w:type="paragraph" w:customStyle="1" w:styleId="MDPI35textbeforelist">
    <w:name w:val="MDPI_3.5_text_before_list"/>
    <w:basedOn w:val="MDPI31text"/>
    <w:qFormat/>
    <w:rsid w:val="003A55A8"/>
    <w:pPr>
      <w:spacing w:after="120"/>
    </w:pPr>
  </w:style>
  <w:style w:type="paragraph" w:customStyle="1" w:styleId="MDPI36textafterlist">
    <w:name w:val="MDPI_3.6_text_after_list"/>
    <w:basedOn w:val="MDPI31text"/>
    <w:qFormat/>
    <w:rsid w:val="003A55A8"/>
    <w:pPr>
      <w:spacing w:before="120"/>
    </w:pPr>
  </w:style>
  <w:style w:type="paragraph" w:customStyle="1" w:styleId="MDPI37itemize">
    <w:name w:val="MDPI_3.7_itemize"/>
    <w:basedOn w:val="MDPI31text"/>
    <w:qFormat/>
    <w:rsid w:val="003A55A8"/>
    <w:pPr>
      <w:numPr>
        <w:numId w:val="1"/>
      </w:numPr>
      <w:ind w:left="425" w:hanging="425"/>
    </w:pPr>
  </w:style>
  <w:style w:type="paragraph" w:customStyle="1" w:styleId="MDPI38bullet">
    <w:name w:val="MDPI_3.8_bullet"/>
    <w:basedOn w:val="MDPI31text"/>
    <w:qFormat/>
    <w:rsid w:val="003A55A8"/>
    <w:pPr>
      <w:numPr>
        <w:numId w:val="2"/>
      </w:numPr>
      <w:ind w:left="425" w:hanging="425"/>
    </w:pPr>
  </w:style>
  <w:style w:type="paragraph" w:customStyle="1" w:styleId="MDPI39equation">
    <w:name w:val="MDPI_3.9_equation"/>
    <w:basedOn w:val="MDPI31text"/>
    <w:qFormat/>
    <w:rsid w:val="003A55A8"/>
    <w:pPr>
      <w:spacing w:before="120" w:after="120"/>
      <w:ind w:left="709" w:firstLine="0"/>
      <w:jc w:val="center"/>
    </w:pPr>
  </w:style>
  <w:style w:type="paragraph" w:customStyle="1" w:styleId="MDPI3aequationnumber">
    <w:name w:val="MDPI_3.a_equation_number"/>
    <w:basedOn w:val="MDPI31text"/>
    <w:qFormat/>
    <w:rsid w:val="003A55A8"/>
    <w:pPr>
      <w:spacing w:before="120" w:after="120" w:line="240" w:lineRule="auto"/>
      <w:ind w:firstLine="0"/>
      <w:jc w:val="right"/>
    </w:pPr>
  </w:style>
  <w:style w:type="paragraph" w:customStyle="1" w:styleId="MDPI62Acknowledgments">
    <w:name w:val="MDPI_6.2_Acknowledgments"/>
    <w:qFormat/>
    <w:rsid w:val="003A55A8"/>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basedOn w:val="MDPI62Acknowledgments"/>
    <w:qFormat/>
    <w:rsid w:val="003A55A8"/>
    <w:pPr>
      <w:spacing w:before="240" w:after="120" w:line="260" w:lineRule="atLeast"/>
      <w:ind w:left="425" w:right="425"/>
    </w:pPr>
    <w:rPr>
      <w:snapToGrid/>
      <w:szCs w:val="22"/>
    </w:rPr>
  </w:style>
  <w:style w:type="paragraph" w:customStyle="1" w:styleId="MDPI42tablebody">
    <w:name w:val="MDPI_4.2_table_body"/>
    <w:qFormat/>
    <w:rsid w:val="006F7149"/>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3A55A8"/>
    <w:pPr>
      <w:spacing w:before="0"/>
      <w:ind w:left="0" w:right="0"/>
    </w:pPr>
  </w:style>
  <w:style w:type="paragraph" w:customStyle="1" w:styleId="MDPI51figurecaption">
    <w:name w:val="MDPI_5.1_figure_caption"/>
    <w:basedOn w:val="MDPI62Acknowledgments"/>
    <w:qFormat/>
    <w:rsid w:val="003A55A8"/>
    <w:pPr>
      <w:spacing w:after="240" w:line="260" w:lineRule="atLeast"/>
      <w:ind w:left="425" w:right="425"/>
    </w:pPr>
    <w:rPr>
      <w:snapToGrid/>
    </w:rPr>
  </w:style>
  <w:style w:type="paragraph" w:customStyle="1" w:styleId="MDPI52figure">
    <w:name w:val="MDPI_5.2_figure"/>
    <w:qFormat/>
    <w:rsid w:val="003A55A8"/>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3A55A8"/>
    <w:pPr>
      <w:spacing w:before="240"/>
    </w:pPr>
    <w:rPr>
      <w:lang w:eastAsia="en-US"/>
    </w:rPr>
  </w:style>
  <w:style w:type="paragraph" w:customStyle="1" w:styleId="MDPI63AuthorContributions">
    <w:name w:val="MDPI_6.3_AuthorContributions"/>
    <w:basedOn w:val="MDPI62Acknowledgments"/>
    <w:qFormat/>
    <w:rsid w:val="003A55A8"/>
    <w:rPr>
      <w:rFonts w:eastAsia="SimSun"/>
      <w:color w:val="auto"/>
      <w:lang w:eastAsia="en-US"/>
    </w:rPr>
  </w:style>
  <w:style w:type="paragraph" w:customStyle="1" w:styleId="MDPI64CoI">
    <w:name w:val="MDPI_6.4_CoI"/>
    <w:basedOn w:val="MDPI62Acknowledgments"/>
    <w:qFormat/>
    <w:rsid w:val="003A55A8"/>
  </w:style>
  <w:style w:type="paragraph" w:customStyle="1" w:styleId="MDPI81theorem">
    <w:name w:val="MDPI_8.1_theorem"/>
    <w:basedOn w:val="MDPI32textnoindent"/>
    <w:qFormat/>
    <w:rsid w:val="003A55A8"/>
    <w:rPr>
      <w:i/>
    </w:rPr>
  </w:style>
  <w:style w:type="paragraph" w:customStyle="1" w:styleId="MDPI82proof">
    <w:name w:val="MDPI_8.2_proof"/>
    <w:basedOn w:val="MDPI32textnoindent"/>
    <w:qFormat/>
    <w:rsid w:val="003A55A8"/>
  </w:style>
  <w:style w:type="paragraph" w:customStyle="1" w:styleId="MDPIfooterfirstpage">
    <w:name w:val="MDPI_footer_firstpage"/>
    <w:basedOn w:val="Normal"/>
    <w:qFormat/>
    <w:rsid w:val="003A55A8"/>
    <w:pPr>
      <w:tabs>
        <w:tab w:val="right" w:pos="8845"/>
      </w:tabs>
      <w:adjustRightInd w:val="0"/>
      <w:snapToGrid w:val="0"/>
      <w:spacing w:before="120" w:line="160" w:lineRule="exact"/>
      <w:jc w:val="left"/>
    </w:pPr>
    <w:rPr>
      <w:color w:val="auto"/>
      <w:sz w:val="16"/>
    </w:rPr>
  </w:style>
  <w:style w:type="paragraph" w:customStyle="1" w:styleId="MDPI31text">
    <w:name w:val="MDPI_3.1_text"/>
    <w:qFormat/>
    <w:rsid w:val="003A55A8"/>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basedOn w:val="MDPI31text"/>
    <w:qFormat/>
    <w:rsid w:val="003A55A8"/>
    <w:pPr>
      <w:spacing w:before="240" w:after="120"/>
      <w:ind w:firstLine="0"/>
      <w:jc w:val="left"/>
      <w:outlineLvl w:val="2"/>
    </w:pPr>
  </w:style>
  <w:style w:type="paragraph" w:customStyle="1" w:styleId="MDPI21heading1">
    <w:name w:val="MDPI_2.1_heading1"/>
    <w:basedOn w:val="MDPI23heading3"/>
    <w:qFormat/>
    <w:rsid w:val="003A55A8"/>
    <w:pPr>
      <w:outlineLvl w:val="0"/>
    </w:pPr>
    <w:rPr>
      <w:b/>
    </w:rPr>
  </w:style>
  <w:style w:type="paragraph" w:customStyle="1" w:styleId="MDPI22heading2">
    <w:name w:val="MDPI_2.2_heading2"/>
    <w:basedOn w:val="Normal"/>
    <w:qFormat/>
    <w:rsid w:val="003A55A8"/>
    <w:pPr>
      <w:kinsoku w:val="0"/>
      <w:overflowPunct w:val="0"/>
      <w:autoSpaceDE w:val="0"/>
      <w:autoSpaceDN w:val="0"/>
      <w:adjustRightInd w:val="0"/>
      <w:snapToGrid w:val="0"/>
      <w:spacing w:before="240" w:after="120"/>
      <w:jc w:val="left"/>
      <w:outlineLvl w:val="1"/>
    </w:pPr>
    <w:rPr>
      <w:i/>
      <w:snapToGrid w:val="0"/>
      <w:szCs w:val="22"/>
      <w:lang w:bidi="en-US"/>
    </w:rPr>
  </w:style>
  <w:style w:type="paragraph" w:customStyle="1" w:styleId="MDPI71References">
    <w:name w:val="MDPI_7.1_References"/>
    <w:basedOn w:val="MDPI62Acknowledgments"/>
    <w:qFormat/>
    <w:rsid w:val="003A55A8"/>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3A55A8"/>
    <w:pPr>
      <w:spacing w:line="240" w:lineRule="auto"/>
    </w:pPr>
    <w:rPr>
      <w:sz w:val="18"/>
      <w:szCs w:val="18"/>
    </w:rPr>
  </w:style>
  <w:style w:type="character" w:customStyle="1" w:styleId="BalloonTextChar">
    <w:name w:val="Balloon Text Char"/>
    <w:link w:val="BalloonText"/>
    <w:uiPriority w:val="99"/>
    <w:semiHidden/>
    <w:rsid w:val="003A55A8"/>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3A55A8"/>
  </w:style>
  <w:style w:type="table" w:customStyle="1" w:styleId="MDPI41threelinetable">
    <w:name w:val="MDPI_4.1_three_line_table"/>
    <w:basedOn w:val="TableNormal"/>
    <w:uiPriority w:val="99"/>
    <w:rsid w:val="006F714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5425B6"/>
    <w:rPr>
      <w:color w:val="0563C1"/>
      <w:u w:val="single"/>
    </w:rPr>
  </w:style>
  <w:style w:type="character" w:styleId="UnresolvedMention">
    <w:name w:val="Unresolved Mention"/>
    <w:uiPriority w:val="99"/>
    <w:semiHidden/>
    <w:unhideWhenUsed/>
    <w:rsid w:val="00963346"/>
    <w:rPr>
      <w:color w:val="605E5C"/>
      <w:shd w:val="clear" w:color="auto" w:fill="E1DFDD"/>
    </w:rPr>
  </w:style>
  <w:style w:type="table" w:styleId="PlainTable4">
    <w:name w:val="Plain Table 4"/>
    <w:basedOn w:val="TableNormal"/>
    <w:uiPriority w:val="44"/>
    <w:rsid w:val="00F71A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CommentReference">
    <w:name w:val="annotation reference"/>
    <w:uiPriority w:val="99"/>
    <w:semiHidden/>
    <w:unhideWhenUsed/>
    <w:rsid w:val="00152023"/>
    <w:rPr>
      <w:sz w:val="16"/>
      <w:szCs w:val="16"/>
    </w:rPr>
  </w:style>
  <w:style w:type="paragraph" w:styleId="CommentText">
    <w:name w:val="annotation text"/>
    <w:basedOn w:val="Normal"/>
    <w:link w:val="CommentTextChar"/>
    <w:uiPriority w:val="99"/>
    <w:semiHidden/>
    <w:unhideWhenUsed/>
    <w:rsid w:val="00152023"/>
  </w:style>
  <w:style w:type="character" w:customStyle="1" w:styleId="CommentTextChar">
    <w:name w:val="Comment Text Char"/>
    <w:link w:val="CommentText"/>
    <w:uiPriority w:val="99"/>
    <w:semiHidden/>
    <w:rsid w:val="00152023"/>
    <w:rPr>
      <w:rFonts w:ascii="Palatino Linotype" w:hAnsi="Palatino Linotype"/>
      <w:noProof/>
      <w:color w:val="000000"/>
    </w:rPr>
  </w:style>
  <w:style w:type="paragraph" w:styleId="CommentSubject">
    <w:name w:val="annotation subject"/>
    <w:basedOn w:val="CommentText"/>
    <w:next w:val="CommentText"/>
    <w:link w:val="CommentSubjectChar"/>
    <w:uiPriority w:val="99"/>
    <w:semiHidden/>
    <w:unhideWhenUsed/>
    <w:rsid w:val="00152023"/>
    <w:rPr>
      <w:b/>
      <w:bCs/>
    </w:rPr>
  </w:style>
  <w:style w:type="character" w:customStyle="1" w:styleId="CommentSubjectChar">
    <w:name w:val="Comment Subject Char"/>
    <w:link w:val="CommentSubject"/>
    <w:uiPriority w:val="99"/>
    <w:semiHidden/>
    <w:rsid w:val="00152023"/>
    <w:rPr>
      <w:rFonts w:ascii="Palatino Linotype" w:hAnsi="Palatino Linotype"/>
      <w:b/>
      <w:bCs/>
      <w:noProof/>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package" Target="embeddings/Microsoft_Excel_Worksheet12.xlsx"/><Relationship Id="rId21" Type="http://schemas.openxmlformats.org/officeDocument/2006/relationships/package" Target="embeddings/Microsoft_Excel_Worksheet3.xlsx"/><Relationship Id="rId34" Type="http://schemas.openxmlformats.org/officeDocument/2006/relationships/image" Target="media/image18.emf"/><Relationship Id="rId42"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package" Target="embeddings/Microsoft_Excel_Worksheet7.xls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package" Target="embeddings/Microsoft_Excel_Worksheet11.xlsx"/><Relationship Id="rId40" Type="http://schemas.openxmlformats.org/officeDocument/2006/relationships/header" Target="header1.xm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package" Target="embeddings/Microsoft_Excel_Worksheet4.xlsx"/><Relationship Id="rId28" Type="http://schemas.openxmlformats.org/officeDocument/2006/relationships/image" Target="media/image15.emf"/><Relationship Id="rId36" Type="http://schemas.openxmlformats.org/officeDocument/2006/relationships/image" Target="media/image19.emf"/><Relationship Id="rId10" Type="http://schemas.openxmlformats.org/officeDocument/2006/relationships/image" Target="media/image4.jpeg"/><Relationship Id="rId19" Type="http://schemas.openxmlformats.org/officeDocument/2006/relationships/package" Target="embeddings/Microsoft_Excel_Worksheet2.xlsx"/><Relationship Id="rId31" Type="http://schemas.openxmlformats.org/officeDocument/2006/relationships/package" Target="embeddings/Microsoft_Excel_Worksheet8.xlsx"/><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2.emf"/><Relationship Id="rId27" Type="http://schemas.openxmlformats.org/officeDocument/2006/relationships/package" Target="embeddings/Microsoft_Excel_Worksheet6.xlsx"/><Relationship Id="rId30" Type="http://schemas.openxmlformats.org/officeDocument/2006/relationships/image" Target="media/image16.emf"/><Relationship Id="rId35" Type="http://schemas.openxmlformats.org/officeDocument/2006/relationships/package" Target="embeddings/Microsoft_Excel_Worksheet10.xlsx"/><Relationship Id="rId43" Type="http://schemas.openxmlformats.org/officeDocument/2006/relationships/header" Target="header3.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33" Type="http://schemas.openxmlformats.org/officeDocument/2006/relationships/package" Target="embeddings/Microsoft_Excel_Worksheet9.xlsx"/><Relationship Id="rId38" Type="http://schemas.openxmlformats.org/officeDocument/2006/relationships/image" Target="media/image20.emf"/><Relationship Id="rId46" Type="http://schemas.openxmlformats.org/officeDocument/2006/relationships/theme" Target="theme/theme1.xml"/><Relationship Id="rId20" Type="http://schemas.openxmlformats.org/officeDocument/2006/relationships/image" Target="media/image11.emf"/><Relationship Id="rId41" Type="http://schemas.openxmlformats.org/officeDocument/2006/relationships/header" Target="header2.xml"/></Relationships>
</file>

<file path=word/_rels/header3.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guides\cance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cancers-template</Template>
  <TotalTime>38</TotalTime>
  <Pages>20</Pages>
  <Words>711</Words>
  <Characters>4058</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4760</CharactersWithSpaces>
  <SharedDoc>false</SharedDoc>
  <HLinks>
    <vt:vector size="12" baseType="variant">
      <vt:variant>
        <vt:i4>6094915</vt:i4>
      </vt:variant>
      <vt:variant>
        <vt:i4>3</vt:i4>
      </vt:variant>
      <vt:variant>
        <vt:i4>0</vt:i4>
      </vt:variant>
      <vt:variant>
        <vt:i4>5</vt:i4>
      </vt:variant>
      <vt:variant>
        <vt:lpwstr>http://img.mdpi.org/data/contributor-role-instruction.pdf</vt:lpwstr>
      </vt:variant>
      <vt:variant>
        <vt:lpwstr/>
      </vt:variant>
      <vt:variant>
        <vt:i4>2490387</vt:i4>
      </vt:variant>
      <vt:variant>
        <vt:i4>0</vt:i4>
      </vt:variant>
      <vt:variant>
        <vt:i4>0</vt:i4>
      </vt:variant>
      <vt:variant>
        <vt:i4>5</vt:i4>
      </vt:variant>
      <vt:variant>
        <vt:lpwstr>mailto:support@mdpi.com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MDPI</dc:creator>
  <cp:keywords/>
  <dc:description/>
  <cp:lastModifiedBy>MDPI-61</cp:lastModifiedBy>
  <cp:revision>10</cp:revision>
  <cp:lastPrinted>2020-04-10T07:25:00Z</cp:lastPrinted>
  <dcterms:created xsi:type="dcterms:W3CDTF">2020-04-09T07:16:00Z</dcterms:created>
  <dcterms:modified xsi:type="dcterms:W3CDTF">2020-04-10T09:29:00Z</dcterms:modified>
</cp:coreProperties>
</file>