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92A" w:rsidRDefault="005A392A" w:rsidP="005A392A">
      <w:pPr>
        <w:pStyle w:val="MDPI11articletype"/>
      </w:pPr>
      <w:r>
        <w:t>Article</w:t>
      </w:r>
      <w:bookmarkStart w:id="0" w:name="_GoBack"/>
      <w:bookmarkEnd w:id="0"/>
    </w:p>
    <w:p w:rsidR="005A392A" w:rsidRDefault="005A392A" w:rsidP="001369DD">
      <w:pPr>
        <w:pStyle w:val="MDPI12title"/>
      </w:pPr>
      <w:r>
        <w:t>Luteinizing Hormone Receptor Is Expressed in Testicular Germ Cell Tumors: Possible Implications for Tumor Growth and Prognosis</w:t>
      </w:r>
    </w:p>
    <w:p w:rsidR="001369DD" w:rsidRDefault="001369DD" w:rsidP="001369DD">
      <w:pPr>
        <w:pStyle w:val="MDPI13authornames"/>
      </w:pPr>
      <w:proofErr w:type="spellStart"/>
      <w:r w:rsidRPr="002D5A04">
        <w:t>Mette</w:t>
      </w:r>
      <w:proofErr w:type="spellEnd"/>
      <w:r w:rsidRPr="002D5A04">
        <w:t xml:space="preserve"> </w:t>
      </w:r>
      <w:proofErr w:type="spellStart"/>
      <w:r w:rsidRPr="002D5A04">
        <w:t>Lorenzen</w:t>
      </w:r>
      <w:proofErr w:type="spellEnd"/>
      <w:r w:rsidRPr="002D5A04">
        <w:t>, John Erik Nielsen, Christine Hjorth Andreassen, Anders Juul, Birgitte Grønkær Toft, Ewa Rajpert-</w:t>
      </w:r>
      <w:r w:rsidRPr="00C26D57">
        <w:t>De Meyts, Gedske Daugaard</w:t>
      </w:r>
      <w:r>
        <w:t xml:space="preserve">, </w:t>
      </w:r>
      <w:r w:rsidRPr="00C26D57">
        <w:t xml:space="preserve">and Martin </w:t>
      </w:r>
      <w:proofErr w:type="spellStart"/>
      <w:r w:rsidRPr="00C26D57">
        <w:t>Blomberg</w:t>
      </w:r>
      <w:proofErr w:type="spellEnd"/>
      <w:r w:rsidRPr="00C26D57">
        <w:t xml:space="preserve"> Jensen</w:t>
      </w:r>
    </w:p>
    <w:p w:rsidR="005A392A" w:rsidRPr="005A392A" w:rsidRDefault="005A392A" w:rsidP="005A392A">
      <w:pPr>
        <w:pStyle w:val="MDPI21heading1"/>
        <w:rPr>
          <w:szCs w:val="36"/>
        </w:rPr>
      </w:pPr>
      <w:r w:rsidRPr="005A392A">
        <w:t>Supplementary</w:t>
      </w:r>
      <w:r w:rsidRPr="005A392A">
        <w:rPr>
          <w:spacing w:val="-42"/>
        </w:rPr>
        <w:t xml:space="preserve"> </w:t>
      </w:r>
      <w:r>
        <w:rPr>
          <w:szCs w:val="36"/>
        </w:rPr>
        <w:t>Materials</w:t>
      </w:r>
    </w:p>
    <w:p w:rsidR="001369DD" w:rsidRDefault="001369DD" w:rsidP="001369DD">
      <w:pPr>
        <w:pStyle w:val="MDPI41tablecaption"/>
        <w:jc w:val="center"/>
      </w:pPr>
      <w:r w:rsidRPr="001369DD">
        <w:rPr>
          <w:b/>
        </w:rPr>
        <w:t xml:space="preserve">Table </w:t>
      </w:r>
      <w:r>
        <w:rPr>
          <w:b/>
        </w:rPr>
        <w:t>S</w:t>
      </w:r>
      <w:r w:rsidRPr="001369DD">
        <w:rPr>
          <w:b/>
        </w:rPr>
        <w:t xml:space="preserve">1. </w:t>
      </w:r>
      <w:r w:rsidRPr="007A3CAF">
        <w:t>Antibodies and conditions used for IHC and WB</w:t>
      </w:r>
      <w:r>
        <w:t>.</w:t>
      </w:r>
    </w:p>
    <w:tbl>
      <w:tblPr>
        <w:tblW w:w="9014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304"/>
        <w:gridCol w:w="964"/>
        <w:gridCol w:w="1020"/>
        <w:gridCol w:w="1020"/>
        <w:gridCol w:w="1361"/>
        <w:gridCol w:w="1814"/>
        <w:gridCol w:w="1531"/>
      </w:tblGrid>
      <w:tr w:rsidR="001369DD" w:rsidRPr="005A392A" w:rsidTr="005A392A">
        <w:trPr>
          <w:jc w:val="center"/>
        </w:trPr>
        <w:tc>
          <w:tcPr>
            <w:tcW w:w="130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b/>
                <w:bCs/>
                <w:color w:val="000000" w:themeColor="text1"/>
                <w:kern w:val="24"/>
                <w:sz w:val="18"/>
                <w:szCs w:val="18"/>
                <w:lang w:eastAsia="da-DK"/>
              </w:rPr>
              <w:t>Antibody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b/>
                <w:bCs/>
                <w:color w:val="000000" w:themeColor="text1"/>
                <w:kern w:val="24"/>
                <w:sz w:val="18"/>
                <w:szCs w:val="18"/>
                <w:lang w:eastAsia="da-DK"/>
              </w:rPr>
              <w:t>Species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b/>
                <w:bCs/>
                <w:color w:val="000000" w:themeColor="text1"/>
                <w:kern w:val="24"/>
                <w:sz w:val="18"/>
                <w:szCs w:val="18"/>
                <w:lang w:eastAsia="da-DK"/>
              </w:rPr>
              <w:t>Dilution IHC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b/>
                <w:bCs/>
                <w:color w:val="000000" w:themeColor="text1"/>
                <w:kern w:val="24"/>
                <w:sz w:val="18"/>
                <w:szCs w:val="18"/>
                <w:lang w:eastAsia="da-DK"/>
              </w:rPr>
              <w:t>Dilution WB</w:t>
            </w:r>
          </w:p>
        </w:tc>
        <w:tc>
          <w:tcPr>
            <w:tcW w:w="136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b/>
                <w:bCs/>
                <w:color w:val="000000" w:themeColor="text1"/>
                <w:kern w:val="24"/>
                <w:sz w:val="18"/>
                <w:szCs w:val="18"/>
                <w:lang w:eastAsia="da-DK"/>
              </w:rPr>
              <w:t>Retrieval</w:t>
            </w:r>
          </w:p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b/>
                <w:bCs/>
                <w:color w:val="000000" w:themeColor="text1"/>
                <w:kern w:val="24"/>
                <w:sz w:val="18"/>
                <w:szCs w:val="18"/>
                <w:lang w:eastAsia="da-DK"/>
              </w:rPr>
              <w:t>Buffer (IHC)</w:t>
            </w:r>
          </w:p>
        </w:tc>
        <w:tc>
          <w:tcPr>
            <w:tcW w:w="181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sz w:val="18"/>
                <w:szCs w:val="18"/>
                <w:lang w:val="en-US"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b/>
                <w:bCs/>
                <w:color w:val="000000" w:themeColor="text1"/>
                <w:kern w:val="24"/>
                <w:sz w:val="18"/>
                <w:szCs w:val="18"/>
                <w:lang w:val="en-US" w:eastAsia="da-DK"/>
              </w:rPr>
              <w:t>Antibody supplier and product name</w:t>
            </w:r>
          </w:p>
        </w:tc>
        <w:tc>
          <w:tcPr>
            <w:tcW w:w="153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color w:val="000000" w:themeColor="text1"/>
                <w:kern w:val="24"/>
                <w:sz w:val="18"/>
                <w:szCs w:val="18"/>
                <w:lang w:val="en-US"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b/>
                <w:bCs/>
                <w:color w:val="000000" w:themeColor="text1"/>
                <w:kern w:val="24"/>
                <w:sz w:val="18"/>
                <w:szCs w:val="18"/>
                <w:lang w:val="en-US" w:eastAsia="da-DK"/>
              </w:rPr>
              <w:t xml:space="preserve">Expected Molecular Weight </w:t>
            </w:r>
          </w:p>
        </w:tc>
      </w:tr>
      <w:tr w:rsidR="001369DD" w:rsidRPr="005A392A" w:rsidTr="005A392A">
        <w:trPr>
          <w:jc w:val="center"/>
        </w:trPr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LHCGR (LHR029)</w:t>
            </w:r>
          </w:p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Extracelluar region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Mouse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  <w:t>1:200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1:200</w:t>
            </w: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  <w:t>TEG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NBCL</w:t>
            </w:r>
          </w:p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LHR029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79 kDa</w:t>
            </w:r>
          </w:p>
        </w:tc>
      </w:tr>
      <w:tr w:rsidR="001369DD" w:rsidRPr="005A392A" w:rsidTr="005A392A">
        <w:trPr>
          <w:jc w:val="center"/>
        </w:trPr>
        <w:tc>
          <w:tcPr>
            <w:tcW w:w="13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LHCGR</w:t>
            </w:r>
          </w:p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  <w:t>Internal region</w:t>
            </w:r>
          </w:p>
        </w:tc>
        <w:tc>
          <w:tcPr>
            <w:tcW w:w="9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Goat</w:t>
            </w:r>
          </w:p>
        </w:tc>
        <w:tc>
          <w:tcPr>
            <w:tcW w:w="10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  <w:t>-</w:t>
            </w:r>
          </w:p>
        </w:tc>
        <w:tc>
          <w:tcPr>
            <w:tcW w:w="10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1:200</w:t>
            </w:r>
          </w:p>
        </w:tc>
        <w:tc>
          <w:tcPr>
            <w:tcW w:w="13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  <w:t>-</w:t>
            </w:r>
          </w:p>
        </w:tc>
        <w:tc>
          <w:tcPr>
            <w:tcW w:w="181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Santa Cruz</w:t>
            </w:r>
          </w:p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SC-26341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85 kDa</w:t>
            </w:r>
          </w:p>
        </w:tc>
      </w:tr>
      <w:tr w:rsidR="001369DD" w:rsidRPr="005A392A" w:rsidTr="005A392A">
        <w:trPr>
          <w:jc w:val="center"/>
        </w:trPr>
        <w:tc>
          <w:tcPr>
            <w:tcW w:w="13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LHCGR (LHRsc)</w:t>
            </w:r>
          </w:p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Extracellular region</w:t>
            </w:r>
          </w:p>
        </w:tc>
        <w:tc>
          <w:tcPr>
            <w:tcW w:w="9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Rabbit</w:t>
            </w:r>
          </w:p>
        </w:tc>
        <w:tc>
          <w:tcPr>
            <w:tcW w:w="10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  <w:t>1:400</w:t>
            </w:r>
          </w:p>
        </w:tc>
        <w:tc>
          <w:tcPr>
            <w:tcW w:w="10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  <w:t>-</w:t>
            </w:r>
          </w:p>
        </w:tc>
        <w:tc>
          <w:tcPr>
            <w:tcW w:w="13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  <w:t>TEG</w:t>
            </w:r>
          </w:p>
        </w:tc>
        <w:tc>
          <w:tcPr>
            <w:tcW w:w="181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Santa Cruz</w:t>
            </w:r>
          </w:p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SC-25828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-</w:t>
            </w:r>
          </w:p>
        </w:tc>
      </w:tr>
      <w:tr w:rsidR="001369DD" w:rsidRPr="005A392A" w:rsidTr="005A392A">
        <w:trPr>
          <w:jc w:val="center"/>
        </w:trPr>
        <w:tc>
          <w:tcPr>
            <w:tcW w:w="13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LHCGR</w:t>
            </w:r>
          </w:p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  <w:t>C-terminal</w:t>
            </w:r>
          </w:p>
        </w:tc>
        <w:tc>
          <w:tcPr>
            <w:tcW w:w="9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Rabbit</w:t>
            </w:r>
          </w:p>
        </w:tc>
        <w:tc>
          <w:tcPr>
            <w:tcW w:w="10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  <w:t>1:3000</w:t>
            </w:r>
          </w:p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</w:p>
        </w:tc>
        <w:tc>
          <w:tcPr>
            <w:tcW w:w="10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1:200</w:t>
            </w:r>
          </w:p>
        </w:tc>
        <w:tc>
          <w:tcPr>
            <w:tcW w:w="13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  <w:t>TEG</w:t>
            </w:r>
          </w:p>
        </w:tc>
        <w:tc>
          <w:tcPr>
            <w:tcW w:w="181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Aviva System Biology</w:t>
            </w:r>
          </w:p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Theme="minorEastAsia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OASG04237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80 kDa</w:t>
            </w:r>
          </w:p>
        </w:tc>
      </w:tr>
      <w:tr w:rsidR="001369DD" w:rsidRPr="005A392A" w:rsidTr="005A392A">
        <w:trPr>
          <w:jc w:val="center"/>
        </w:trPr>
        <w:tc>
          <w:tcPr>
            <w:tcW w:w="13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B2M</w:t>
            </w:r>
          </w:p>
        </w:tc>
        <w:tc>
          <w:tcPr>
            <w:tcW w:w="9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  <w:t>Rabbit</w:t>
            </w:r>
          </w:p>
        </w:tc>
        <w:tc>
          <w:tcPr>
            <w:tcW w:w="10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-</w:t>
            </w:r>
          </w:p>
        </w:tc>
        <w:tc>
          <w:tcPr>
            <w:tcW w:w="10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1:200</w:t>
            </w:r>
          </w:p>
        </w:tc>
        <w:tc>
          <w:tcPr>
            <w:tcW w:w="13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  <w:t>-</w:t>
            </w:r>
          </w:p>
        </w:tc>
        <w:tc>
          <w:tcPr>
            <w:tcW w:w="181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  <w:t>Dako</w:t>
            </w:r>
            <w:r w:rsidRPr="005A392A">
              <w:rPr>
                <w:rFonts w:ascii="Palatino Linotype" w:hAnsi="Palatino Linotype" w:cstheme="minorHAnsi"/>
                <w:sz w:val="18"/>
                <w:szCs w:val="18"/>
              </w:rPr>
              <w:br/>
              <w:t>A0072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  <w:t>12 kDa</w:t>
            </w:r>
          </w:p>
        </w:tc>
      </w:tr>
      <w:tr w:rsidR="001369DD" w:rsidRPr="005A392A" w:rsidTr="005A392A">
        <w:trPr>
          <w:jc w:val="center"/>
        </w:trPr>
        <w:tc>
          <w:tcPr>
            <w:tcW w:w="13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D2-40</w:t>
            </w:r>
          </w:p>
        </w:tc>
        <w:tc>
          <w:tcPr>
            <w:tcW w:w="9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Mouse</w:t>
            </w:r>
          </w:p>
        </w:tc>
        <w:tc>
          <w:tcPr>
            <w:tcW w:w="10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1:10.000</w:t>
            </w:r>
          </w:p>
        </w:tc>
        <w:tc>
          <w:tcPr>
            <w:tcW w:w="10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-</w:t>
            </w:r>
          </w:p>
        </w:tc>
        <w:tc>
          <w:tcPr>
            <w:tcW w:w="13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  <w:t>TEG</w:t>
            </w:r>
          </w:p>
        </w:tc>
        <w:tc>
          <w:tcPr>
            <w:tcW w:w="181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Dako</w:t>
            </w:r>
          </w:p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M3619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-</w:t>
            </w:r>
          </w:p>
        </w:tc>
      </w:tr>
      <w:tr w:rsidR="001369DD" w:rsidRPr="005A392A" w:rsidTr="005A392A">
        <w:trPr>
          <w:jc w:val="center"/>
        </w:trPr>
        <w:tc>
          <w:tcPr>
            <w:tcW w:w="13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369DD" w:rsidRPr="005A392A" w:rsidRDefault="00241CA1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SOX2</w:t>
            </w:r>
          </w:p>
        </w:tc>
        <w:tc>
          <w:tcPr>
            <w:tcW w:w="9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369DD" w:rsidRPr="005A392A" w:rsidRDefault="00241CA1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Goat</w:t>
            </w:r>
          </w:p>
        </w:tc>
        <w:tc>
          <w:tcPr>
            <w:tcW w:w="10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1:</w:t>
            </w:r>
            <w:r w:rsidR="00241CA1"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18</w:t>
            </w: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00</w:t>
            </w:r>
          </w:p>
        </w:tc>
        <w:tc>
          <w:tcPr>
            <w:tcW w:w="10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-</w:t>
            </w:r>
          </w:p>
        </w:tc>
        <w:tc>
          <w:tcPr>
            <w:tcW w:w="13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  <w:t>TEG</w:t>
            </w:r>
          </w:p>
        </w:tc>
        <w:tc>
          <w:tcPr>
            <w:tcW w:w="181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369DD" w:rsidRPr="005A392A" w:rsidRDefault="00241CA1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R&amp;D Systems</w:t>
            </w:r>
          </w:p>
          <w:p w:rsidR="00241CA1" w:rsidRPr="005A392A" w:rsidRDefault="00241CA1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AF2018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-</w:t>
            </w:r>
          </w:p>
        </w:tc>
      </w:tr>
      <w:tr w:rsidR="001369DD" w:rsidRPr="005A392A" w:rsidTr="005A392A">
        <w:trPr>
          <w:jc w:val="center"/>
        </w:trPr>
        <w:tc>
          <w:tcPr>
            <w:tcW w:w="1304" w:type="dxa"/>
            <w:tcBorders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β-actin</w:t>
            </w:r>
          </w:p>
        </w:tc>
        <w:tc>
          <w:tcPr>
            <w:tcW w:w="964" w:type="dxa"/>
            <w:tcBorders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Mouse</w:t>
            </w: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1:200</w:t>
            </w:r>
          </w:p>
        </w:tc>
        <w:tc>
          <w:tcPr>
            <w:tcW w:w="1361" w:type="dxa"/>
            <w:tcBorders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  <w:t>-</w:t>
            </w:r>
          </w:p>
        </w:tc>
        <w:tc>
          <w:tcPr>
            <w:tcW w:w="1814" w:type="dxa"/>
            <w:tcBorders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Santa Cruz</w:t>
            </w:r>
          </w:p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Theme="minorEastAsia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sc-8035</w:t>
            </w:r>
          </w:p>
        </w:tc>
        <w:tc>
          <w:tcPr>
            <w:tcW w:w="15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369DD" w:rsidRPr="005A392A" w:rsidRDefault="001369DD" w:rsidP="005A392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</w:pPr>
            <w:r w:rsidRPr="005A392A">
              <w:rPr>
                <w:rFonts w:ascii="Palatino Linotype" w:eastAsia="Times New Roman" w:hAnsi="Palatino Linotype" w:cstheme="minorHAnsi"/>
                <w:color w:val="000000" w:themeColor="text1"/>
                <w:kern w:val="24"/>
                <w:sz w:val="18"/>
                <w:szCs w:val="18"/>
                <w:lang w:eastAsia="da-DK"/>
              </w:rPr>
              <w:t>43 kDa</w:t>
            </w:r>
          </w:p>
        </w:tc>
      </w:tr>
    </w:tbl>
    <w:p w:rsidR="001369DD" w:rsidRDefault="001369DD" w:rsidP="001369DD">
      <w:pPr>
        <w:adjustRightInd w:val="0"/>
        <w:snapToGrid w:val="0"/>
        <w:spacing w:after="0"/>
        <w:ind w:left="425" w:right="425"/>
        <w:jc w:val="both"/>
      </w:pPr>
      <w:r w:rsidRPr="001369DD">
        <w:rPr>
          <w:rFonts w:ascii="Palatino Linotype" w:eastAsia="Times New Roman" w:hAnsi="Palatino Linotype" w:cstheme="minorHAnsi"/>
          <w:iCs/>
          <w:color w:val="000000" w:themeColor="text1"/>
          <w:kern w:val="24"/>
          <w:sz w:val="18"/>
          <w:szCs w:val="18"/>
          <w:lang w:val="en-US" w:eastAsia="da-DK"/>
        </w:rPr>
        <w:t>Abbreviations</w:t>
      </w:r>
      <w:r w:rsidRPr="001369DD">
        <w:rPr>
          <w:rFonts w:ascii="Palatino Linotype" w:eastAsia="Times New Roman" w:hAnsi="Palatino Linotype" w:cstheme="minorHAnsi"/>
          <w:i/>
          <w:iCs/>
          <w:color w:val="000000" w:themeColor="text1"/>
          <w:kern w:val="24"/>
          <w:sz w:val="18"/>
          <w:szCs w:val="18"/>
          <w:lang w:val="en-US" w:eastAsia="da-DK"/>
        </w:rPr>
        <w:t>:</w:t>
      </w:r>
      <w:r w:rsidRPr="001369DD">
        <w:rPr>
          <w:rFonts w:ascii="Palatino Linotype" w:eastAsia="Times New Roman" w:hAnsi="Palatino Linotype" w:cstheme="minorHAnsi"/>
          <w:color w:val="000000" w:themeColor="text1"/>
          <w:kern w:val="24"/>
          <w:sz w:val="18"/>
          <w:szCs w:val="18"/>
          <w:lang w:val="en-US" w:eastAsia="da-DK"/>
        </w:rPr>
        <w:t xml:space="preserve"> B2M, </w:t>
      </w:r>
      <w:r w:rsidR="00241CA1">
        <w:rPr>
          <w:rFonts w:ascii="Palatino Linotype" w:eastAsia="Times New Roman" w:hAnsi="Palatino Linotype" w:cstheme="minorHAnsi"/>
          <w:color w:val="000000" w:themeColor="text1"/>
          <w:kern w:val="24"/>
          <w:sz w:val="18"/>
          <w:szCs w:val="18"/>
          <w:lang w:val="en-US" w:eastAsia="da-DK"/>
        </w:rPr>
        <w:t>b</w:t>
      </w:r>
      <w:r w:rsidRPr="001369DD">
        <w:rPr>
          <w:rFonts w:ascii="Palatino Linotype" w:eastAsia="Times New Roman" w:hAnsi="Palatino Linotype" w:cstheme="minorHAnsi"/>
          <w:color w:val="000000" w:themeColor="text1"/>
          <w:kern w:val="24"/>
          <w:sz w:val="18"/>
          <w:szCs w:val="18"/>
          <w:lang w:val="en-US" w:eastAsia="da-DK"/>
        </w:rPr>
        <w:t>eta-2-microglobulin; IHC</w:t>
      </w:r>
      <w:r w:rsidR="00241CA1">
        <w:rPr>
          <w:rFonts w:ascii="Palatino Linotype" w:eastAsia="Times New Roman" w:hAnsi="Palatino Linotype" w:cstheme="minorHAnsi"/>
          <w:color w:val="000000" w:themeColor="text1"/>
          <w:kern w:val="24"/>
          <w:sz w:val="18"/>
          <w:szCs w:val="18"/>
          <w:lang w:val="en-US" w:eastAsia="da-DK"/>
        </w:rPr>
        <w:t>, i</w:t>
      </w:r>
      <w:r w:rsidRPr="001369DD">
        <w:rPr>
          <w:rFonts w:ascii="Palatino Linotype" w:eastAsia="Times New Roman" w:hAnsi="Palatino Linotype" w:cstheme="minorHAnsi"/>
          <w:color w:val="000000" w:themeColor="text1"/>
          <w:kern w:val="24"/>
          <w:sz w:val="18"/>
          <w:szCs w:val="18"/>
          <w:lang w:val="en-US" w:eastAsia="da-DK"/>
        </w:rPr>
        <w:t xml:space="preserve">mmunohistochemistry; LHCGR, </w:t>
      </w:r>
      <w:r w:rsidR="00241CA1">
        <w:rPr>
          <w:rFonts w:ascii="Palatino Linotype" w:hAnsi="Palatino Linotype" w:cstheme="minorHAnsi"/>
          <w:sz w:val="18"/>
          <w:szCs w:val="18"/>
          <w:lang w:val="en-US"/>
        </w:rPr>
        <w:t>l</w:t>
      </w:r>
      <w:r w:rsidRPr="001369DD">
        <w:rPr>
          <w:rFonts w:ascii="Palatino Linotype" w:hAnsi="Palatino Linotype" w:cstheme="minorHAnsi"/>
          <w:sz w:val="18"/>
          <w:szCs w:val="18"/>
          <w:lang w:val="en-US"/>
        </w:rPr>
        <w:t>uteinizing hormone/</w:t>
      </w:r>
      <w:proofErr w:type="spellStart"/>
      <w:r w:rsidRPr="001369DD">
        <w:rPr>
          <w:rFonts w:ascii="Palatino Linotype" w:hAnsi="Palatino Linotype" w:cstheme="minorHAnsi"/>
          <w:sz w:val="18"/>
          <w:szCs w:val="18"/>
          <w:lang w:val="en-US"/>
        </w:rPr>
        <w:t>choriogonadotropin</w:t>
      </w:r>
      <w:proofErr w:type="spellEnd"/>
      <w:r w:rsidRPr="001369DD">
        <w:rPr>
          <w:rFonts w:ascii="Palatino Linotype" w:hAnsi="Palatino Linotype" w:cstheme="minorHAnsi"/>
          <w:sz w:val="18"/>
          <w:szCs w:val="18"/>
          <w:lang w:val="en-US"/>
        </w:rPr>
        <w:t xml:space="preserve"> receptor</w:t>
      </w:r>
      <w:r w:rsidRPr="001369DD">
        <w:rPr>
          <w:rFonts w:ascii="Palatino Linotype" w:eastAsia="Times New Roman" w:hAnsi="Palatino Linotype" w:cstheme="minorHAnsi"/>
          <w:color w:val="000000" w:themeColor="text1"/>
          <w:kern w:val="24"/>
          <w:sz w:val="18"/>
          <w:szCs w:val="18"/>
          <w:lang w:val="en-US" w:eastAsia="da-DK"/>
        </w:rPr>
        <w:t xml:space="preserve">; </w:t>
      </w:r>
      <w:r w:rsidR="006F3604">
        <w:rPr>
          <w:rFonts w:ascii="Palatino Linotype" w:eastAsia="Times New Roman" w:hAnsi="Palatino Linotype" w:cstheme="minorHAnsi"/>
          <w:color w:val="000000" w:themeColor="text1"/>
          <w:kern w:val="24"/>
          <w:sz w:val="18"/>
          <w:szCs w:val="18"/>
          <w:lang w:val="en-US" w:eastAsia="da-DK"/>
        </w:rPr>
        <w:t>SOX2, s</w:t>
      </w:r>
      <w:r w:rsidR="006F3604" w:rsidRPr="006F3604">
        <w:rPr>
          <w:rFonts w:ascii="Palatino Linotype" w:eastAsia="Times New Roman" w:hAnsi="Palatino Linotype" w:cstheme="minorHAnsi"/>
          <w:color w:val="000000" w:themeColor="text1"/>
          <w:kern w:val="24"/>
          <w:sz w:val="18"/>
          <w:szCs w:val="18"/>
          <w:lang w:val="en-US" w:eastAsia="da-DK"/>
        </w:rPr>
        <w:t>ex determining region Y-box 2</w:t>
      </w:r>
      <w:r w:rsidR="006F3604">
        <w:rPr>
          <w:rFonts w:ascii="Palatino Linotype" w:eastAsia="Times New Roman" w:hAnsi="Palatino Linotype" w:cstheme="minorHAnsi"/>
          <w:color w:val="000000" w:themeColor="text1"/>
          <w:kern w:val="24"/>
          <w:sz w:val="18"/>
          <w:szCs w:val="18"/>
          <w:lang w:val="en-US" w:eastAsia="da-DK"/>
        </w:rPr>
        <w:t xml:space="preserve">; </w:t>
      </w:r>
      <w:r w:rsidRPr="001369DD">
        <w:rPr>
          <w:rFonts w:ascii="Palatino Linotype" w:eastAsia="Times New Roman" w:hAnsi="Palatino Linotype" w:cstheme="minorHAnsi"/>
          <w:color w:val="000000" w:themeColor="text1"/>
          <w:kern w:val="24"/>
          <w:sz w:val="18"/>
          <w:szCs w:val="18"/>
          <w:lang w:val="en-US" w:eastAsia="da-DK"/>
        </w:rPr>
        <w:t xml:space="preserve">WB, </w:t>
      </w:r>
      <w:r w:rsidR="00241CA1">
        <w:rPr>
          <w:rFonts w:ascii="Palatino Linotype" w:eastAsia="Times New Roman" w:hAnsi="Palatino Linotype" w:cstheme="minorHAnsi"/>
          <w:color w:val="000000" w:themeColor="text1"/>
          <w:kern w:val="24"/>
          <w:sz w:val="18"/>
          <w:szCs w:val="18"/>
          <w:lang w:val="en-US" w:eastAsia="da-DK"/>
        </w:rPr>
        <w:t>w</w:t>
      </w:r>
      <w:r w:rsidRPr="001369DD">
        <w:rPr>
          <w:rFonts w:ascii="Palatino Linotype" w:eastAsia="Times New Roman" w:hAnsi="Palatino Linotype" w:cstheme="minorHAnsi"/>
          <w:color w:val="000000" w:themeColor="text1"/>
          <w:kern w:val="24"/>
          <w:sz w:val="18"/>
          <w:szCs w:val="18"/>
          <w:lang w:val="en-US" w:eastAsia="da-DK"/>
        </w:rPr>
        <w:t xml:space="preserve">estern blot. </w:t>
      </w:r>
      <w:r w:rsidRPr="001369DD">
        <w:rPr>
          <w:rFonts w:ascii="Palatino Linotype" w:eastAsiaTheme="minorEastAsia" w:hAnsi="Palatino Linotype" w:cstheme="minorHAnsi"/>
          <w:color w:val="000000" w:themeColor="text1"/>
          <w:kern w:val="24"/>
          <w:sz w:val="18"/>
          <w:szCs w:val="18"/>
          <w:lang w:val="en-US" w:eastAsia="da-DK"/>
        </w:rPr>
        <w:t xml:space="preserve">For all antibodies, antigen retrieval was conducted by placing the sections in a pressure cooker in the indicated retrieval buffer for 60 min. TEG buffer: 10 </w:t>
      </w:r>
      <w:proofErr w:type="spellStart"/>
      <w:r w:rsidRPr="001369DD">
        <w:rPr>
          <w:rFonts w:ascii="Palatino Linotype" w:eastAsiaTheme="minorEastAsia" w:hAnsi="Palatino Linotype" w:cstheme="minorHAnsi"/>
          <w:color w:val="000000" w:themeColor="text1"/>
          <w:kern w:val="24"/>
          <w:sz w:val="18"/>
          <w:szCs w:val="18"/>
          <w:lang w:val="en-US" w:eastAsia="da-DK"/>
        </w:rPr>
        <w:t>mM.</w:t>
      </w:r>
      <w:proofErr w:type="spellEnd"/>
    </w:p>
    <w:sectPr w:rsidR="001369DD" w:rsidSect="00E131E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D15" w:rsidRDefault="00C71D15" w:rsidP="00C1340D">
      <w:r>
        <w:separator/>
      </w:r>
    </w:p>
  </w:endnote>
  <w:endnote w:type="continuationSeparator" w:id="0">
    <w:p w:rsidR="00C71D15" w:rsidRDefault="00C71D15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5A392A"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92A" w:rsidRDefault="005A392A" w:rsidP="005A392A">
    <w:pPr>
      <w:pStyle w:val="MDPIfooterfirstpage"/>
      <w:spacing w:line="240" w:lineRule="auto"/>
      <w:jc w:val="both"/>
      <w:rPr>
        <w:lang w:val="fr-CH"/>
      </w:rPr>
    </w:pPr>
    <w:r>
      <w:rPr>
        <w:i/>
      </w:rPr>
      <w:t xml:space="preserve">Cancers </w:t>
    </w:r>
    <w:r>
      <w:rPr>
        <w:b/>
      </w:rPr>
      <w:t>2020</w:t>
    </w:r>
    <w:r>
      <w:t xml:space="preserve">, </w:t>
    </w:r>
    <w:r>
      <w:rPr>
        <w:i/>
      </w:rPr>
      <w:t>12</w:t>
    </w:r>
    <w:r>
      <w:t xml:space="preserve">, x; </w:t>
    </w:r>
    <w:proofErr w:type="spellStart"/>
    <w:r>
      <w:t>doi</w:t>
    </w:r>
    <w:proofErr w:type="spellEnd"/>
    <w:r>
      <w:t>:</w:t>
    </w:r>
    <w:r>
      <w:rPr>
        <w:lang w:val="fr-CH"/>
      </w:rPr>
      <w:tab/>
      <w:t>www.mdpi.com/journal/</w:t>
    </w:r>
    <w:r>
      <w:t>cancers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D15" w:rsidRDefault="00C71D15" w:rsidP="00C1340D">
      <w:r>
        <w:separator/>
      </w:r>
    </w:p>
  </w:footnote>
  <w:footnote w:type="continuationSeparator" w:id="0">
    <w:p w:rsidR="00C71D15" w:rsidRDefault="00C71D15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92A" w:rsidRDefault="005A392A" w:rsidP="005A392A">
    <w:pPr>
      <w:pStyle w:val="MDPIheaderjournallogo"/>
    </w:pPr>
    <w:r>
      <w:rPr>
        <w:noProof/>
        <w:lang w:eastAsia="zh-CN"/>
      </w:rPr>
      <w:drawing>
        <wp:inline distT="0" distB="0" distL="0" distR="0">
          <wp:extent cx="1682750" cy="431800"/>
          <wp:effectExtent l="0" t="0" r="0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zh-CN"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2925" cy="709295"/>
              <wp:effectExtent l="0" t="0" r="1905" b="0"/>
              <wp:wrapNone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27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A392A" w:rsidRDefault="005A392A" w:rsidP="005A392A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>
                            <w:rPr>
                              <w:rFonts w:ascii="Calibri" w:eastAsia="宋体" w:hAnsi="Calibri" w:cs="Calibri"/>
                              <w:i w:val="0"/>
                              <w:noProof/>
                              <w:color w:val="auto"/>
                              <w:sz w:val="20"/>
                              <w:szCs w:val="20"/>
                              <w:lang w:eastAsia="zh-CN"/>
                            </w:rPr>
                            <w:drawing>
                              <wp:inline distT="0" distB="0" distL="0" distR="0">
                                <wp:extent cx="541020" cy="351155"/>
                                <wp:effectExtent l="0" t="0" r="0" b="0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1020" cy="3511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left:0;text-align:left;margin-left:474.8pt;margin-top:51pt;width:42.75pt;height:55.85pt;z-index:-251658240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" stroked="f">
              <v:textbox inset="0,0,0,0">
                <w:txbxContent>
                  <w:p w:rsidR="005A392A" w:rsidRDefault="005A392A" w:rsidP="005A392A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>
                      <w:rPr>
                        <w:rFonts w:ascii="Calibri" w:eastAsia="宋体" w:hAnsi="Calibri" w:cs="Calibri"/>
                        <w:i w:val="0"/>
                        <w:noProof/>
                        <w:color w:val="auto"/>
                        <w:sz w:val="20"/>
                        <w:szCs w:val="20"/>
                        <w:lang w:eastAsia="zh-CN"/>
                      </w:rPr>
                      <w:drawing>
                        <wp:inline distT="0" distB="0" distL="0" distR="0">
                          <wp:extent cx="541020" cy="351155"/>
                          <wp:effectExtent l="0" t="0" r="0" b="0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1020" cy="3511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9DD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0E68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8E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91C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761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DE9"/>
    <w:rsid w:val="000C5EDA"/>
    <w:rsid w:val="000C5F44"/>
    <w:rsid w:val="000C60FA"/>
    <w:rsid w:val="000C6263"/>
    <w:rsid w:val="000C66C0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1BE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08E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4CF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9DD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7F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5BA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133"/>
    <w:rsid w:val="00222425"/>
    <w:rsid w:val="00222A9B"/>
    <w:rsid w:val="00222C76"/>
    <w:rsid w:val="00223323"/>
    <w:rsid w:val="0022334D"/>
    <w:rsid w:val="002239C1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1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21B"/>
    <w:rsid w:val="00250220"/>
    <w:rsid w:val="00250261"/>
    <w:rsid w:val="00250360"/>
    <w:rsid w:val="002508D0"/>
    <w:rsid w:val="00250B94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868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39A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A33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1F87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A2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1DE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04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2EC8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602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8B5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11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7F2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9A4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27D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4C0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92A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77E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040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A3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AF0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A5B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3EB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39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34D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0CB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04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125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997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354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757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593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71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DAF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989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2FB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7C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C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A25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13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D0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96C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543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6AC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927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07D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0F28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2E1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1D15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9B9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B9A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5BF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138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1E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CF9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26A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955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AA6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1E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A66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927"/>
    <w:rsid w:val="00E60A8C"/>
    <w:rsid w:val="00E60C88"/>
    <w:rsid w:val="00E60D96"/>
    <w:rsid w:val="00E61061"/>
    <w:rsid w:val="00E612FC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632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231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3F93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87EEF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4B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3B9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2C52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57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5A33596-9988-4902-92F1-CCC09B73B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DD"/>
    <w:pPr>
      <w:spacing w:after="200" w:line="276" w:lineRule="auto"/>
      <w:jc w:val="left"/>
    </w:pPr>
    <w:rPr>
      <w:rFonts w:asciiTheme="minorHAnsi" w:eastAsiaTheme="minorHAnsi" w:hAnsiTheme="minorHAnsi" w:cstheme="minorBidi"/>
      <w:color w:val="auto"/>
      <w:sz w:val="22"/>
      <w:szCs w:val="22"/>
      <w:lang w:val="da-DK" w:eastAsia="en-US"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 w:after="0" w:line="260" w:lineRule="atLeast"/>
      <w:jc w:val="both"/>
      <w:outlineLvl w:val="0"/>
    </w:pPr>
    <w:rPr>
      <w:rFonts w:ascii="Arial" w:eastAsiaTheme="minorEastAsia" w:hAnsi="Arial" w:cs="Times New Roman"/>
      <w:b/>
      <w:noProof/>
      <w:color w:val="000000"/>
      <w:sz w:val="20"/>
      <w:szCs w:val="20"/>
      <w:u w:val="single"/>
      <w:lang w:val="en-US" w:eastAsia="zh-CN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 w:after="0" w:line="260" w:lineRule="atLeast"/>
      <w:jc w:val="both"/>
      <w:outlineLvl w:val="1"/>
    </w:pPr>
    <w:rPr>
      <w:rFonts w:ascii="Arial" w:eastAsiaTheme="minorEastAsia" w:hAnsi="Arial" w:cstheme="majorBidi"/>
      <w:b/>
      <w:noProof/>
      <w:color w:val="000000"/>
      <w:sz w:val="20"/>
      <w:szCs w:val="20"/>
      <w:lang w:val="en-US" w:eastAsia="zh-CN"/>
    </w:rPr>
  </w:style>
  <w:style w:type="paragraph" w:styleId="Heading3">
    <w:name w:val="heading 3"/>
    <w:basedOn w:val="Normal"/>
    <w:next w:val="Normal"/>
    <w:link w:val="Heading3Char"/>
    <w:qFormat/>
    <w:rsid w:val="007C0926"/>
    <w:pPr>
      <w:spacing w:after="0" w:line="260" w:lineRule="atLeast"/>
      <w:ind w:left="360"/>
      <w:jc w:val="both"/>
      <w:outlineLvl w:val="2"/>
    </w:pPr>
    <w:rPr>
      <w:rFonts w:ascii="Palatino Linotype" w:eastAsiaTheme="minorEastAsia" w:hAnsi="Palatino Linotype" w:cs="Times New Roman"/>
      <w:b/>
      <w:noProof/>
      <w:color w:val="000000"/>
      <w:sz w:val="20"/>
      <w:szCs w:val="20"/>
      <w:lang w:val="en-US" w:eastAsia="zh-CN"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after="0" w:line="480" w:lineRule="atLeast"/>
      <w:ind w:left="907" w:hanging="907"/>
      <w:jc w:val="both"/>
      <w:outlineLvl w:val="3"/>
    </w:pPr>
    <w:rPr>
      <w:rFonts w:ascii="Arial" w:eastAsiaTheme="minorEastAsia" w:hAnsi="Arial" w:cstheme="majorBidi"/>
      <w:b/>
      <w:noProof/>
      <w:color w:val="000000"/>
      <w:sz w:val="20"/>
      <w:szCs w:val="20"/>
      <w:lang w:val="en-US" w:eastAsia="zh-CN"/>
    </w:rPr>
  </w:style>
  <w:style w:type="paragraph" w:styleId="Heading5">
    <w:name w:val="heading 5"/>
    <w:basedOn w:val="Normal"/>
    <w:next w:val="Normal"/>
    <w:link w:val="Heading5Char"/>
    <w:qFormat/>
    <w:rsid w:val="007C0926"/>
    <w:pPr>
      <w:spacing w:after="0" w:line="260" w:lineRule="atLeast"/>
      <w:ind w:left="706"/>
      <w:jc w:val="both"/>
      <w:outlineLvl w:val="4"/>
    </w:pPr>
    <w:rPr>
      <w:rFonts w:ascii="Palatino Linotype" w:eastAsiaTheme="minorEastAsia" w:hAnsi="Palatino Linotype" w:cs="Times New Roman"/>
      <w:b/>
      <w:noProof/>
      <w:color w:val="000000"/>
      <w:sz w:val="20"/>
      <w:szCs w:val="20"/>
      <w:lang w:val="en-US" w:eastAsia="zh-CN"/>
    </w:rPr>
  </w:style>
  <w:style w:type="paragraph" w:styleId="Heading6">
    <w:name w:val="heading 6"/>
    <w:basedOn w:val="Normal"/>
    <w:next w:val="Normal"/>
    <w:link w:val="Heading6Char"/>
    <w:qFormat/>
    <w:rsid w:val="007C0926"/>
    <w:pPr>
      <w:spacing w:after="0" w:line="260" w:lineRule="atLeast"/>
      <w:ind w:left="706"/>
      <w:jc w:val="both"/>
      <w:outlineLvl w:val="5"/>
    </w:pPr>
    <w:rPr>
      <w:rFonts w:ascii="Palatino Linotype" w:eastAsiaTheme="minorEastAsia" w:hAnsi="Palatino Linotype" w:cstheme="majorBidi"/>
      <w:noProof/>
      <w:color w:val="000000"/>
      <w:sz w:val="20"/>
      <w:szCs w:val="20"/>
      <w:u w:val="single"/>
      <w:lang w:val="en-US" w:eastAsia="zh-CN"/>
    </w:rPr>
  </w:style>
  <w:style w:type="paragraph" w:styleId="Heading7">
    <w:name w:val="heading 7"/>
    <w:basedOn w:val="Normal"/>
    <w:next w:val="Normal"/>
    <w:link w:val="Heading7Char"/>
    <w:qFormat/>
    <w:rsid w:val="007C0926"/>
    <w:pPr>
      <w:spacing w:after="0" w:line="260" w:lineRule="atLeast"/>
      <w:ind w:left="706"/>
      <w:jc w:val="both"/>
      <w:outlineLvl w:val="6"/>
    </w:pPr>
    <w:rPr>
      <w:rFonts w:ascii="Palatino Linotype" w:eastAsiaTheme="minorEastAsia" w:hAnsi="Palatino Linotype" w:cs="Times New Roman"/>
      <w:i/>
      <w:noProof/>
      <w:color w:val="000000"/>
      <w:sz w:val="20"/>
      <w:szCs w:val="20"/>
      <w:lang w:val="en-US" w:eastAsia="zh-CN"/>
    </w:rPr>
  </w:style>
  <w:style w:type="paragraph" w:styleId="Heading8">
    <w:name w:val="heading 8"/>
    <w:basedOn w:val="Normal"/>
    <w:next w:val="Normal"/>
    <w:link w:val="Heading8Char"/>
    <w:qFormat/>
    <w:rsid w:val="007C0926"/>
    <w:pPr>
      <w:spacing w:after="0" w:line="260" w:lineRule="atLeast"/>
      <w:ind w:left="706"/>
      <w:jc w:val="both"/>
      <w:outlineLvl w:val="7"/>
    </w:pPr>
    <w:rPr>
      <w:rFonts w:ascii="Palatino Linotype" w:eastAsiaTheme="minorEastAsia" w:hAnsi="Palatino Linotype" w:cstheme="majorBidi"/>
      <w:i/>
      <w:noProof/>
      <w:color w:val="000000"/>
      <w:sz w:val="20"/>
      <w:szCs w:val="20"/>
      <w:lang w:val="en-US" w:eastAsia="zh-CN"/>
    </w:rPr>
  </w:style>
  <w:style w:type="paragraph" w:styleId="Heading9">
    <w:name w:val="heading 9"/>
    <w:basedOn w:val="Normal"/>
    <w:next w:val="Normal"/>
    <w:link w:val="Heading9Char"/>
    <w:qFormat/>
    <w:rsid w:val="007C0926"/>
    <w:pPr>
      <w:spacing w:after="0" w:line="260" w:lineRule="atLeast"/>
      <w:ind w:left="706"/>
      <w:jc w:val="both"/>
      <w:outlineLvl w:val="8"/>
    </w:pPr>
    <w:rPr>
      <w:rFonts w:ascii="Palatino Linotype" w:eastAsiaTheme="minorEastAsia" w:hAnsi="Palatino Linotype" w:cstheme="majorBidi"/>
      <w:i/>
      <w:noProof/>
      <w:color w:val="000000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after="0" w:line="240" w:lineRule="auto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spacing w:after="0" w:line="260" w:lineRule="atLeast"/>
      <w:ind w:left="200" w:hangingChars="200" w:hanging="200"/>
      <w:contextualSpacing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paragraph" w:styleId="ListBullet">
    <w:name w:val="List Bullet"/>
    <w:basedOn w:val="Normal"/>
    <w:rsid w:val="007C0926"/>
    <w:pPr>
      <w:tabs>
        <w:tab w:val="num" w:pos="360"/>
      </w:tabs>
      <w:spacing w:after="0" w:line="260" w:lineRule="atLeast"/>
      <w:ind w:left="200" w:hangingChars="200" w:hanging="200"/>
      <w:contextualSpacing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paragraph" w:styleId="ListParagraph">
    <w:name w:val="List Paragraph"/>
    <w:basedOn w:val="Normal"/>
    <w:uiPriority w:val="34"/>
    <w:qFormat/>
    <w:rsid w:val="007C0926"/>
    <w:pPr>
      <w:spacing w:after="0" w:line="260" w:lineRule="atLeast"/>
      <w:ind w:firstLineChars="200" w:firstLine="420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rsid w:val="007C0926"/>
    <w:pPr>
      <w:spacing w:after="0" w:line="260" w:lineRule="atLeast"/>
      <w:jc w:val="both"/>
    </w:pPr>
    <w:rPr>
      <w:rFonts w:ascii="Palatino Linotype" w:eastAsiaTheme="minorEastAsia" w:hAnsi="Palatino Linotype" w:cs="Tahoma"/>
      <w:noProof/>
      <w:color w:val="000000"/>
      <w:sz w:val="20"/>
      <w:szCs w:val="18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  <w:pPr>
      <w:spacing w:after="0" w:line="260" w:lineRule="atLeast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pPr>
      <w:spacing w:after="0" w:line="260" w:lineRule="atLeast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4"/>
      <w:lang w:val="en-US" w:eastAsia="zh-CN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  <w:pPr>
      <w:spacing w:after="0" w:line="260" w:lineRule="atLeast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paragraph" w:styleId="Caption">
    <w:name w:val="caption"/>
    <w:basedOn w:val="Normal"/>
    <w:next w:val="Normal"/>
    <w:qFormat/>
    <w:rsid w:val="007C0926"/>
    <w:pPr>
      <w:spacing w:after="0" w:line="260" w:lineRule="atLeast"/>
      <w:ind w:left="850" w:hanging="850"/>
      <w:jc w:val="center"/>
    </w:pPr>
    <w:rPr>
      <w:rFonts w:ascii="Palatino Linotype" w:eastAsiaTheme="minorEastAsia" w:hAnsi="Palatino Linotype" w:cs="Times New Roman"/>
      <w:b/>
      <w:bCs/>
      <w:noProof/>
      <w:color w:val="000000"/>
      <w:sz w:val="20"/>
      <w:szCs w:val="24"/>
      <w:lang w:val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after="0" w:line="220" w:lineRule="exact"/>
      <w:jc w:val="both"/>
    </w:pPr>
    <w:rPr>
      <w:rFonts w:ascii="Palatino Linotype" w:eastAsiaTheme="minorEastAsia" w:hAnsi="Palatino Linotype" w:cs="Times New Roman"/>
      <w:noProof/>
      <w:color w:val="000000"/>
      <w:sz w:val="16"/>
      <w:szCs w:val="16"/>
      <w:lang w:val="en-US" w:eastAsia="zh-CN"/>
    </w:rPr>
  </w:style>
  <w:style w:type="table" w:styleId="TableGrid">
    <w:name w:val="Table Grid"/>
    <w:basedOn w:val="TableNormal"/>
    <w:uiPriority w:val="59"/>
    <w:rsid w:val="007C0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after="0" w:line="240" w:lineRule="auto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18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Palatino Linotype" w:eastAsiaTheme="minorEastAsia" w:hAnsi="Palatino Linotype" w:cs="Times New Roman"/>
      <w:noProof/>
      <w:color w:val="000000"/>
      <w:sz w:val="20"/>
      <w:szCs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outlineLvl w:val="0"/>
    </w:pPr>
    <w:rPr>
      <w:rFonts w:ascii="Palatino Linotype" w:eastAsia="宋体" w:hAnsi="Palatino Linotype" w:cs="Times New Roman"/>
      <w:b/>
      <w:bCs/>
      <w:noProof/>
      <w:sz w:val="20"/>
      <w:szCs w:val="24"/>
      <w:lang w:val="en-US" w:eastAsia="zh-CN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after="0" w:line="240" w:lineRule="auto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after="0" w:line="240" w:lineRule="auto"/>
    </w:pPr>
    <w:rPr>
      <w:rFonts w:ascii="Times New Roman" w:eastAsia="Times New Roman" w:hAnsi="Times New Roman" w:cs="Times New Roman"/>
      <w:b/>
      <w:noProof/>
      <w:color w:val="000000"/>
      <w:lang w:val="en-US"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7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EA5DD-5DA4-472C-A723-A6E299515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198</Words>
  <Characters>1121</Characters>
  <Application>Microsoft Office Word</Application>
  <DocSecurity>0</DocSecurity>
  <Lines>99</Lines>
  <Paragraphs>81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4</cp:revision>
  <dcterms:created xsi:type="dcterms:W3CDTF">2020-05-25T14:36:00Z</dcterms:created>
  <dcterms:modified xsi:type="dcterms:W3CDTF">2020-05-26T01:06:00Z</dcterms:modified>
</cp:coreProperties>
</file>