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9048277" w14:textId="77777777" w:rsidR="00E70995" w:rsidRDefault="00E70995" w:rsidP="00E70995">
      <w:pPr>
        <w:adjustRightInd w:val="0"/>
        <w:snapToGrid w:val="0"/>
        <w:spacing w:after="240" w:line="400" w:lineRule="exact"/>
        <w:outlineLvl w:val="0"/>
        <w:rPr>
          <w:rFonts w:ascii="Palatino Linotype" w:hAnsi="Palatino Linotype"/>
          <w:b/>
          <w:sz w:val="36"/>
          <w:szCs w:val="36"/>
        </w:rPr>
      </w:pPr>
      <w:r w:rsidRPr="00BE36C7">
        <w:rPr>
          <w:rFonts w:ascii="Palatino Linotype" w:hAnsi="Palatino Linotype"/>
          <w:b/>
          <w:sz w:val="36"/>
        </w:rPr>
        <w:t>Supplementary</w:t>
      </w:r>
      <w:r w:rsidRPr="00BE36C7">
        <w:rPr>
          <w:rFonts w:ascii="Palatino Linotype" w:hAnsi="Palatino Linotype"/>
          <w:b/>
          <w:spacing w:val="-42"/>
          <w:sz w:val="36"/>
        </w:rPr>
        <w:t xml:space="preserve"> </w:t>
      </w:r>
      <w:r w:rsidRPr="00430778">
        <w:rPr>
          <w:rFonts w:ascii="Palatino Linotype" w:hAnsi="Palatino Linotype"/>
          <w:b/>
          <w:sz w:val="36"/>
          <w:szCs w:val="36"/>
        </w:rPr>
        <w:t xml:space="preserve">Materials: </w:t>
      </w:r>
    </w:p>
    <w:p w14:paraId="623939B0" w14:textId="77777777" w:rsidR="00E70995" w:rsidRPr="008A707C" w:rsidRDefault="00E70995" w:rsidP="00E70995">
      <w:pPr>
        <w:pStyle w:val="MDPI12title"/>
      </w:pPr>
      <w:bookmarkStart w:id="0" w:name="Heading"/>
      <w:bookmarkStart w:id="1" w:name="_bookmark0"/>
      <w:bookmarkStart w:id="2" w:name="_Hlk36462865"/>
      <w:bookmarkEnd w:id="0"/>
      <w:bookmarkEnd w:id="1"/>
      <w:r w:rsidRPr="008A707C">
        <w:t>Technical Evaluation of Commercial Mutation Analysis Platforms and Reference Materials for Liquid Biopsy Profiling</w:t>
      </w:r>
    </w:p>
    <w:p w14:paraId="32333F53" w14:textId="32A3A84A" w:rsidR="00E70995" w:rsidRPr="008A707C" w:rsidRDefault="00E70995" w:rsidP="00E70995">
      <w:pPr>
        <w:pStyle w:val="MDPI13authornames"/>
      </w:pPr>
      <w:bookmarkStart w:id="3" w:name="_Hlk36462883"/>
      <w:bookmarkEnd w:id="2"/>
      <w:r w:rsidRPr="003557E1">
        <w:t xml:space="preserve">Sabrina Weber, Benjamin </w:t>
      </w:r>
      <w:proofErr w:type="spellStart"/>
      <w:r w:rsidRPr="003557E1">
        <w:t>Spiegl</w:t>
      </w:r>
      <w:proofErr w:type="spellEnd"/>
      <w:r w:rsidRPr="003557E1">
        <w:t xml:space="preserve">, </w:t>
      </w:r>
      <w:r w:rsidRPr="003557E1">
        <w:rPr>
          <w:color w:val="auto"/>
        </w:rPr>
        <w:t xml:space="preserve">Samantha O. </w:t>
      </w:r>
      <w:proofErr w:type="spellStart"/>
      <w:r w:rsidRPr="003557E1">
        <w:t>Perakis</w:t>
      </w:r>
      <w:proofErr w:type="spellEnd"/>
      <w:r w:rsidRPr="003557E1">
        <w:t xml:space="preserve">, Christine M. </w:t>
      </w:r>
      <w:proofErr w:type="spellStart"/>
      <w:r w:rsidRPr="003557E1">
        <w:t>Ulz</w:t>
      </w:r>
      <w:proofErr w:type="spellEnd"/>
      <w:r w:rsidRPr="003557E1">
        <w:t xml:space="preserve">, Peter M. Abuja, Karl </w:t>
      </w:r>
      <w:proofErr w:type="spellStart"/>
      <w:r w:rsidRPr="003557E1">
        <w:t>Kashofer</w:t>
      </w:r>
      <w:proofErr w:type="spellEnd"/>
      <w:r w:rsidRPr="003557E1">
        <w:t>,</w:t>
      </w:r>
      <w:r w:rsidRPr="003557E1">
        <w:rPr>
          <w:vertAlign w:val="superscript"/>
        </w:rPr>
        <w:t xml:space="preserve"> </w:t>
      </w:r>
      <w:r w:rsidRPr="003557E1">
        <w:t xml:space="preserve">Paul van der </w:t>
      </w:r>
      <w:proofErr w:type="spellStart"/>
      <w:r w:rsidRPr="003557E1">
        <w:t>Leest</w:t>
      </w:r>
      <w:proofErr w:type="spellEnd"/>
      <w:r w:rsidRPr="003557E1">
        <w:t>,</w:t>
      </w:r>
      <w:r w:rsidRPr="003557E1">
        <w:rPr>
          <w:vertAlign w:val="superscript"/>
        </w:rPr>
        <w:t xml:space="preserve"> </w:t>
      </w:r>
      <w:r w:rsidRPr="003557E1">
        <w:t xml:space="preserve">Maria Aguirre </w:t>
      </w:r>
      <w:proofErr w:type="spellStart"/>
      <w:r w:rsidRPr="003557E1">
        <w:t>Azpurua</w:t>
      </w:r>
      <w:proofErr w:type="spellEnd"/>
      <w:r w:rsidRPr="003557E1">
        <w:t xml:space="preserve">, Menno </w:t>
      </w:r>
      <w:proofErr w:type="spellStart"/>
      <w:r w:rsidRPr="003557E1">
        <w:t>Tamminga</w:t>
      </w:r>
      <w:proofErr w:type="spellEnd"/>
      <w:r w:rsidRPr="003557E1">
        <w:t xml:space="preserve">, Dan </w:t>
      </w:r>
      <w:proofErr w:type="spellStart"/>
      <w:r w:rsidRPr="003557E1">
        <w:t>Brudzewsky</w:t>
      </w:r>
      <w:proofErr w:type="spellEnd"/>
      <w:r w:rsidRPr="003557E1">
        <w:t xml:space="preserve">, Dominic G. </w:t>
      </w:r>
      <w:proofErr w:type="spellStart"/>
      <w:r w:rsidRPr="003557E1">
        <w:t>Rothwell</w:t>
      </w:r>
      <w:proofErr w:type="spellEnd"/>
      <w:r w:rsidRPr="003557E1">
        <w:t xml:space="preserve">, </w:t>
      </w:r>
      <w:proofErr w:type="spellStart"/>
      <w:r w:rsidRPr="003557E1">
        <w:rPr>
          <w:color w:val="auto"/>
        </w:rPr>
        <w:t>Sumitra</w:t>
      </w:r>
      <w:proofErr w:type="spellEnd"/>
      <w:r w:rsidRPr="003557E1">
        <w:rPr>
          <w:color w:val="auto"/>
        </w:rPr>
        <w:t xml:space="preserve"> Mohan, Alexander </w:t>
      </w:r>
      <w:proofErr w:type="spellStart"/>
      <w:r w:rsidRPr="003557E1">
        <w:t>Sartori</w:t>
      </w:r>
      <w:proofErr w:type="spellEnd"/>
      <w:r w:rsidRPr="003557E1">
        <w:t xml:space="preserve">, Rita </w:t>
      </w:r>
      <w:proofErr w:type="spellStart"/>
      <w:r w:rsidRPr="003557E1">
        <w:t>Lampignano</w:t>
      </w:r>
      <w:proofErr w:type="spellEnd"/>
      <w:r w:rsidRPr="003557E1">
        <w:t xml:space="preserve">, Yves </w:t>
      </w:r>
      <w:proofErr w:type="spellStart"/>
      <w:r w:rsidRPr="003557E1">
        <w:t>Konigshofer</w:t>
      </w:r>
      <w:proofErr w:type="spellEnd"/>
      <w:r w:rsidRPr="003557E1">
        <w:fldChar w:fldCharType="begin"/>
      </w:r>
      <w:r w:rsidRPr="003557E1">
        <w:instrText xml:space="preserve"> HYPERLINK "mailto:Konigshofer@lgcgroup.com3" </w:instrText>
      </w:r>
      <w:r w:rsidRPr="003557E1">
        <w:fldChar w:fldCharType="separate"/>
      </w:r>
      <w:r w:rsidRPr="003557E1">
        <w:fldChar w:fldCharType="end"/>
      </w:r>
      <w:r w:rsidRPr="003557E1">
        <w:t xml:space="preserve">, </w:t>
      </w:r>
      <w:bookmarkStart w:id="4" w:name="OLE_LINK13"/>
      <w:r w:rsidRPr="003557E1">
        <w:t xml:space="preserve">Markus </w:t>
      </w:r>
      <w:proofErr w:type="spellStart"/>
      <w:r w:rsidRPr="003557E1">
        <w:t>Sprenger-Haussels</w:t>
      </w:r>
      <w:bookmarkEnd w:id="4"/>
      <w:proofErr w:type="spellEnd"/>
      <w:r w:rsidRPr="003557E1">
        <w:t xml:space="preserve">, Harriet </w:t>
      </w:r>
      <w:proofErr w:type="spellStart"/>
      <w:r w:rsidRPr="003557E1">
        <w:t>Wikman</w:t>
      </w:r>
      <w:proofErr w:type="spellEnd"/>
      <w:r w:rsidRPr="003557E1">
        <w:t xml:space="preserve">, </w:t>
      </w:r>
      <w:proofErr w:type="spellStart"/>
      <w:r w:rsidRPr="003557E1">
        <w:t>Inger</w:t>
      </w:r>
      <w:proofErr w:type="spellEnd"/>
      <w:r w:rsidRPr="003557E1">
        <w:t xml:space="preserve"> R. Bergheim, Vera </w:t>
      </w:r>
      <w:proofErr w:type="spellStart"/>
      <w:r w:rsidRPr="003557E1">
        <w:t>Kloten</w:t>
      </w:r>
      <w:proofErr w:type="spellEnd"/>
      <w:r w:rsidRPr="003557E1">
        <w:t xml:space="preserve">, Ed </w:t>
      </w:r>
      <w:proofErr w:type="spellStart"/>
      <w:r w:rsidRPr="003557E1">
        <w:t>Schuuring</w:t>
      </w:r>
      <w:proofErr w:type="spellEnd"/>
      <w:r w:rsidRPr="003557E1">
        <w:t xml:space="preserve">, </w:t>
      </w:r>
      <w:bookmarkStart w:id="5" w:name="OLE_LINK3"/>
      <w:bookmarkStart w:id="6" w:name="OLE_LINK4"/>
      <w:r w:rsidRPr="003557E1">
        <w:t xml:space="preserve">Michael R. </w:t>
      </w:r>
      <w:proofErr w:type="spellStart"/>
      <w:r w:rsidRPr="003557E1">
        <w:t>Speicher</w:t>
      </w:r>
      <w:bookmarkEnd w:id="5"/>
      <w:bookmarkEnd w:id="6"/>
      <w:proofErr w:type="spellEnd"/>
      <w:r w:rsidRPr="003557E1">
        <w:t xml:space="preserve"> and</w:t>
      </w:r>
      <w:r w:rsidRPr="008A707C">
        <w:t xml:space="preserve"> Ellen </w:t>
      </w:r>
      <w:proofErr w:type="spellStart"/>
      <w:r w:rsidRPr="008A707C">
        <w:t>Heitzer</w:t>
      </w:r>
      <w:proofErr w:type="spellEnd"/>
    </w:p>
    <w:bookmarkEnd w:id="3"/>
    <w:p w14:paraId="42ABF4D5" w14:textId="77777777" w:rsidR="00BF45BE" w:rsidRDefault="00BF45BE" w:rsidP="00E70995">
      <w:pPr>
        <w:pStyle w:val="MDPI21heading1"/>
      </w:pPr>
      <w:proofErr w:type="spellStart"/>
      <w:r w:rsidRPr="002D727B">
        <w:t>SureSelect</w:t>
      </w:r>
      <w:proofErr w:type="spellEnd"/>
      <w:r w:rsidRPr="002D727B">
        <w:t xml:space="preserve"> XT Custom kit (Agilent) </w:t>
      </w:r>
    </w:p>
    <w:p w14:paraId="59DC6FBC" w14:textId="77777777" w:rsidR="002D727B" w:rsidRPr="002D727B" w:rsidRDefault="002D727B" w:rsidP="00E70995">
      <w:pPr>
        <w:pStyle w:val="MDPI31text"/>
      </w:pPr>
      <w:r w:rsidRPr="002D727B">
        <w:t xml:space="preserve">The SureSelect Custom Kit is a custom-designed small cell lung cancer panel and covers exon regions of 110 genes (Table SX; 667 kb). This panel uses hybrid capture-targeted enrichment techniques. Whole genome libraries were generated from 20 ng Seraseq ctDNA Complete DNA. In brief, end repair and A-tailing was performed using the </w:t>
      </w:r>
      <w:proofErr w:type="spellStart"/>
      <w:r w:rsidRPr="002D727B">
        <w:t>NEBNext</w:t>
      </w:r>
      <w:proofErr w:type="spellEnd"/>
      <w:r w:rsidRPr="002D727B">
        <w:t xml:space="preserve"> Ultra II End Repair/</w:t>
      </w:r>
      <w:proofErr w:type="spellStart"/>
      <w:r w:rsidRPr="002D727B">
        <w:t>dA</w:t>
      </w:r>
      <w:proofErr w:type="spellEnd"/>
      <w:r w:rsidRPr="002D727B">
        <w:t xml:space="preserve">-Tailing Module (New England Biolabs), adapter ligation and library amplification was carried out with KAPA </w:t>
      </w:r>
      <w:proofErr w:type="spellStart"/>
      <w:r w:rsidRPr="002D727B">
        <w:t>HiFi</w:t>
      </w:r>
      <w:proofErr w:type="spellEnd"/>
      <w:r w:rsidRPr="002D727B">
        <w:t xml:space="preserve"> </w:t>
      </w:r>
      <w:proofErr w:type="spellStart"/>
      <w:r w:rsidRPr="002D727B">
        <w:t>HotStart</w:t>
      </w:r>
      <w:proofErr w:type="spellEnd"/>
      <w:r w:rsidRPr="002D727B">
        <w:t xml:space="preserve"> PCR Kits (</w:t>
      </w:r>
      <w:proofErr w:type="spellStart"/>
      <w:r w:rsidRPr="002D727B">
        <w:t>Kapa</w:t>
      </w:r>
      <w:proofErr w:type="spellEnd"/>
      <w:r w:rsidRPr="002D727B">
        <w:t xml:space="preserve"> Biosystems) with indexing using </w:t>
      </w:r>
      <w:proofErr w:type="spellStart"/>
      <w:r w:rsidRPr="002D727B">
        <w:t>NEBNext</w:t>
      </w:r>
      <w:proofErr w:type="spellEnd"/>
      <w:r w:rsidRPr="002D727B">
        <w:t xml:space="preserve"> Index Primers for Illumina (New England Biolabs). The libraries were assessed using a Nanodrop as well as an agarose gel. Further, 1μg of whole genome indexed library was taken forward as input for custom capture (110-gene panel) on </w:t>
      </w:r>
      <w:proofErr w:type="spellStart"/>
      <w:r w:rsidRPr="002D727B">
        <w:t>SureSelectXT</w:t>
      </w:r>
      <w:proofErr w:type="spellEnd"/>
      <w:r w:rsidRPr="002D727B">
        <w:t xml:space="preserve"> Reagent Kits (Agilent) according to the manufacturer’s instructions. Captured libraries were amplified using KAPA </w:t>
      </w:r>
      <w:proofErr w:type="spellStart"/>
      <w:r w:rsidRPr="002D727B">
        <w:t>HiFi</w:t>
      </w:r>
      <w:proofErr w:type="spellEnd"/>
      <w:r w:rsidRPr="002D727B">
        <w:t xml:space="preserve"> </w:t>
      </w:r>
      <w:proofErr w:type="spellStart"/>
      <w:r w:rsidRPr="002D727B">
        <w:t>HotStart</w:t>
      </w:r>
      <w:proofErr w:type="spellEnd"/>
      <w:r w:rsidRPr="002D727B">
        <w:t xml:space="preserve"> PCR Kits (Roche) and quantified using the KAPA library quantification qPCR kit (Roche). Libraries were paired end sequenced on an Illumina NextSeq 500, 2 × 150 bp High Output V2 kit (Illumina).</w:t>
      </w:r>
    </w:p>
    <w:p w14:paraId="78B76FC3" w14:textId="711D9229" w:rsidR="00BF45BE" w:rsidRDefault="002D727B" w:rsidP="00E70995">
      <w:pPr>
        <w:pStyle w:val="MDPI31text"/>
        <w:rPr>
          <w:b/>
          <w:bCs/>
          <w:szCs w:val="20"/>
          <w:lang w:bidi="ar-SA"/>
        </w:rPr>
      </w:pPr>
      <w:r w:rsidRPr="002D727B">
        <w:t>On average, 101.67 M raw read pairs were obtained per sample (range 55.56 M</w:t>
      </w:r>
      <w:r w:rsidR="00E70995">
        <w:t>–</w:t>
      </w:r>
      <w:r w:rsidRPr="002D727B">
        <w:t>186.06 M) with mean unique depth of 2890.9 reads (range 2455x</w:t>
      </w:r>
      <w:r w:rsidR="00E70995">
        <w:t>–</w:t>
      </w:r>
      <w:r w:rsidRPr="002D727B">
        <w:t xml:space="preserve">3237x) after duplicate removal for the Seraseq ctDNA Complete samples. FASTQ files were generated from the sequencer’s output using Illumina bcl2fastq2 software (v.2.17.1.14, Illumina) with the default chastity filter to select sequence reads for subsequent analysis. All sequencing reads were aligned to the human genome reference sequence (GRCh37) using the BWA (v.0.7.12) MEM algorithm. Picard tools (v.2.1.0) were used to mark/remove PCR duplicates and to calculate sequencing metrics. Variants were called using two callers- MuTect2 (GATK) and a commercial software </w:t>
      </w:r>
      <w:proofErr w:type="gramStart"/>
      <w:r w:rsidRPr="002D727B">
        <w:t>Biomedical</w:t>
      </w:r>
      <w:proofErr w:type="gramEnd"/>
      <w:r w:rsidRPr="002D727B">
        <w:t xml:space="preserve"> workbench v5.0 (Qiagen) and variants calls were kept only if called by both variant callers.</w:t>
      </w:r>
    </w:p>
    <w:p w14:paraId="3657477D" w14:textId="77777777" w:rsidR="00E70995" w:rsidRDefault="00E70995" w:rsidP="00E70995">
      <w:pPr>
        <w:pStyle w:val="MDPI31text"/>
        <w:spacing w:line="340" w:lineRule="atLeast"/>
        <w:ind w:firstLine="0"/>
        <w:rPr>
          <w:b/>
          <w:bCs/>
          <w:szCs w:val="20"/>
          <w:lang w:bidi="ar-SA"/>
        </w:rPr>
      </w:pPr>
    </w:p>
    <w:tbl>
      <w:tblPr>
        <w:tblW w:w="8765" w:type="dxa"/>
        <w:jc w:val="center"/>
        <w:tblLook w:val="04A0" w:firstRow="1" w:lastRow="0" w:firstColumn="1" w:lastColumn="0" w:noHBand="0" w:noVBand="1"/>
      </w:tblPr>
      <w:tblGrid>
        <w:gridCol w:w="1776"/>
        <w:gridCol w:w="1701"/>
        <w:gridCol w:w="1626"/>
        <w:gridCol w:w="1775"/>
        <w:gridCol w:w="1887"/>
      </w:tblGrid>
      <w:tr w:rsidR="00442BCB" w:rsidRPr="00E70995" w14:paraId="6F44EE84" w14:textId="77777777" w:rsidTr="00E70995">
        <w:trPr>
          <w:jc w:val="center"/>
        </w:trPr>
        <w:tc>
          <w:tcPr>
            <w:tcW w:w="0" w:type="auto"/>
            <w:gridSpan w:val="5"/>
            <w:tcBorders>
              <w:top w:val="single" w:sz="8" w:space="0" w:color="auto"/>
              <w:bottom w:val="single" w:sz="4" w:space="0" w:color="auto"/>
              <w:right w:val="nil"/>
            </w:tcBorders>
            <w:shd w:val="clear" w:color="000000" w:fill="D9D9D9"/>
            <w:noWrap/>
            <w:vAlign w:val="center"/>
            <w:hideMark/>
          </w:tcPr>
          <w:p w14:paraId="41C64B56"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b/>
                <w:bCs/>
                <w:color w:val="000000"/>
                <w:sz w:val="20"/>
                <w:szCs w:val="16"/>
                <w:lang w:val="en-US"/>
              </w:rPr>
            </w:pPr>
            <w:r w:rsidRPr="00E70995">
              <w:rPr>
                <w:rFonts w:ascii="Palatino Linotype" w:eastAsia="Times New Roman" w:hAnsi="Palatino Linotype" w:cs="Calibri"/>
                <w:b/>
                <w:bCs/>
                <w:color w:val="000000"/>
                <w:sz w:val="20"/>
                <w:szCs w:val="16"/>
                <w:lang w:val="en-US"/>
              </w:rPr>
              <w:t>SureSelect Custom Kit Gene List</w:t>
            </w:r>
          </w:p>
        </w:tc>
      </w:tr>
      <w:tr w:rsidR="00442BCB" w:rsidRPr="00E70995" w14:paraId="4A3EB1DC" w14:textId="77777777" w:rsidTr="00E70995">
        <w:trPr>
          <w:jc w:val="center"/>
        </w:trPr>
        <w:tc>
          <w:tcPr>
            <w:tcW w:w="0" w:type="auto"/>
            <w:tcBorders>
              <w:top w:val="nil"/>
              <w:bottom w:val="single" w:sz="4" w:space="0" w:color="auto"/>
            </w:tcBorders>
            <w:shd w:val="clear" w:color="auto" w:fill="auto"/>
            <w:noWrap/>
            <w:vAlign w:val="center"/>
            <w:hideMark/>
          </w:tcPr>
          <w:p w14:paraId="427F3AB5"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b/>
                <w:i/>
                <w:iCs/>
                <w:color w:val="000000"/>
                <w:sz w:val="20"/>
                <w:szCs w:val="16"/>
                <w:lang w:val="en-US"/>
              </w:rPr>
            </w:pPr>
            <w:r w:rsidRPr="00E70995">
              <w:rPr>
                <w:rFonts w:ascii="Palatino Linotype" w:eastAsia="Times New Roman" w:hAnsi="Palatino Linotype" w:cs="Calibri"/>
                <w:b/>
                <w:i/>
                <w:iCs/>
                <w:color w:val="000000"/>
                <w:sz w:val="20"/>
                <w:szCs w:val="16"/>
                <w:lang w:val="en-US"/>
              </w:rPr>
              <w:t>ABL1</w:t>
            </w:r>
          </w:p>
        </w:tc>
        <w:tc>
          <w:tcPr>
            <w:tcW w:w="0" w:type="auto"/>
            <w:tcBorders>
              <w:top w:val="nil"/>
              <w:bottom w:val="single" w:sz="4" w:space="0" w:color="auto"/>
            </w:tcBorders>
            <w:shd w:val="clear" w:color="auto" w:fill="auto"/>
            <w:noWrap/>
            <w:vAlign w:val="center"/>
            <w:hideMark/>
          </w:tcPr>
          <w:p w14:paraId="25FC1C3B"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b/>
                <w:i/>
                <w:iCs/>
                <w:color w:val="000000"/>
                <w:sz w:val="20"/>
                <w:szCs w:val="16"/>
                <w:lang w:val="en-US"/>
              </w:rPr>
            </w:pPr>
            <w:r w:rsidRPr="00E70995">
              <w:rPr>
                <w:rFonts w:ascii="Palatino Linotype" w:eastAsia="Times New Roman" w:hAnsi="Palatino Linotype" w:cs="Calibri"/>
                <w:b/>
                <w:i/>
                <w:iCs/>
                <w:color w:val="000000"/>
                <w:sz w:val="20"/>
                <w:szCs w:val="16"/>
                <w:lang w:val="en-US"/>
              </w:rPr>
              <w:t>EGFR</w:t>
            </w:r>
          </w:p>
        </w:tc>
        <w:tc>
          <w:tcPr>
            <w:tcW w:w="0" w:type="auto"/>
            <w:tcBorders>
              <w:top w:val="nil"/>
              <w:bottom w:val="single" w:sz="4" w:space="0" w:color="auto"/>
            </w:tcBorders>
            <w:shd w:val="clear" w:color="auto" w:fill="auto"/>
            <w:noWrap/>
            <w:vAlign w:val="center"/>
            <w:hideMark/>
          </w:tcPr>
          <w:p w14:paraId="53D3BB2E"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b/>
                <w:i/>
                <w:iCs/>
                <w:color w:val="000000"/>
                <w:sz w:val="20"/>
                <w:szCs w:val="16"/>
                <w:lang w:val="en-US"/>
              </w:rPr>
            </w:pPr>
            <w:r w:rsidRPr="00E70995">
              <w:rPr>
                <w:rFonts w:ascii="Palatino Linotype" w:eastAsia="Times New Roman" w:hAnsi="Palatino Linotype" w:cs="Calibri"/>
                <w:b/>
                <w:i/>
                <w:iCs/>
                <w:color w:val="000000"/>
                <w:sz w:val="20"/>
                <w:szCs w:val="16"/>
                <w:lang w:val="en-US"/>
              </w:rPr>
              <w:t>GATA3</w:t>
            </w:r>
          </w:p>
        </w:tc>
        <w:tc>
          <w:tcPr>
            <w:tcW w:w="0" w:type="auto"/>
            <w:tcBorders>
              <w:top w:val="nil"/>
              <w:bottom w:val="single" w:sz="4" w:space="0" w:color="auto"/>
            </w:tcBorders>
            <w:shd w:val="clear" w:color="auto" w:fill="auto"/>
            <w:noWrap/>
            <w:vAlign w:val="center"/>
            <w:hideMark/>
          </w:tcPr>
          <w:p w14:paraId="7CC0B2F1"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b/>
                <w:i/>
                <w:iCs/>
                <w:color w:val="000000"/>
                <w:sz w:val="20"/>
                <w:szCs w:val="16"/>
                <w:lang w:val="en-US"/>
              </w:rPr>
            </w:pPr>
            <w:r w:rsidRPr="00E70995">
              <w:rPr>
                <w:rFonts w:ascii="Palatino Linotype" w:eastAsia="Times New Roman" w:hAnsi="Palatino Linotype" w:cs="Calibri"/>
                <w:b/>
                <w:i/>
                <w:iCs/>
                <w:color w:val="000000"/>
                <w:sz w:val="20"/>
                <w:szCs w:val="16"/>
                <w:lang w:val="en-US"/>
              </w:rPr>
              <w:t>MYCL</w:t>
            </w:r>
          </w:p>
        </w:tc>
        <w:tc>
          <w:tcPr>
            <w:tcW w:w="0" w:type="auto"/>
            <w:tcBorders>
              <w:top w:val="nil"/>
              <w:bottom w:val="single" w:sz="4" w:space="0" w:color="auto"/>
            </w:tcBorders>
            <w:shd w:val="clear" w:color="auto" w:fill="auto"/>
            <w:noWrap/>
            <w:vAlign w:val="center"/>
            <w:hideMark/>
          </w:tcPr>
          <w:p w14:paraId="079DC296"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RAD51</w:t>
            </w:r>
          </w:p>
        </w:tc>
      </w:tr>
      <w:tr w:rsidR="00442BCB" w:rsidRPr="00E70995" w14:paraId="2EF60F5B" w14:textId="77777777" w:rsidTr="00E70995">
        <w:trPr>
          <w:jc w:val="center"/>
        </w:trPr>
        <w:tc>
          <w:tcPr>
            <w:tcW w:w="0" w:type="auto"/>
            <w:tcBorders>
              <w:top w:val="nil"/>
              <w:bottom w:val="single" w:sz="4" w:space="0" w:color="auto"/>
            </w:tcBorders>
            <w:shd w:val="clear" w:color="auto" w:fill="auto"/>
            <w:noWrap/>
            <w:vAlign w:val="center"/>
            <w:hideMark/>
          </w:tcPr>
          <w:p w14:paraId="623A15B1"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ABL2</w:t>
            </w:r>
          </w:p>
        </w:tc>
        <w:tc>
          <w:tcPr>
            <w:tcW w:w="0" w:type="auto"/>
            <w:tcBorders>
              <w:top w:val="nil"/>
              <w:bottom w:val="single" w:sz="4" w:space="0" w:color="auto"/>
            </w:tcBorders>
            <w:shd w:val="clear" w:color="auto" w:fill="auto"/>
            <w:noWrap/>
            <w:vAlign w:val="center"/>
            <w:hideMark/>
          </w:tcPr>
          <w:p w14:paraId="695F2028"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EP300</w:t>
            </w:r>
          </w:p>
        </w:tc>
        <w:tc>
          <w:tcPr>
            <w:tcW w:w="0" w:type="auto"/>
            <w:tcBorders>
              <w:top w:val="nil"/>
              <w:bottom w:val="single" w:sz="4" w:space="0" w:color="auto"/>
            </w:tcBorders>
            <w:shd w:val="clear" w:color="auto" w:fill="auto"/>
            <w:noWrap/>
            <w:vAlign w:val="center"/>
            <w:hideMark/>
          </w:tcPr>
          <w:p w14:paraId="01619E37"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GNAS</w:t>
            </w:r>
          </w:p>
        </w:tc>
        <w:tc>
          <w:tcPr>
            <w:tcW w:w="0" w:type="auto"/>
            <w:tcBorders>
              <w:top w:val="nil"/>
              <w:bottom w:val="single" w:sz="4" w:space="0" w:color="auto"/>
            </w:tcBorders>
            <w:shd w:val="clear" w:color="auto" w:fill="auto"/>
            <w:noWrap/>
            <w:vAlign w:val="center"/>
            <w:hideMark/>
          </w:tcPr>
          <w:p w14:paraId="18FF44E0"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NF1</w:t>
            </w:r>
          </w:p>
        </w:tc>
        <w:tc>
          <w:tcPr>
            <w:tcW w:w="0" w:type="auto"/>
            <w:tcBorders>
              <w:top w:val="nil"/>
              <w:bottom w:val="single" w:sz="4" w:space="0" w:color="auto"/>
            </w:tcBorders>
            <w:shd w:val="clear" w:color="auto" w:fill="auto"/>
            <w:noWrap/>
            <w:vAlign w:val="center"/>
            <w:hideMark/>
          </w:tcPr>
          <w:p w14:paraId="14021541"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RAD51C</w:t>
            </w:r>
          </w:p>
        </w:tc>
      </w:tr>
      <w:tr w:rsidR="00442BCB" w:rsidRPr="00E70995" w14:paraId="5E0C86CA" w14:textId="77777777" w:rsidTr="00E70995">
        <w:trPr>
          <w:jc w:val="center"/>
        </w:trPr>
        <w:tc>
          <w:tcPr>
            <w:tcW w:w="0" w:type="auto"/>
            <w:tcBorders>
              <w:top w:val="nil"/>
              <w:bottom w:val="single" w:sz="4" w:space="0" w:color="auto"/>
            </w:tcBorders>
            <w:shd w:val="clear" w:color="auto" w:fill="auto"/>
            <w:noWrap/>
            <w:vAlign w:val="center"/>
            <w:hideMark/>
          </w:tcPr>
          <w:p w14:paraId="30B7E2C0"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AKT1</w:t>
            </w:r>
          </w:p>
        </w:tc>
        <w:tc>
          <w:tcPr>
            <w:tcW w:w="0" w:type="auto"/>
            <w:tcBorders>
              <w:top w:val="nil"/>
              <w:bottom w:val="single" w:sz="4" w:space="0" w:color="auto"/>
            </w:tcBorders>
            <w:shd w:val="clear" w:color="auto" w:fill="auto"/>
            <w:noWrap/>
            <w:vAlign w:val="center"/>
            <w:hideMark/>
          </w:tcPr>
          <w:p w14:paraId="1982A2ED"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EPHA3</w:t>
            </w:r>
          </w:p>
        </w:tc>
        <w:tc>
          <w:tcPr>
            <w:tcW w:w="0" w:type="auto"/>
            <w:tcBorders>
              <w:top w:val="nil"/>
              <w:bottom w:val="single" w:sz="4" w:space="0" w:color="auto"/>
            </w:tcBorders>
            <w:shd w:val="clear" w:color="auto" w:fill="auto"/>
            <w:noWrap/>
            <w:vAlign w:val="center"/>
            <w:hideMark/>
          </w:tcPr>
          <w:p w14:paraId="43B11EA6"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GRIN2A</w:t>
            </w:r>
          </w:p>
        </w:tc>
        <w:tc>
          <w:tcPr>
            <w:tcW w:w="0" w:type="auto"/>
            <w:tcBorders>
              <w:top w:val="nil"/>
              <w:bottom w:val="single" w:sz="4" w:space="0" w:color="auto"/>
            </w:tcBorders>
            <w:shd w:val="clear" w:color="auto" w:fill="auto"/>
            <w:noWrap/>
            <w:vAlign w:val="center"/>
            <w:hideMark/>
          </w:tcPr>
          <w:p w14:paraId="7CF19F81"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NFATC2</w:t>
            </w:r>
          </w:p>
        </w:tc>
        <w:tc>
          <w:tcPr>
            <w:tcW w:w="0" w:type="auto"/>
            <w:tcBorders>
              <w:top w:val="nil"/>
              <w:bottom w:val="single" w:sz="4" w:space="0" w:color="auto"/>
            </w:tcBorders>
            <w:shd w:val="clear" w:color="auto" w:fill="auto"/>
            <w:noWrap/>
            <w:vAlign w:val="center"/>
            <w:hideMark/>
          </w:tcPr>
          <w:p w14:paraId="5C810E40"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RASSF1</w:t>
            </w:r>
          </w:p>
        </w:tc>
      </w:tr>
      <w:tr w:rsidR="00442BCB" w:rsidRPr="00E70995" w14:paraId="1F6EE907" w14:textId="77777777" w:rsidTr="00E70995">
        <w:trPr>
          <w:jc w:val="center"/>
        </w:trPr>
        <w:tc>
          <w:tcPr>
            <w:tcW w:w="0" w:type="auto"/>
            <w:tcBorders>
              <w:top w:val="nil"/>
              <w:bottom w:val="single" w:sz="4" w:space="0" w:color="auto"/>
            </w:tcBorders>
            <w:shd w:val="clear" w:color="auto" w:fill="auto"/>
            <w:noWrap/>
            <w:vAlign w:val="center"/>
            <w:hideMark/>
          </w:tcPr>
          <w:p w14:paraId="219BCF8C"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AKT2</w:t>
            </w:r>
          </w:p>
        </w:tc>
        <w:tc>
          <w:tcPr>
            <w:tcW w:w="0" w:type="auto"/>
            <w:tcBorders>
              <w:top w:val="nil"/>
              <w:bottom w:val="single" w:sz="4" w:space="0" w:color="auto"/>
            </w:tcBorders>
            <w:shd w:val="clear" w:color="auto" w:fill="auto"/>
            <w:noWrap/>
            <w:vAlign w:val="center"/>
            <w:hideMark/>
          </w:tcPr>
          <w:p w14:paraId="7175F15E"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EPHA5</w:t>
            </w:r>
          </w:p>
        </w:tc>
        <w:tc>
          <w:tcPr>
            <w:tcW w:w="0" w:type="auto"/>
            <w:tcBorders>
              <w:top w:val="nil"/>
              <w:bottom w:val="single" w:sz="4" w:space="0" w:color="auto"/>
            </w:tcBorders>
            <w:shd w:val="clear" w:color="auto" w:fill="auto"/>
            <w:noWrap/>
            <w:vAlign w:val="center"/>
            <w:hideMark/>
          </w:tcPr>
          <w:p w14:paraId="54B9963D"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HGF</w:t>
            </w:r>
          </w:p>
        </w:tc>
        <w:tc>
          <w:tcPr>
            <w:tcW w:w="0" w:type="auto"/>
            <w:tcBorders>
              <w:top w:val="nil"/>
              <w:bottom w:val="single" w:sz="4" w:space="0" w:color="auto"/>
            </w:tcBorders>
            <w:shd w:val="clear" w:color="auto" w:fill="auto"/>
            <w:noWrap/>
            <w:vAlign w:val="center"/>
            <w:hideMark/>
          </w:tcPr>
          <w:p w14:paraId="6EC57BFF"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NFE2L2</w:t>
            </w:r>
          </w:p>
        </w:tc>
        <w:tc>
          <w:tcPr>
            <w:tcW w:w="0" w:type="auto"/>
            <w:tcBorders>
              <w:top w:val="nil"/>
              <w:bottom w:val="single" w:sz="4" w:space="0" w:color="auto"/>
            </w:tcBorders>
            <w:shd w:val="clear" w:color="auto" w:fill="auto"/>
            <w:noWrap/>
            <w:vAlign w:val="center"/>
            <w:hideMark/>
          </w:tcPr>
          <w:p w14:paraId="2932DDAC"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RB1</w:t>
            </w:r>
          </w:p>
        </w:tc>
      </w:tr>
      <w:tr w:rsidR="00442BCB" w:rsidRPr="00E70995" w14:paraId="4E539103" w14:textId="77777777" w:rsidTr="00E70995">
        <w:trPr>
          <w:jc w:val="center"/>
        </w:trPr>
        <w:tc>
          <w:tcPr>
            <w:tcW w:w="0" w:type="auto"/>
            <w:tcBorders>
              <w:top w:val="nil"/>
              <w:bottom w:val="single" w:sz="4" w:space="0" w:color="auto"/>
            </w:tcBorders>
            <w:shd w:val="clear" w:color="auto" w:fill="auto"/>
            <w:noWrap/>
            <w:vAlign w:val="center"/>
            <w:hideMark/>
          </w:tcPr>
          <w:p w14:paraId="7CEE6757"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ALK</w:t>
            </w:r>
          </w:p>
        </w:tc>
        <w:tc>
          <w:tcPr>
            <w:tcW w:w="0" w:type="auto"/>
            <w:tcBorders>
              <w:top w:val="nil"/>
              <w:bottom w:val="single" w:sz="4" w:space="0" w:color="auto"/>
            </w:tcBorders>
            <w:shd w:val="clear" w:color="auto" w:fill="auto"/>
            <w:noWrap/>
            <w:vAlign w:val="center"/>
            <w:hideMark/>
          </w:tcPr>
          <w:p w14:paraId="60FF5E7A"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ERBB2</w:t>
            </w:r>
          </w:p>
        </w:tc>
        <w:tc>
          <w:tcPr>
            <w:tcW w:w="0" w:type="auto"/>
            <w:tcBorders>
              <w:top w:val="nil"/>
              <w:bottom w:val="single" w:sz="4" w:space="0" w:color="auto"/>
            </w:tcBorders>
            <w:shd w:val="clear" w:color="auto" w:fill="auto"/>
            <w:noWrap/>
            <w:vAlign w:val="center"/>
            <w:hideMark/>
          </w:tcPr>
          <w:p w14:paraId="3FD8617C"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HRAS</w:t>
            </w:r>
          </w:p>
        </w:tc>
        <w:tc>
          <w:tcPr>
            <w:tcW w:w="0" w:type="auto"/>
            <w:tcBorders>
              <w:top w:val="nil"/>
              <w:bottom w:val="single" w:sz="4" w:space="0" w:color="auto"/>
            </w:tcBorders>
            <w:shd w:val="clear" w:color="auto" w:fill="auto"/>
            <w:noWrap/>
            <w:vAlign w:val="center"/>
            <w:hideMark/>
          </w:tcPr>
          <w:p w14:paraId="6B20B2DA"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NOTCH1</w:t>
            </w:r>
          </w:p>
        </w:tc>
        <w:tc>
          <w:tcPr>
            <w:tcW w:w="0" w:type="auto"/>
            <w:tcBorders>
              <w:top w:val="nil"/>
              <w:bottom w:val="single" w:sz="4" w:space="0" w:color="auto"/>
            </w:tcBorders>
            <w:shd w:val="clear" w:color="auto" w:fill="auto"/>
            <w:noWrap/>
            <w:vAlign w:val="center"/>
            <w:hideMark/>
          </w:tcPr>
          <w:p w14:paraId="607A491C"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RBL1</w:t>
            </w:r>
          </w:p>
        </w:tc>
      </w:tr>
      <w:tr w:rsidR="00442BCB" w:rsidRPr="00E70995" w14:paraId="75A9F1BD" w14:textId="77777777" w:rsidTr="00E70995">
        <w:trPr>
          <w:jc w:val="center"/>
        </w:trPr>
        <w:tc>
          <w:tcPr>
            <w:tcW w:w="0" w:type="auto"/>
            <w:tcBorders>
              <w:top w:val="nil"/>
              <w:bottom w:val="single" w:sz="4" w:space="0" w:color="auto"/>
            </w:tcBorders>
            <w:shd w:val="clear" w:color="auto" w:fill="auto"/>
            <w:noWrap/>
            <w:vAlign w:val="center"/>
            <w:hideMark/>
          </w:tcPr>
          <w:p w14:paraId="76EEF1C2"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APC</w:t>
            </w:r>
          </w:p>
        </w:tc>
        <w:tc>
          <w:tcPr>
            <w:tcW w:w="0" w:type="auto"/>
            <w:tcBorders>
              <w:top w:val="nil"/>
              <w:bottom w:val="single" w:sz="4" w:space="0" w:color="auto"/>
            </w:tcBorders>
            <w:shd w:val="clear" w:color="auto" w:fill="auto"/>
            <w:noWrap/>
            <w:vAlign w:val="center"/>
            <w:hideMark/>
          </w:tcPr>
          <w:p w14:paraId="47BD9F3B"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ERG</w:t>
            </w:r>
          </w:p>
        </w:tc>
        <w:tc>
          <w:tcPr>
            <w:tcW w:w="0" w:type="auto"/>
            <w:tcBorders>
              <w:top w:val="nil"/>
              <w:bottom w:val="single" w:sz="4" w:space="0" w:color="auto"/>
            </w:tcBorders>
            <w:shd w:val="clear" w:color="auto" w:fill="auto"/>
            <w:noWrap/>
            <w:vAlign w:val="center"/>
            <w:hideMark/>
          </w:tcPr>
          <w:p w14:paraId="509268BC"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IDH1</w:t>
            </w:r>
          </w:p>
        </w:tc>
        <w:tc>
          <w:tcPr>
            <w:tcW w:w="0" w:type="auto"/>
            <w:tcBorders>
              <w:top w:val="nil"/>
              <w:bottom w:val="single" w:sz="4" w:space="0" w:color="auto"/>
            </w:tcBorders>
            <w:shd w:val="clear" w:color="auto" w:fill="auto"/>
            <w:noWrap/>
            <w:vAlign w:val="center"/>
            <w:hideMark/>
          </w:tcPr>
          <w:p w14:paraId="1BC8C705"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NOTCH2</w:t>
            </w:r>
          </w:p>
        </w:tc>
        <w:tc>
          <w:tcPr>
            <w:tcW w:w="0" w:type="auto"/>
            <w:tcBorders>
              <w:top w:val="nil"/>
              <w:bottom w:val="single" w:sz="4" w:space="0" w:color="auto"/>
            </w:tcBorders>
            <w:shd w:val="clear" w:color="auto" w:fill="auto"/>
            <w:noWrap/>
            <w:vAlign w:val="center"/>
            <w:hideMark/>
          </w:tcPr>
          <w:p w14:paraId="0087D2AD"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RBL2</w:t>
            </w:r>
          </w:p>
        </w:tc>
      </w:tr>
      <w:tr w:rsidR="00442BCB" w:rsidRPr="00E70995" w14:paraId="35560FD6" w14:textId="77777777" w:rsidTr="00E70995">
        <w:trPr>
          <w:jc w:val="center"/>
        </w:trPr>
        <w:tc>
          <w:tcPr>
            <w:tcW w:w="0" w:type="auto"/>
            <w:tcBorders>
              <w:top w:val="nil"/>
              <w:bottom w:val="single" w:sz="4" w:space="0" w:color="auto"/>
            </w:tcBorders>
            <w:shd w:val="clear" w:color="auto" w:fill="auto"/>
            <w:noWrap/>
            <w:vAlign w:val="center"/>
            <w:hideMark/>
          </w:tcPr>
          <w:p w14:paraId="13ABD706"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AR</w:t>
            </w:r>
          </w:p>
        </w:tc>
        <w:tc>
          <w:tcPr>
            <w:tcW w:w="0" w:type="auto"/>
            <w:tcBorders>
              <w:top w:val="nil"/>
              <w:bottom w:val="single" w:sz="4" w:space="0" w:color="auto"/>
            </w:tcBorders>
            <w:shd w:val="clear" w:color="auto" w:fill="auto"/>
            <w:noWrap/>
            <w:vAlign w:val="center"/>
            <w:hideMark/>
          </w:tcPr>
          <w:p w14:paraId="4264CDD5"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EZH2</w:t>
            </w:r>
          </w:p>
        </w:tc>
        <w:tc>
          <w:tcPr>
            <w:tcW w:w="0" w:type="auto"/>
            <w:tcBorders>
              <w:top w:val="nil"/>
              <w:bottom w:val="single" w:sz="4" w:space="0" w:color="auto"/>
            </w:tcBorders>
            <w:shd w:val="clear" w:color="auto" w:fill="auto"/>
            <w:noWrap/>
            <w:vAlign w:val="center"/>
            <w:hideMark/>
          </w:tcPr>
          <w:p w14:paraId="30393740"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IDH2</w:t>
            </w:r>
          </w:p>
        </w:tc>
        <w:tc>
          <w:tcPr>
            <w:tcW w:w="0" w:type="auto"/>
            <w:tcBorders>
              <w:top w:val="nil"/>
              <w:bottom w:val="single" w:sz="4" w:space="0" w:color="auto"/>
            </w:tcBorders>
            <w:shd w:val="clear" w:color="auto" w:fill="auto"/>
            <w:noWrap/>
            <w:vAlign w:val="center"/>
            <w:hideMark/>
          </w:tcPr>
          <w:p w14:paraId="1E09680C"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NOTCH3</w:t>
            </w:r>
          </w:p>
        </w:tc>
        <w:tc>
          <w:tcPr>
            <w:tcW w:w="0" w:type="auto"/>
            <w:tcBorders>
              <w:top w:val="nil"/>
              <w:bottom w:val="single" w:sz="4" w:space="0" w:color="auto"/>
            </w:tcBorders>
            <w:shd w:val="clear" w:color="auto" w:fill="auto"/>
            <w:noWrap/>
            <w:vAlign w:val="center"/>
            <w:hideMark/>
          </w:tcPr>
          <w:p w14:paraId="69E94702"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RET</w:t>
            </w:r>
          </w:p>
        </w:tc>
      </w:tr>
      <w:tr w:rsidR="00442BCB" w:rsidRPr="00E70995" w14:paraId="7E91ADCE" w14:textId="77777777" w:rsidTr="00E70995">
        <w:trPr>
          <w:jc w:val="center"/>
        </w:trPr>
        <w:tc>
          <w:tcPr>
            <w:tcW w:w="0" w:type="auto"/>
            <w:tcBorders>
              <w:top w:val="nil"/>
              <w:bottom w:val="single" w:sz="4" w:space="0" w:color="auto"/>
            </w:tcBorders>
            <w:shd w:val="clear" w:color="auto" w:fill="auto"/>
            <w:noWrap/>
            <w:vAlign w:val="center"/>
            <w:hideMark/>
          </w:tcPr>
          <w:p w14:paraId="41AA651A"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ATM</w:t>
            </w:r>
          </w:p>
        </w:tc>
        <w:tc>
          <w:tcPr>
            <w:tcW w:w="0" w:type="auto"/>
            <w:tcBorders>
              <w:top w:val="nil"/>
              <w:bottom w:val="single" w:sz="4" w:space="0" w:color="auto"/>
            </w:tcBorders>
            <w:shd w:val="clear" w:color="auto" w:fill="auto"/>
            <w:noWrap/>
            <w:vAlign w:val="center"/>
            <w:hideMark/>
          </w:tcPr>
          <w:p w14:paraId="40F5608D"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FANCA</w:t>
            </w:r>
          </w:p>
        </w:tc>
        <w:tc>
          <w:tcPr>
            <w:tcW w:w="0" w:type="auto"/>
            <w:tcBorders>
              <w:top w:val="nil"/>
              <w:bottom w:val="single" w:sz="4" w:space="0" w:color="auto"/>
            </w:tcBorders>
            <w:shd w:val="clear" w:color="auto" w:fill="auto"/>
            <w:noWrap/>
            <w:vAlign w:val="center"/>
            <w:hideMark/>
          </w:tcPr>
          <w:p w14:paraId="2085CD5A"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JAK2</w:t>
            </w:r>
          </w:p>
        </w:tc>
        <w:tc>
          <w:tcPr>
            <w:tcW w:w="0" w:type="auto"/>
            <w:tcBorders>
              <w:top w:val="nil"/>
              <w:bottom w:val="single" w:sz="4" w:space="0" w:color="auto"/>
            </w:tcBorders>
            <w:shd w:val="clear" w:color="auto" w:fill="auto"/>
            <w:noWrap/>
            <w:vAlign w:val="center"/>
            <w:hideMark/>
          </w:tcPr>
          <w:p w14:paraId="4823BE27"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NRAS</w:t>
            </w:r>
          </w:p>
        </w:tc>
        <w:tc>
          <w:tcPr>
            <w:tcW w:w="0" w:type="auto"/>
            <w:tcBorders>
              <w:top w:val="nil"/>
              <w:bottom w:val="single" w:sz="4" w:space="0" w:color="auto"/>
            </w:tcBorders>
            <w:shd w:val="clear" w:color="auto" w:fill="auto"/>
            <w:noWrap/>
            <w:vAlign w:val="center"/>
            <w:hideMark/>
          </w:tcPr>
          <w:p w14:paraId="1E42AA73"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ROS1</w:t>
            </w:r>
          </w:p>
        </w:tc>
      </w:tr>
      <w:tr w:rsidR="00442BCB" w:rsidRPr="00E70995" w14:paraId="09A97446" w14:textId="77777777" w:rsidTr="00E70995">
        <w:trPr>
          <w:jc w:val="center"/>
        </w:trPr>
        <w:tc>
          <w:tcPr>
            <w:tcW w:w="0" w:type="auto"/>
            <w:tcBorders>
              <w:top w:val="nil"/>
              <w:bottom w:val="single" w:sz="4" w:space="0" w:color="auto"/>
            </w:tcBorders>
            <w:shd w:val="clear" w:color="auto" w:fill="auto"/>
            <w:noWrap/>
            <w:vAlign w:val="center"/>
            <w:hideMark/>
          </w:tcPr>
          <w:p w14:paraId="35C5A23C"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ATR</w:t>
            </w:r>
          </w:p>
        </w:tc>
        <w:tc>
          <w:tcPr>
            <w:tcW w:w="0" w:type="auto"/>
            <w:tcBorders>
              <w:top w:val="nil"/>
              <w:bottom w:val="single" w:sz="4" w:space="0" w:color="auto"/>
            </w:tcBorders>
            <w:shd w:val="clear" w:color="auto" w:fill="auto"/>
            <w:noWrap/>
            <w:vAlign w:val="center"/>
            <w:hideMark/>
          </w:tcPr>
          <w:p w14:paraId="79EDAEEF"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FANCC</w:t>
            </w:r>
          </w:p>
        </w:tc>
        <w:tc>
          <w:tcPr>
            <w:tcW w:w="0" w:type="auto"/>
            <w:tcBorders>
              <w:top w:val="nil"/>
              <w:bottom w:val="single" w:sz="4" w:space="0" w:color="auto"/>
            </w:tcBorders>
            <w:shd w:val="clear" w:color="auto" w:fill="auto"/>
            <w:noWrap/>
            <w:vAlign w:val="center"/>
            <w:hideMark/>
          </w:tcPr>
          <w:p w14:paraId="2E5D108B"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KDM6A</w:t>
            </w:r>
          </w:p>
        </w:tc>
        <w:tc>
          <w:tcPr>
            <w:tcW w:w="0" w:type="auto"/>
            <w:tcBorders>
              <w:top w:val="nil"/>
              <w:bottom w:val="single" w:sz="4" w:space="0" w:color="auto"/>
            </w:tcBorders>
            <w:shd w:val="clear" w:color="auto" w:fill="auto"/>
            <w:noWrap/>
            <w:vAlign w:val="center"/>
            <w:hideMark/>
          </w:tcPr>
          <w:p w14:paraId="435078F1"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NTRK1</w:t>
            </w:r>
          </w:p>
        </w:tc>
        <w:tc>
          <w:tcPr>
            <w:tcW w:w="0" w:type="auto"/>
            <w:tcBorders>
              <w:top w:val="nil"/>
              <w:bottom w:val="single" w:sz="4" w:space="0" w:color="auto"/>
            </w:tcBorders>
            <w:shd w:val="clear" w:color="auto" w:fill="auto"/>
            <w:noWrap/>
            <w:vAlign w:val="center"/>
            <w:hideMark/>
          </w:tcPr>
          <w:p w14:paraId="013C843B"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RUNX1T1</w:t>
            </w:r>
          </w:p>
        </w:tc>
      </w:tr>
      <w:tr w:rsidR="00442BCB" w:rsidRPr="00E70995" w14:paraId="651F724F" w14:textId="77777777" w:rsidTr="00E70995">
        <w:trPr>
          <w:jc w:val="center"/>
        </w:trPr>
        <w:tc>
          <w:tcPr>
            <w:tcW w:w="0" w:type="auto"/>
            <w:tcBorders>
              <w:top w:val="nil"/>
              <w:bottom w:val="single" w:sz="4" w:space="0" w:color="auto"/>
            </w:tcBorders>
            <w:shd w:val="clear" w:color="auto" w:fill="auto"/>
            <w:noWrap/>
            <w:vAlign w:val="center"/>
            <w:hideMark/>
          </w:tcPr>
          <w:p w14:paraId="44DE54AF"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AURKA</w:t>
            </w:r>
          </w:p>
        </w:tc>
        <w:tc>
          <w:tcPr>
            <w:tcW w:w="0" w:type="auto"/>
            <w:tcBorders>
              <w:top w:val="nil"/>
              <w:bottom w:val="single" w:sz="4" w:space="0" w:color="auto"/>
            </w:tcBorders>
            <w:shd w:val="clear" w:color="auto" w:fill="auto"/>
            <w:noWrap/>
            <w:vAlign w:val="center"/>
            <w:hideMark/>
          </w:tcPr>
          <w:p w14:paraId="206385D8"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FANCD2</w:t>
            </w:r>
          </w:p>
        </w:tc>
        <w:tc>
          <w:tcPr>
            <w:tcW w:w="0" w:type="auto"/>
            <w:tcBorders>
              <w:top w:val="nil"/>
              <w:bottom w:val="single" w:sz="4" w:space="0" w:color="auto"/>
            </w:tcBorders>
            <w:shd w:val="clear" w:color="auto" w:fill="auto"/>
            <w:noWrap/>
            <w:vAlign w:val="center"/>
            <w:hideMark/>
          </w:tcPr>
          <w:p w14:paraId="25127D8C"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KEAP1</w:t>
            </w:r>
          </w:p>
        </w:tc>
        <w:tc>
          <w:tcPr>
            <w:tcW w:w="0" w:type="auto"/>
            <w:tcBorders>
              <w:top w:val="nil"/>
              <w:bottom w:val="single" w:sz="4" w:space="0" w:color="auto"/>
            </w:tcBorders>
            <w:shd w:val="clear" w:color="auto" w:fill="auto"/>
            <w:noWrap/>
            <w:vAlign w:val="center"/>
            <w:hideMark/>
          </w:tcPr>
          <w:p w14:paraId="516721AD"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NTRK3</w:t>
            </w:r>
          </w:p>
        </w:tc>
        <w:tc>
          <w:tcPr>
            <w:tcW w:w="0" w:type="auto"/>
            <w:tcBorders>
              <w:top w:val="nil"/>
              <w:bottom w:val="single" w:sz="4" w:space="0" w:color="auto"/>
            </w:tcBorders>
            <w:shd w:val="clear" w:color="auto" w:fill="auto"/>
            <w:noWrap/>
            <w:vAlign w:val="center"/>
            <w:hideMark/>
          </w:tcPr>
          <w:p w14:paraId="7C83BE10"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SETBP1</w:t>
            </w:r>
          </w:p>
        </w:tc>
      </w:tr>
      <w:tr w:rsidR="00442BCB" w:rsidRPr="00E70995" w14:paraId="4B6220F3" w14:textId="77777777" w:rsidTr="00E70995">
        <w:trPr>
          <w:jc w:val="center"/>
        </w:trPr>
        <w:tc>
          <w:tcPr>
            <w:tcW w:w="0" w:type="auto"/>
            <w:tcBorders>
              <w:top w:val="nil"/>
              <w:bottom w:val="single" w:sz="4" w:space="0" w:color="auto"/>
            </w:tcBorders>
            <w:shd w:val="clear" w:color="auto" w:fill="auto"/>
            <w:noWrap/>
            <w:vAlign w:val="center"/>
            <w:hideMark/>
          </w:tcPr>
          <w:p w14:paraId="02711C57"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BAP1</w:t>
            </w:r>
          </w:p>
        </w:tc>
        <w:tc>
          <w:tcPr>
            <w:tcW w:w="0" w:type="auto"/>
            <w:tcBorders>
              <w:top w:val="nil"/>
              <w:bottom w:val="single" w:sz="4" w:space="0" w:color="auto"/>
            </w:tcBorders>
            <w:shd w:val="clear" w:color="auto" w:fill="auto"/>
            <w:noWrap/>
            <w:vAlign w:val="center"/>
            <w:hideMark/>
          </w:tcPr>
          <w:p w14:paraId="4858EEB3"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FANCE</w:t>
            </w:r>
          </w:p>
        </w:tc>
        <w:tc>
          <w:tcPr>
            <w:tcW w:w="0" w:type="auto"/>
            <w:tcBorders>
              <w:top w:val="nil"/>
              <w:bottom w:val="single" w:sz="4" w:space="0" w:color="auto"/>
            </w:tcBorders>
            <w:shd w:val="clear" w:color="auto" w:fill="auto"/>
            <w:noWrap/>
            <w:vAlign w:val="center"/>
            <w:hideMark/>
          </w:tcPr>
          <w:p w14:paraId="16CA329B"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KIT</w:t>
            </w:r>
          </w:p>
        </w:tc>
        <w:tc>
          <w:tcPr>
            <w:tcW w:w="0" w:type="auto"/>
            <w:tcBorders>
              <w:top w:val="nil"/>
              <w:bottom w:val="single" w:sz="4" w:space="0" w:color="auto"/>
            </w:tcBorders>
            <w:shd w:val="clear" w:color="auto" w:fill="auto"/>
            <w:noWrap/>
            <w:vAlign w:val="center"/>
            <w:hideMark/>
          </w:tcPr>
          <w:p w14:paraId="66042C2A"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PALB2</w:t>
            </w:r>
          </w:p>
        </w:tc>
        <w:tc>
          <w:tcPr>
            <w:tcW w:w="0" w:type="auto"/>
            <w:tcBorders>
              <w:top w:val="nil"/>
              <w:bottom w:val="single" w:sz="4" w:space="0" w:color="auto"/>
            </w:tcBorders>
            <w:shd w:val="clear" w:color="auto" w:fill="auto"/>
            <w:noWrap/>
            <w:vAlign w:val="center"/>
            <w:hideMark/>
          </w:tcPr>
          <w:p w14:paraId="491F2884"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SF3B1</w:t>
            </w:r>
          </w:p>
        </w:tc>
      </w:tr>
      <w:tr w:rsidR="00442BCB" w:rsidRPr="00E70995" w14:paraId="09475AB8" w14:textId="77777777" w:rsidTr="00E70995">
        <w:trPr>
          <w:jc w:val="center"/>
        </w:trPr>
        <w:tc>
          <w:tcPr>
            <w:tcW w:w="0" w:type="auto"/>
            <w:tcBorders>
              <w:top w:val="nil"/>
              <w:bottom w:val="single" w:sz="4" w:space="0" w:color="auto"/>
            </w:tcBorders>
            <w:shd w:val="clear" w:color="auto" w:fill="auto"/>
            <w:noWrap/>
            <w:vAlign w:val="center"/>
            <w:hideMark/>
          </w:tcPr>
          <w:p w14:paraId="0E96F1AF"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BARD1</w:t>
            </w:r>
          </w:p>
        </w:tc>
        <w:tc>
          <w:tcPr>
            <w:tcW w:w="0" w:type="auto"/>
            <w:tcBorders>
              <w:top w:val="nil"/>
              <w:bottom w:val="single" w:sz="4" w:space="0" w:color="auto"/>
            </w:tcBorders>
            <w:shd w:val="clear" w:color="auto" w:fill="auto"/>
            <w:noWrap/>
            <w:vAlign w:val="center"/>
            <w:hideMark/>
          </w:tcPr>
          <w:p w14:paraId="4FC26D29"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FANCF</w:t>
            </w:r>
          </w:p>
        </w:tc>
        <w:tc>
          <w:tcPr>
            <w:tcW w:w="0" w:type="auto"/>
            <w:tcBorders>
              <w:top w:val="nil"/>
              <w:bottom w:val="single" w:sz="4" w:space="0" w:color="auto"/>
            </w:tcBorders>
            <w:shd w:val="clear" w:color="auto" w:fill="auto"/>
            <w:noWrap/>
            <w:vAlign w:val="center"/>
            <w:hideMark/>
          </w:tcPr>
          <w:p w14:paraId="70E2ACA3"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KMT2A</w:t>
            </w:r>
          </w:p>
        </w:tc>
        <w:tc>
          <w:tcPr>
            <w:tcW w:w="0" w:type="auto"/>
            <w:tcBorders>
              <w:top w:val="nil"/>
              <w:bottom w:val="single" w:sz="4" w:space="0" w:color="auto"/>
            </w:tcBorders>
            <w:shd w:val="clear" w:color="auto" w:fill="auto"/>
            <w:noWrap/>
            <w:vAlign w:val="center"/>
            <w:hideMark/>
          </w:tcPr>
          <w:p w14:paraId="4305D4E3"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PARP1</w:t>
            </w:r>
          </w:p>
        </w:tc>
        <w:tc>
          <w:tcPr>
            <w:tcW w:w="0" w:type="auto"/>
            <w:tcBorders>
              <w:top w:val="nil"/>
              <w:bottom w:val="single" w:sz="4" w:space="0" w:color="auto"/>
            </w:tcBorders>
            <w:shd w:val="clear" w:color="auto" w:fill="auto"/>
            <w:noWrap/>
            <w:vAlign w:val="center"/>
            <w:hideMark/>
          </w:tcPr>
          <w:p w14:paraId="51C4E30D"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SLIT2</w:t>
            </w:r>
          </w:p>
        </w:tc>
      </w:tr>
      <w:tr w:rsidR="00442BCB" w:rsidRPr="00E70995" w14:paraId="64899109" w14:textId="77777777" w:rsidTr="00E70995">
        <w:trPr>
          <w:jc w:val="center"/>
        </w:trPr>
        <w:tc>
          <w:tcPr>
            <w:tcW w:w="0" w:type="auto"/>
            <w:tcBorders>
              <w:top w:val="nil"/>
              <w:bottom w:val="single" w:sz="4" w:space="0" w:color="auto"/>
            </w:tcBorders>
            <w:shd w:val="clear" w:color="auto" w:fill="auto"/>
            <w:noWrap/>
            <w:vAlign w:val="center"/>
            <w:hideMark/>
          </w:tcPr>
          <w:p w14:paraId="116FF507"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BAX</w:t>
            </w:r>
          </w:p>
        </w:tc>
        <w:tc>
          <w:tcPr>
            <w:tcW w:w="0" w:type="auto"/>
            <w:tcBorders>
              <w:top w:val="nil"/>
              <w:bottom w:val="single" w:sz="4" w:space="0" w:color="auto"/>
            </w:tcBorders>
            <w:shd w:val="clear" w:color="auto" w:fill="auto"/>
            <w:noWrap/>
            <w:vAlign w:val="center"/>
            <w:hideMark/>
          </w:tcPr>
          <w:p w14:paraId="0F17B928"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FANCG</w:t>
            </w:r>
          </w:p>
        </w:tc>
        <w:tc>
          <w:tcPr>
            <w:tcW w:w="0" w:type="auto"/>
            <w:tcBorders>
              <w:top w:val="nil"/>
              <w:bottom w:val="single" w:sz="4" w:space="0" w:color="auto"/>
            </w:tcBorders>
            <w:shd w:val="clear" w:color="auto" w:fill="auto"/>
            <w:noWrap/>
            <w:vAlign w:val="center"/>
            <w:hideMark/>
          </w:tcPr>
          <w:p w14:paraId="1C26DC12"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KMT2D</w:t>
            </w:r>
          </w:p>
        </w:tc>
        <w:tc>
          <w:tcPr>
            <w:tcW w:w="0" w:type="auto"/>
            <w:tcBorders>
              <w:top w:val="nil"/>
              <w:bottom w:val="single" w:sz="4" w:space="0" w:color="auto"/>
            </w:tcBorders>
            <w:shd w:val="clear" w:color="auto" w:fill="auto"/>
            <w:noWrap/>
            <w:vAlign w:val="center"/>
            <w:hideMark/>
          </w:tcPr>
          <w:p w14:paraId="19D55C48"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PARP2</w:t>
            </w:r>
          </w:p>
        </w:tc>
        <w:tc>
          <w:tcPr>
            <w:tcW w:w="0" w:type="auto"/>
            <w:tcBorders>
              <w:top w:val="nil"/>
              <w:bottom w:val="single" w:sz="4" w:space="0" w:color="auto"/>
            </w:tcBorders>
            <w:shd w:val="clear" w:color="auto" w:fill="auto"/>
            <w:noWrap/>
            <w:vAlign w:val="center"/>
            <w:hideMark/>
          </w:tcPr>
          <w:p w14:paraId="29420369"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SRC</w:t>
            </w:r>
          </w:p>
        </w:tc>
      </w:tr>
      <w:tr w:rsidR="00442BCB" w:rsidRPr="00E70995" w14:paraId="338772FC" w14:textId="77777777" w:rsidTr="00E70995">
        <w:trPr>
          <w:jc w:val="center"/>
        </w:trPr>
        <w:tc>
          <w:tcPr>
            <w:tcW w:w="0" w:type="auto"/>
            <w:tcBorders>
              <w:top w:val="nil"/>
              <w:bottom w:val="single" w:sz="4" w:space="0" w:color="auto"/>
            </w:tcBorders>
            <w:shd w:val="clear" w:color="auto" w:fill="auto"/>
            <w:noWrap/>
            <w:vAlign w:val="center"/>
            <w:hideMark/>
          </w:tcPr>
          <w:p w14:paraId="0C8DE176"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lastRenderedPageBreak/>
              <w:t>BRAF</w:t>
            </w:r>
          </w:p>
        </w:tc>
        <w:tc>
          <w:tcPr>
            <w:tcW w:w="0" w:type="auto"/>
            <w:tcBorders>
              <w:top w:val="nil"/>
              <w:bottom w:val="single" w:sz="4" w:space="0" w:color="auto"/>
            </w:tcBorders>
            <w:shd w:val="clear" w:color="auto" w:fill="auto"/>
            <w:noWrap/>
            <w:vAlign w:val="center"/>
            <w:hideMark/>
          </w:tcPr>
          <w:p w14:paraId="3A0F2184"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FANCL</w:t>
            </w:r>
          </w:p>
        </w:tc>
        <w:tc>
          <w:tcPr>
            <w:tcW w:w="0" w:type="auto"/>
            <w:tcBorders>
              <w:top w:val="nil"/>
              <w:bottom w:val="single" w:sz="4" w:space="0" w:color="auto"/>
            </w:tcBorders>
            <w:shd w:val="clear" w:color="auto" w:fill="auto"/>
            <w:noWrap/>
            <w:vAlign w:val="center"/>
            <w:hideMark/>
          </w:tcPr>
          <w:p w14:paraId="7185A0E3"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KRAS</w:t>
            </w:r>
          </w:p>
        </w:tc>
        <w:tc>
          <w:tcPr>
            <w:tcW w:w="0" w:type="auto"/>
            <w:tcBorders>
              <w:top w:val="nil"/>
              <w:bottom w:val="single" w:sz="4" w:space="0" w:color="auto"/>
            </w:tcBorders>
            <w:shd w:val="clear" w:color="auto" w:fill="auto"/>
            <w:noWrap/>
            <w:vAlign w:val="center"/>
            <w:hideMark/>
          </w:tcPr>
          <w:p w14:paraId="2E7A1FCC"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PARP3</w:t>
            </w:r>
          </w:p>
        </w:tc>
        <w:tc>
          <w:tcPr>
            <w:tcW w:w="0" w:type="auto"/>
            <w:tcBorders>
              <w:top w:val="nil"/>
              <w:bottom w:val="single" w:sz="4" w:space="0" w:color="auto"/>
            </w:tcBorders>
            <w:shd w:val="clear" w:color="auto" w:fill="auto"/>
            <w:noWrap/>
            <w:vAlign w:val="center"/>
            <w:hideMark/>
          </w:tcPr>
          <w:p w14:paraId="1E22AE5A"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STK11</w:t>
            </w:r>
          </w:p>
        </w:tc>
      </w:tr>
      <w:tr w:rsidR="00442BCB" w:rsidRPr="00E70995" w14:paraId="1481591B" w14:textId="77777777" w:rsidTr="00E70995">
        <w:trPr>
          <w:jc w:val="center"/>
        </w:trPr>
        <w:tc>
          <w:tcPr>
            <w:tcW w:w="0" w:type="auto"/>
            <w:tcBorders>
              <w:top w:val="nil"/>
              <w:bottom w:val="single" w:sz="4" w:space="0" w:color="auto"/>
            </w:tcBorders>
            <w:shd w:val="clear" w:color="auto" w:fill="auto"/>
            <w:noWrap/>
            <w:vAlign w:val="center"/>
            <w:hideMark/>
          </w:tcPr>
          <w:p w14:paraId="6E53018A"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BRCA1</w:t>
            </w:r>
          </w:p>
        </w:tc>
        <w:tc>
          <w:tcPr>
            <w:tcW w:w="0" w:type="auto"/>
            <w:tcBorders>
              <w:top w:val="nil"/>
              <w:bottom w:val="single" w:sz="4" w:space="0" w:color="auto"/>
            </w:tcBorders>
            <w:shd w:val="clear" w:color="auto" w:fill="auto"/>
            <w:noWrap/>
            <w:vAlign w:val="center"/>
            <w:hideMark/>
          </w:tcPr>
          <w:p w14:paraId="016EFCBA"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FBXW7</w:t>
            </w:r>
          </w:p>
        </w:tc>
        <w:tc>
          <w:tcPr>
            <w:tcW w:w="0" w:type="auto"/>
            <w:tcBorders>
              <w:top w:val="nil"/>
              <w:bottom w:val="single" w:sz="4" w:space="0" w:color="auto"/>
            </w:tcBorders>
            <w:shd w:val="clear" w:color="auto" w:fill="auto"/>
            <w:noWrap/>
            <w:vAlign w:val="center"/>
            <w:hideMark/>
          </w:tcPr>
          <w:p w14:paraId="19E22D23"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LIFR</w:t>
            </w:r>
          </w:p>
        </w:tc>
        <w:tc>
          <w:tcPr>
            <w:tcW w:w="0" w:type="auto"/>
            <w:tcBorders>
              <w:top w:val="nil"/>
              <w:bottom w:val="single" w:sz="4" w:space="0" w:color="auto"/>
            </w:tcBorders>
            <w:shd w:val="clear" w:color="auto" w:fill="auto"/>
            <w:noWrap/>
            <w:vAlign w:val="center"/>
            <w:hideMark/>
          </w:tcPr>
          <w:p w14:paraId="14EA48B9"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PARP4</w:t>
            </w:r>
          </w:p>
        </w:tc>
        <w:tc>
          <w:tcPr>
            <w:tcW w:w="0" w:type="auto"/>
            <w:tcBorders>
              <w:top w:val="nil"/>
              <w:bottom w:val="single" w:sz="4" w:space="0" w:color="auto"/>
            </w:tcBorders>
            <w:shd w:val="clear" w:color="auto" w:fill="auto"/>
            <w:noWrap/>
            <w:vAlign w:val="center"/>
            <w:hideMark/>
          </w:tcPr>
          <w:p w14:paraId="7AF4983D"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TMPRSS2</w:t>
            </w:r>
          </w:p>
        </w:tc>
      </w:tr>
      <w:tr w:rsidR="00442BCB" w:rsidRPr="00E70995" w14:paraId="0844821B" w14:textId="77777777" w:rsidTr="00E70995">
        <w:trPr>
          <w:jc w:val="center"/>
        </w:trPr>
        <w:tc>
          <w:tcPr>
            <w:tcW w:w="0" w:type="auto"/>
            <w:tcBorders>
              <w:top w:val="nil"/>
              <w:bottom w:val="single" w:sz="4" w:space="0" w:color="auto"/>
            </w:tcBorders>
            <w:shd w:val="clear" w:color="auto" w:fill="auto"/>
            <w:noWrap/>
            <w:vAlign w:val="center"/>
            <w:hideMark/>
          </w:tcPr>
          <w:p w14:paraId="4144231F"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BRCA2</w:t>
            </w:r>
          </w:p>
        </w:tc>
        <w:tc>
          <w:tcPr>
            <w:tcW w:w="0" w:type="auto"/>
            <w:tcBorders>
              <w:top w:val="nil"/>
              <w:bottom w:val="single" w:sz="4" w:space="0" w:color="auto"/>
            </w:tcBorders>
            <w:shd w:val="clear" w:color="auto" w:fill="auto"/>
            <w:noWrap/>
            <w:vAlign w:val="center"/>
            <w:hideMark/>
          </w:tcPr>
          <w:p w14:paraId="6E042C95"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FGFR1</w:t>
            </w:r>
          </w:p>
        </w:tc>
        <w:tc>
          <w:tcPr>
            <w:tcW w:w="0" w:type="auto"/>
            <w:tcBorders>
              <w:top w:val="nil"/>
              <w:bottom w:val="single" w:sz="4" w:space="0" w:color="auto"/>
            </w:tcBorders>
            <w:shd w:val="clear" w:color="auto" w:fill="auto"/>
            <w:noWrap/>
            <w:vAlign w:val="center"/>
            <w:hideMark/>
          </w:tcPr>
          <w:p w14:paraId="312F458B"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MET</w:t>
            </w:r>
          </w:p>
        </w:tc>
        <w:tc>
          <w:tcPr>
            <w:tcW w:w="0" w:type="auto"/>
            <w:tcBorders>
              <w:top w:val="nil"/>
              <w:bottom w:val="single" w:sz="4" w:space="0" w:color="auto"/>
            </w:tcBorders>
            <w:shd w:val="clear" w:color="auto" w:fill="auto"/>
            <w:noWrap/>
            <w:vAlign w:val="center"/>
            <w:hideMark/>
          </w:tcPr>
          <w:p w14:paraId="7D8BB13F"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PDE4DIP</w:t>
            </w:r>
          </w:p>
        </w:tc>
        <w:tc>
          <w:tcPr>
            <w:tcW w:w="0" w:type="auto"/>
            <w:tcBorders>
              <w:top w:val="nil"/>
              <w:bottom w:val="single" w:sz="4" w:space="0" w:color="auto"/>
            </w:tcBorders>
            <w:shd w:val="clear" w:color="auto" w:fill="auto"/>
            <w:noWrap/>
            <w:vAlign w:val="center"/>
            <w:hideMark/>
          </w:tcPr>
          <w:p w14:paraId="731BB039"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TP53</w:t>
            </w:r>
          </w:p>
        </w:tc>
      </w:tr>
      <w:tr w:rsidR="00442BCB" w:rsidRPr="00E70995" w14:paraId="03E214A1" w14:textId="77777777" w:rsidTr="00E70995">
        <w:trPr>
          <w:jc w:val="center"/>
        </w:trPr>
        <w:tc>
          <w:tcPr>
            <w:tcW w:w="0" w:type="auto"/>
            <w:tcBorders>
              <w:top w:val="nil"/>
              <w:bottom w:val="single" w:sz="4" w:space="0" w:color="auto"/>
            </w:tcBorders>
            <w:shd w:val="clear" w:color="auto" w:fill="auto"/>
            <w:noWrap/>
            <w:vAlign w:val="center"/>
            <w:hideMark/>
          </w:tcPr>
          <w:p w14:paraId="474001FA"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BRIP1</w:t>
            </w:r>
          </w:p>
        </w:tc>
        <w:tc>
          <w:tcPr>
            <w:tcW w:w="0" w:type="auto"/>
            <w:tcBorders>
              <w:top w:val="nil"/>
              <w:bottom w:val="single" w:sz="4" w:space="0" w:color="auto"/>
            </w:tcBorders>
            <w:shd w:val="clear" w:color="auto" w:fill="auto"/>
            <w:noWrap/>
            <w:vAlign w:val="center"/>
            <w:hideMark/>
          </w:tcPr>
          <w:p w14:paraId="7D98A830"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FGFR2</w:t>
            </w:r>
          </w:p>
        </w:tc>
        <w:tc>
          <w:tcPr>
            <w:tcW w:w="0" w:type="auto"/>
            <w:tcBorders>
              <w:top w:val="nil"/>
              <w:bottom w:val="single" w:sz="4" w:space="0" w:color="auto"/>
            </w:tcBorders>
            <w:shd w:val="clear" w:color="auto" w:fill="auto"/>
            <w:noWrap/>
            <w:vAlign w:val="center"/>
            <w:hideMark/>
          </w:tcPr>
          <w:p w14:paraId="64792781"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MSH2</w:t>
            </w:r>
          </w:p>
        </w:tc>
        <w:tc>
          <w:tcPr>
            <w:tcW w:w="0" w:type="auto"/>
            <w:tcBorders>
              <w:top w:val="nil"/>
              <w:bottom w:val="single" w:sz="4" w:space="0" w:color="auto"/>
            </w:tcBorders>
            <w:shd w:val="clear" w:color="auto" w:fill="auto"/>
            <w:noWrap/>
            <w:vAlign w:val="center"/>
            <w:hideMark/>
          </w:tcPr>
          <w:p w14:paraId="16ED79A0"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PDGFRA</w:t>
            </w:r>
          </w:p>
        </w:tc>
        <w:tc>
          <w:tcPr>
            <w:tcW w:w="0" w:type="auto"/>
            <w:tcBorders>
              <w:top w:val="nil"/>
              <w:bottom w:val="single" w:sz="4" w:space="0" w:color="auto"/>
            </w:tcBorders>
            <w:shd w:val="clear" w:color="auto" w:fill="auto"/>
            <w:noWrap/>
            <w:vAlign w:val="center"/>
            <w:hideMark/>
          </w:tcPr>
          <w:p w14:paraId="2F5FA8F9"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TP73</w:t>
            </w:r>
          </w:p>
        </w:tc>
      </w:tr>
      <w:tr w:rsidR="00442BCB" w:rsidRPr="00E70995" w14:paraId="232A7481" w14:textId="77777777" w:rsidTr="00E70995">
        <w:trPr>
          <w:jc w:val="center"/>
        </w:trPr>
        <w:tc>
          <w:tcPr>
            <w:tcW w:w="0" w:type="auto"/>
            <w:tcBorders>
              <w:top w:val="nil"/>
              <w:bottom w:val="single" w:sz="4" w:space="0" w:color="auto"/>
            </w:tcBorders>
            <w:shd w:val="clear" w:color="auto" w:fill="auto"/>
            <w:noWrap/>
            <w:vAlign w:val="center"/>
            <w:hideMark/>
          </w:tcPr>
          <w:p w14:paraId="133E127F"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CDK4</w:t>
            </w:r>
          </w:p>
        </w:tc>
        <w:tc>
          <w:tcPr>
            <w:tcW w:w="0" w:type="auto"/>
            <w:tcBorders>
              <w:top w:val="nil"/>
              <w:bottom w:val="single" w:sz="4" w:space="0" w:color="auto"/>
            </w:tcBorders>
            <w:shd w:val="clear" w:color="auto" w:fill="auto"/>
            <w:noWrap/>
            <w:vAlign w:val="center"/>
            <w:hideMark/>
          </w:tcPr>
          <w:p w14:paraId="4F5859D8"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FGFR3</w:t>
            </w:r>
          </w:p>
        </w:tc>
        <w:tc>
          <w:tcPr>
            <w:tcW w:w="0" w:type="auto"/>
            <w:tcBorders>
              <w:top w:val="nil"/>
              <w:bottom w:val="single" w:sz="4" w:space="0" w:color="auto"/>
            </w:tcBorders>
            <w:shd w:val="clear" w:color="auto" w:fill="auto"/>
            <w:noWrap/>
            <w:vAlign w:val="center"/>
            <w:hideMark/>
          </w:tcPr>
          <w:p w14:paraId="0B7B86CB"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MSH6</w:t>
            </w:r>
          </w:p>
        </w:tc>
        <w:tc>
          <w:tcPr>
            <w:tcW w:w="0" w:type="auto"/>
            <w:tcBorders>
              <w:top w:val="nil"/>
              <w:bottom w:val="single" w:sz="4" w:space="0" w:color="auto"/>
            </w:tcBorders>
            <w:shd w:val="clear" w:color="auto" w:fill="auto"/>
            <w:noWrap/>
            <w:vAlign w:val="center"/>
            <w:hideMark/>
          </w:tcPr>
          <w:p w14:paraId="1CEECCA0"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PHF6</w:t>
            </w:r>
          </w:p>
        </w:tc>
        <w:tc>
          <w:tcPr>
            <w:tcW w:w="0" w:type="auto"/>
            <w:tcBorders>
              <w:top w:val="nil"/>
              <w:bottom w:val="single" w:sz="4" w:space="0" w:color="auto"/>
            </w:tcBorders>
            <w:shd w:val="clear" w:color="auto" w:fill="auto"/>
            <w:noWrap/>
            <w:vAlign w:val="center"/>
            <w:hideMark/>
          </w:tcPr>
          <w:p w14:paraId="102CD66B"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TSC1</w:t>
            </w:r>
          </w:p>
        </w:tc>
      </w:tr>
      <w:tr w:rsidR="00442BCB" w:rsidRPr="00E70995" w14:paraId="1A4BBEE4" w14:textId="77777777" w:rsidTr="00E70995">
        <w:trPr>
          <w:jc w:val="center"/>
        </w:trPr>
        <w:tc>
          <w:tcPr>
            <w:tcW w:w="0" w:type="auto"/>
            <w:tcBorders>
              <w:top w:val="nil"/>
              <w:bottom w:val="single" w:sz="4" w:space="0" w:color="auto"/>
            </w:tcBorders>
            <w:shd w:val="clear" w:color="auto" w:fill="auto"/>
            <w:noWrap/>
            <w:vAlign w:val="center"/>
            <w:hideMark/>
          </w:tcPr>
          <w:p w14:paraId="2EC44418"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CHEK2</w:t>
            </w:r>
          </w:p>
        </w:tc>
        <w:tc>
          <w:tcPr>
            <w:tcW w:w="0" w:type="auto"/>
            <w:tcBorders>
              <w:top w:val="nil"/>
              <w:bottom w:val="single" w:sz="4" w:space="0" w:color="auto"/>
            </w:tcBorders>
            <w:shd w:val="clear" w:color="auto" w:fill="auto"/>
            <w:noWrap/>
            <w:vAlign w:val="center"/>
            <w:hideMark/>
          </w:tcPr>
          <w:p w14:paraId="3A750E48"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FHIT</w:t>
            </w:r>
          </w:p>
        </w:tc>
        <w:tc>
          <w:tcPr>
            <w:tcW w:w="0" w:type="auto"/>
            <w:tcBorders>
              <w:top w:val="nil"/>
              <w:bottom w:val="single" w:sz="4" w:space="0" w:color="auto"/>
            </w:tcBorders>
            <w:shd w:val="clear" w:color="auto" w:fill="auto"/>
            <w:noWrap/>
            <w:vAlign w:val="center"/>
            <w:hideMark/>
          </w:tcPr>
          <w:p w14:paraId="37B1B786"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MTOR</w:t>
            </w:r>
          </w:p>
        </w:tc>
        <w:tc>
          <w:tcPr>
            <w:tcW w:w="0" w:type="auto"/>
            <w:tcBorders>
              <w:top w:val="nil"/>
              <w:bottom w:val="single" w:sz="4" w:space="0" w:color="auto"/>
            </w:tcBorders>
            <w:shd w:val="clear" w:color="auto" w:fill="auto"/>
            <w:noWrap/>
            <w:vAlign w:val="center"/>
            <w:hideMark/>
          </w:tcPr>
          <w:p w14:paraId="37DA6194"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PIK3CA</w:t>
            </w:r>
          </w:p>
        </w:tc>
        <w:tc>
          <w:tcPr>
            <w:tcW w:w="0" w:type="auto"/>
            <w:tcBorders>
              <w:top w:val="nil"/>
              <w:bottom w:val="single" w:sz="4" w:space="0" w:color="auto"/>
            </w:tcBorders>
            <w:shd w:val="clear" w:color="auto" w:fill="auto"/>
            <w:noWrap/>
            <w:vAlign w:val="center"/>
            <w:hideMark/>
          </w:tcPr>
          <w:p w14:paraId="4FDE32B2"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TSC2</w:t>
            </w:r>
          </w:p>
        </w:tc>
      </w:tr>
      <w:tr w:rsidR="00442BCB" w:rsidRPr="00E70995" w14:paraId="0B381273" w14:textId="77777777" w:rsidTr="00E70995">
        <w:trPr>
          <w:jc w:val="center"/>
        </w:trPr>
        <w:tc>
          <w:tcPr>
            <w:tcW w:w="0" w:type="auto"/>
            <w:tcBorders>
              <w:top w:val="nil"/>
              <w:bottom w:val="single" w:sz="4" w:space="0" w:color="auto"/>
            </w:tcBorders>
            <w:shd w:val="clear" w:color="auto" w:fill="auto"/>
            <w:noWrap/>
            <w:vAlign w:val="center"/>
            <w:hideMark/>
          </w:tcPr>
          <w:p w14:paraId="66E6FDB4"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COL22A1</w:t>
            </w:r>
          </w:p>
        </w:tc>
        <w:tc>
          <w:tcPr>
            <w:tcW w:w="0" w:type="auto"/>
            <w:tcBorders>
              <w:top w:val="nil"/>
              <w:bottom w:val="single" w:sz="4" w:space="0" w:color="auto"/>
            </w:tcBorders>
            <w:shd w:val="clear" w:color="auto" w:fill="auto"/>
            <w:noWrap/>
            <w:vAlign w:val="center"/>
            <w:hideMark/>
          </w:tcPr>
          <w:p w14:paraId="469FCA2B"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FLT1</w:t>
            </w:r>
          </w:p>
        </w:tc>
        <w:tc>
          <w:tcPr>
            <w:tcW w:w="0" w:type="auto"/>
            <w:tcBorders>
              <w:top w:val="nil"/>
              <w:bottom w:val="single" w:sz="4" w:space="0" w:color="auto"/>
            </w:tcBorders>
            <w:shd w:val="clear" w:color="auto" w:fill="auto"/>
            <w:noWrap/>
            <w:vAlign w:val="center"/>
            <w:hideMark/>
          </w:tcPr>
          <w:p w14:paraId="7B1B9D0C"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MUC16</w:t>
            </w:r>
          </w:p>
        </w:tc>
        <w:tc>
          <w:tcPr>
            <w:tcW w:w="0" w:type="auto"/>
            <w:tcBorders>
              <w:top w:val="nil"/>
              <w:bottom w:val="single" w:sz="4" w:space="0" w:color="auto"/>
            </w:tcBorders>
            <w:shd w:val="clear" w:color="auto" w:fill="auto"/>
            <w:noWrap/>
            <w:vAlign w:val="center"/>
            <w:hideMark/>
          </w:tcPr>
          <w:p w14:paraId="6D64D5DC"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PRKDC</w:t>
            </w:r>
          </w:p>
        </w:tc>
        <w:tc>
          <w:tcPr>
            <w:tcW w:w="0" w:type="auto"/>
            <w:tcBorders>
              <w:top w:val="nil"/>
              <w:bottom w:val="single" w:sz="4" w:space="0" w:color="auto"/>
            </w:tcBorders>
            <w:shd w:val="clear" w:color="auto" w:fill="auto"/>
            <w:noWrap/>
            <w:vAlign w:val="center"/>
            <w:hideMark/>
          </w:tcPr>
          <w:p w14:paraId="506D468B"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VEGFA</w:t>
            </w:r>
          </w:p>
        </w:tc>
      </w:tr>
      <w:tr w:rsidR="00442BCB" w:rsidRPr="00E70995" w14:paraId="4487166F" w14:textId="77777777" w:rsidTr="00E70995">
        <w:trPr>
          <w:jc w:val="center"/>
        </w:trPr>
        <w:tc>
          <w:tcPr>
            <w:tcW w:w="0" w:type="auto"/>
            <w:tcBorders>
              <w:top w:val="nil"/>
              <w:bottom w:val="single" w:sz="4" w:space="0" w:color="auto"/>
            </w:tcBorders>
            <w:shd w:val="clear" w:color="auto" w:fill="auto"/>
            <w:noWrap/>
            <w:vAlign w:val="center"/>
            <w:hideMark/>
          </w:tcPr>
          <w:p w14:paraId="012871FD"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CREBBP</w:t>
            </w:r>
          </w:p>
        </w:tc>
        <w:tc>
          <w:tcPr>
            <w:tcW w:w="0" w:type="auto"/>
            <w:tcBorders>
              <w:top w:val="nil"/>
              <w:bottom w:val="single" w:sz="4" w:space="0" w:color="auto"/>
            </w:tcBorders>
            <w:shd w:val="clear" w:color="auto" w:fill="auto"/>
            <w:noWrap/>
            <w:vAlign w:val="center"/>
            <w:hideMark/>
          </w:tcPr>
          <w:p w14:paraId="07A9B0D5"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FLT3</w:t>
            </w:r>
          </w:p>
        </w:tc>
        <w:tc>
          <w:tcPr>
            <w:tcW w:w="0" w:type="auto"/>
            <w:tcBorders>
              <w:top w:val="nil"/>
              <w:bottom w:val="single" w:sz="4" w:space="0" w:color="auto"/>
            </w:tcBorders>
            <w:shd w:val="clear" w:color="auto" w:fill="auto"/>
            <w:noWrap/>
            <w:vAlign w:val="center"/>
            <w:hideMark/>
          </w:tcPr>
          <w:p w14:paraId="13F19E85"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MUTYH</w:t>
            </w:r>
          </w:p>
        </w:tc>
        <w:tc>
          <w:tcPr>
            <w:tcW w:w="0" w:type="auto"/>
            <w:tcBorders>
              <w:top w:val="nil"/>
              <w:bottom w:val="single" w:sz="4" w:space="0" w:color="auto"/>
            </w:tcBorders>
            <w:shd w:val="clear" w:color="auto" w:fill="auto"/>
            <w:noWrap/>
            <w:vAlign w:val="center"/>
            <w:hideMark/>
          </w:tcPr>
          <w:p w14:paraId="375B09B4"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PTEN</w:t>
            </w:r>
          </w:p>
        </w:tc>
        <w:tc>
          <w:tcPr>
            <w:tcW w:w="0" w:type="auto"/>
            <w:tcBorders>
              <w:top w:val="nil"/>
              <w:bottom w:val="single" w:sz="4" w:space="0" w:color="auto"/>
            </w:tcBorders>
            <w:shd w:val="clear" w:color="auto" w:fill="auto"/>
            <w:noWrap/>
            <w:vAlign w:val="center"/>
            <w:hideMark/>
          </w:tcPr>
          <w:p w14:paraId="3A90151F"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WT1</w:t>
            </w:r>
          </w:p>
        </w:tc>
      </w:tr>
      <w:tr w:rsidR="00442BCB" w:rsidRPr="00E70995" w14:paraId="072776DD" w14:textId="77777777" w:rsidTr="00E70995">
        <w:trPr>
          <w:jc w:val="center"/>
        </w:trPr>
        <w:tc>
          <w:tcPr>
            <w:tcW w:w="0" w:type="auto"/>
            <w:tcBorders>
              <w:top w:val="nil"/>
              <w:bottom w:val="single" w:sz="8" w:space="0" w:color="auto"/>
            </w:tcBorders>
            <w:shd w:val="clear" w:color="auto" w:fill="auto"/>
            <w:noWrap/>
            <w:vAlign w:val="center"/>
            <w:hideMark/>
          </w:tcPr>
          <w:p w14:paraId="0D7487CE"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CTNNB1</w:t>
            </w:r>
          </w:p>
        </w:tc>
        <w:tc>
          <w:tcPr>
            <w:tcW w:w="0" w:type="auto"/>
            <w:tcBorders>
              <w:top w:val="nil"/>
              <w:bottom w:val="single" w:sz="8" w:space="0" w:color="auto"/>
            </w:tcBorders>
            <w:shd w:val="clear" w:color="auto" w:fill="auto"/>
            <w:noWrap/>
            <w:vAlign w:val="center"/>
            <w:hideMark/>
          </w:tcPr>
          <w:p w14:paraId="4A8A9764"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FLT4</w:t>
            </w:r>
          </w:p>
        </w:tc>
        <w:tc>
          <w:tcPr>
            <w:tcW w:w="0" w:type="auto"/>
            <w:tcBorders>
              <w:top w:val="nil"/>
              <w:bottom w:val="single" w:sz="8" w:space="0" w:color="auto"/>
            </w:tcBorders>
            <w:shd w:val="clear" w:color="auto" w:fill="auto"/>
            <w:noWrap/>
            <w:vAlign w:val="center"/>
            <w:hideMark/>
          </w:tcPr>
          <w:p w14:paraId="41DEC1F4"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MYC</w:t>
            </w:r>
          </w:p>
        </w:tc>
        <w:tc>
          <w:tcPr>
            <w:tcW w:w="0" w:type="auto"/>
            <w:tcBorders>
              <w:top w:val="nil"/>
              <w:bottom w:val="single" w:sz="8" w:space="0" w:color="auto"/>
            </w:tcBorders>
            <w:shd w:val="clear" w:color="auto" w:fill="auto"/>
            <w:noWrap/>
            <w:vAlign w:val="center"/>
            <w:hideMark/>
          </w:tcPr>
          <w:p w14:paraId="19C37354"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RAD50</w:t>
            </w:r>
          </w:p>
        </w:tc>
        <w:tc>
          <w:tcPr>
            <w:tcW w:w="0" w:type="auto"/>
            <w:tcBorders>
              <w:top w:val="nil"/>
              <w:bottom w:val="single" w:sz="8" w:space="0" w:color="auto"/>
            </w:tcBorders>
            <w:shd w:val="clear" w:color="auto" w:fill="auto"/>
            <w:noWrap/>
            <w:vAlign w:val="center"/>
            <w:hideMark/>
          </w:tcPr>
          <w:p w14:paraId="7A2C0E24" w14:textId="77777777" w:rsidR="00442BCB" w:rsidRPr="00E70995" w:rsidRDefault="00442BCB" w:rsidP="00E70995">
            <w:pPr>
              <w:suppressAutoHyphens w:val="0"/>
              <w:autoSpaceDE w:val="0"/>
              <w:adjustRightInd w:val="0"/>
              <w:snapToGrid w:val="0"/>
              <w:spacing w:after="0" w:line="240" w:lineRule="auto"/>
              <w:jc w:val="center"/>
              <w:textAlignment w:val="auto"/>
              <w:rPr>
                <w:rFonts w:ascii="Palatino Linotype" w:eastAsia="Times New Roman" w:hAnsi="Palatino Linotype" w:cs="Calibri"/>
                <w:i/>
                <w:iCs/>
                <w:color w:val="000000"/>
                <w:sz w:val="20"/>
                <w:szCs w:val="16"/>
                <w:lang w:val="en-US"/>
              </w:rPr>
            </w:pPr>
            <w:r w:rsidRPr="00E70995">
              <w:rPr>
                <w:rFonts w:ascii="Palatino Linotype" w:eastAsia="Times New Roman" w:hAnsi="Palatino Linotype" w:cs="Calibri"/>
                <w:i/>
                <w:iCs/>
                <w:color w:val="000000"/>
                <w:sz w:val="20"/>
                <w:szCs w:val="16"/>
                <w:lang w:val="en-US"/>
              </w:rPr>
              <w:t>ZNF521</w:t>
            </w:r>
          </w:p>
        </w:tc>
      </w:tr>
    </w:tbl>
    <w:p w14:paraId="1007B276" w14:textId="77777777" w:rsidR="000E562D" w:rsidRDefault="005018B3" w:rsidP="00E70995">
      <w:pPr>
        <w:pStyle w:val="MDPI21heading1"/>
      </w:pPr>
      <w:r>
        <w:t>AVENIO</w:t>
      </w:r>
      <w:r w:rsidR="00294AB2">
        <w:t xml:space="preserve"> ctDNA Targeted Kit (Roche) </w:t>
      </w:r>
    </w:p>
    <w:p w14:paraId="125618DC" w14:textId="77777777" w:rsidR="00ED2F3C" w:rsidRDefault="005018B3" w:rsidP="00E70995">
      <w:pPr>
        <w:pStyle w:val="MDPI31text"/>
      </w:pPr>
      <w:r>
        <w:t>AVENIO</w:t>
      </w:r>
      <w:r w:rsidR="00294AB2">
        <w:t xml:space="preserve"> ctDNA Targeted is used for pan-cancer research applications and contains 17 genes across 81kb, including genes for NSCLC, CRC and other cancer types aligned with the U.S. National Comprehensive Cancer Network (NCCN) Guidelines. This panel used hybrid capture-targeted enrichment techniques. The panel includes SNVs in </w:t>
      </w:r>
      <w:r w:rsidR="00294AB2">
        <w:rPr>
          <w:i/>
          <w:iCs/>
        </w:rPr>
        <w:t>ALK, APC, BRAF,BRCA1,BRCA2,DPYD, EGFR, ERBB2, KIT, KRAS, MET, NRAS, PDGFRA, RET, ROS1, TP53</w:t>
      </w:r>
      <w:r w:rsidR="00294AB2">
        <w:t xml:space="preserve"> and </w:t>
      </w:r>
      <w:r w:rsidR="00294AB2">
        <w:rPr>
          <w:i/>
          <w:iCs/>
        </w:rPr>
        <w:t>UGT1A1</w:t>
      </w:r>
      <w:r w:rsidR="00294AB2">
        <w:t xml:space="preserve">; Indels in predefined regions of </w:t>
      </w:r>
      <w:r w:rsidR="00294AB2">
        <w:rPr>
          <w:i/>
          <w:iCs/>
        </w:rPr>
        <w:t>ALK, APC, BRAF, EGFR,ERBB2, KIT, MET</w:t>
      </w:r>
      <w:r w:rsidR="00294AB2">
        <w:t xml:space="preserve">; Fusions in </w:t>
      </w:r>
      <w:r w:rsidR="00294AB2">
        <w:rPr>
          <w:i/>
          <w:iCs/>
        </w:rPr>
        <w:t xml:space="preserve">ALK, RET </w:t>
      </w:r>
      <w:r w:rsidR="00294AB2">
        <w:t xml:space="preserve">and </w:t>
      </w:r>
      <w:r w:rsidR="00294AB2">
        <w:rPr>
          <w:i/>
          <w:iCs/>
        </w:rPr>
        <w:t>ROS1</w:t>
      </w:r>
      <w:r w:rsidR="00294AB2">
        <w:t xml:space="preserve">, additionally CNVs </w:t>
      </w:r>
      <w:r w:rsidR="00294AB2">
        <w:rPr>
          <w:i/>
          <w:iCs/>
        </w:rPr>
        <w:t>EGFR</w:t>
      </w:r>
      <w:r w:rsidR="00294AB2">
        <w:t xml:space="preserve">, </w:t>
      </w:r>
      <w:r w:rsidR="00294AB2">
        <w:rPr>
          <w:i/>
          <w:iCs/>
        </w:rPr>
        <w:t>ERBB2</w:t>
      </w:r>
      <w:r w:rsidR="00294AB2">
        <w:t xml:space="preserve"> and </w:t>
      </w:r>
      <w:r w:rsidR="00294AB2">
        <w:rPr>
          <w:i/>
          <w:iCs/>
        </w:rPr>
        <w:t>MET</w:t>
      </w:r>
      <w:r w:rsidR="00294AB2">
        <w:t xml:space="preserve">. </w:t>
      </w:r>
      <w:r w:rsidR="00ED2F3C">
        <w:t xml:space="preserve">The workflow </w:t>
      </w:r>
      <w:r w:rsidR="00434356">
        <w:t>involved</w:t>
      </w:r>
      <w:r w:rsidR="00ED2F3C">
        <w:t xml:space="preserve"> integrate</w:t>
      </w:r>
      <w:r w:rsidR="00434356">
        <w:t>d</w:t>
      </w:r>
      <w:r w:rsidR="00ED2F3C">
        <w:t xml:space="preserve"> digital error suppression (</w:t>
      </w:r>
      <w:proofErr w:type="spellStart"/>
      <w:r w:rsidR="00ED2F3C">
        <w:t>iDES</w:t>
      </w:r>
      <w:proofErr w:type="spellEnd"/>
      <w:r w:rsidR="00ED2F3C">
        <w:t xml:space="preserve">) strategies </w:t>
      </w:r>
      <w:r w:rsidR="00434356">
        <w:t xml:space="preserve">by </w:t>
      </w:r>
      <w:r w:rsidR="00ED2F3C">
        <w:t xml:space="preserve">combining molecular barcodes with in silico error suppression techniques </w:t>
      </w:r>
      <w:r w:rsidR="00ED2F3C">
        <w:fldChar w:fldCharType="begin">
          <w:fldData xml:space="preserve">PEVuZE5vdGU+PENpdGU+PEF1dGhvcj5OZXdtYW48L0F1dGhvcj48WWVhcj4yMDE0PC9ZZWFyPjxS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</w:fldData>
        </w:fldChar>
      </w:r>
      <w:r w:rsidR="00ED2F3C">
        <w:instrText xml:space="preserve"> ADDIN EN.CITE </w:instrText>
      </w:r>
      <w:r w:rsidR="00ED2F3C">
        <w:fldChar w:fldCharType="begin">
          <w:fldData xml:space="preserve">PEVuZE5vdGU+PENpdGU+PEF1dGhvcj5OZXdtYW48L0F1dGhvcj48WWVhcj4yMDE0PC9ZZWFyPjxS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</w:fldData>
        </w:fldChar>
      </w:r>
      <w:r w:rsidR="00ED2F3C">
        <w:instrText xml:space="preserve"> ADDIN EN.CITE.DATA </w:instrText>
      </w:r>
      <w:r w:rsidR="00ED2F3C">
        <w:fldChar w:fldCharType="end"/>
      </w:r>
      <w:r w:rsidR="00ED2F3C">
        <w:fldChar w:fldCharType="separate"/>
      </w:r>
      <w:r w:rsidR="00ED2F3C">
        <w:t>(1, 2)</w:t>
      </w:r>
      <w:r w:rsidR="00ED2F3C">
        <w:fldChar w:fldCharType="end"/>
      </w:r>
      <w:r w:rsidR="00ED2F3C">
        <w:t>. According to the vendor, the assay detects</w:t>
      </w:r>
      <w:r w:rsidR="00ED2F3C" w:rsidRPr="00ED2F3C">
        <w:t xml:space="preserve"> SNVs</w:t>
      </w:r>
      <w:r w:rsidR="00ED2F3C">
        <w:t xml:space="preserve"> with VAF of 0.5% with </w:t>
      </w:r>
      <w:r w:rsidR="00ED2F3C" w:rsidRPr="00ED2F3C">
        <w:t>&gt;99% sensitivity</w:t>
      </w:r>
      <w:r w:rsidR="00ED2F3C">
        <w:t xml:space="preserve"> and specificity using 10-50ng of mixed cell lines and a minimum of 40M reads. VAFs with 0.1% can also be detected.</w:t>
      </w:r>
    </w:p>
    <w:p w14:paraId="0C04680C" w14:textId="77777777" w:rsidR="00AF0A55" w:rsidRDefault="00AF0A55" w:rsidP="00E70995">
      <w:pPr>
        <w:pStyle w:val="MDPI31text"/>
        <w:rPr>
          <w:bCs/>
        </w:rPr>
      </w:pPr>
      <w:r>
        <w:t xml:space="preserve">Libraries were prepared from 15ng (study setup B) and 20ng (study setup A) DNA of SeraCare reference material v2 and </w:t>
      </w:r>
      <w:r w:rsidRPr="00387D56">
        <w:t>Seraseq® ctDNA Complete</w:t>
      </w:r>
      <w:r>
        <w:t xml:space="preserve">, respectively, according to AVENIO ctDNA Analysis Reagent Workflow User Guide </w:t>
      </w:r>
      <w:r w:rsidRPr="00387D56">
        <w:t>(version 1.0.0)</w:t>
      </w:r>
      <w:r>
        <w:t xml:space="preserve">. Assessment of enriched library quality was done with Bioanalyzer High Sensitivity kit (Agilent). According to Roche´s recommendations a total of 16 libraries were pooled according to measurements with </w:t>
      </w:r>
      <w:r w:rsidRPr="00387D56">
        <w:t>Invitrogen</w:t>
      </w:r>
      <w:r w:rsidRPr="00387D56">
        <w:rPr>
          <w:vertAlign w:val="superscript"/>
        </w:rPr>
        <w:t xml:space="preserve"> </w:t>
      </w:r>
      <w:r w:rsidRPr="00387D56">
        <w:t xml:space="preserve">Qubit dsDNA HS Assay Concentrations </w:t>
      </w:r>
      <w:r>
        <w:t xml:space="preserve">(Thermo Fisher). The pools were quantified with qPCR and sequenced on an Illumina NextSeq 550 platform with a High Output V2 300 cycles Kit in paired end mode. To increase sequencing complexity, 10% </w:t>
      </w:r>
      <w:proofErr w:type="spellStart"/>
      <w:r>
        <w:t>PhiX</w:t>
      </w:r>
      <w:proofErr w:type="spellEnd"/>
      <w:r>
        <w:t xml:space="preserve"> Sequencing Control V3 were spiked to the pool. On average, 22.2M raw read pairs were obtained per sample (range 20.2M- 27.5M) with mean unique depth of 5075 reads (range 4544x-6288x) after consensus read generation for the SeraCare reference material v2 (study setup B)</w:t>
      </w:r>
      <w:r w:rsidRPr="00851938">
        <w:t xml:space="preserve">. For the Seraseq® ctDNA Complete samples an average of 20.0M raw read pairs per sample (range 18.2-23.5M) </w:t>
      </w:r>
      <w:r w:rsidRPr="00851938">
        <w:rPr>
          <w:bCs/>
        </w:rPr>
        <w:t>with a mean depth of 4002 reads (range 2967x-4603x) were obtained</w:t>
      </w:r>
      <w:r>
        <w:rPr>
          <w:bCs/>
        </w:rPr>
        <w:t xml:space="preserve"> (study setup A)</w:t>
      </w:r>
      <w:r w:rsidRPr="00851938">
        <w:rPr>
          <w:bCs/>
        </w:rPr>
        <w:t xml:space="preserve">. </w:t>
      </w:r>
      <w:r w:rsidRPr="00851938">
        <w:t>Sequencing data was analyzed using the AVENIO</w:t>
      </w:r>
      <w:r>
        <w:t xml:space="preserve"> ctDNA Analysis Software (Roche, </w:t>
      </w:r>
      <w:r w:rsidRPr="00387D56">
        <w:rPr>
          <w:bCs/>
        </w:rPr>
        <w:t>version 1.1.0),</w:t>
      </w:r>
      <w:r>
        <w:t xml:space="preserve"> variant calls were generated with a customized workflow using defined somatic variant filter settings. The filter removed variants present with &gt;1% mutated population allele frequency listed in frequency </w:t>
      </w:r>
      <w:r w:rsidRPr="00387D56">
        <w:rPr>
          <w:bCs/>
        </w:rPr>
        <w:t>databases (</w:t>
      </w:r>
      <w:proofErr w:type="spellStart"/>
      <w:r w:rsidRPr="00387D56">
        <w:rPr>
          <w:bCs/>
        </w:rPr>
        <w:t>ExAC</w:t>
      </w:r>
      <w:proofErr w:type="spellEnd"/>
      <w:r w:rsidRPr="00387D56">
        <w:rPr>
          <w:bCs/>
        </w:rPr>
        <w:t xml:space="preserve">, </w:t>
      </w:r>
      <w:proofErr w:type="spellStart"/>
      <w:r w:rsidRPr="00387D56">
        <w:rPr>
          <w:bCs/>
        </w:rPr>
        <w:t>gnomAD</w:t>
      </w:r>
      <w:proofErr w:type="spellEnd"/>
      <w:r w:rsidRPr="00387D56">
        <w:rPr>
          <w:bCs/>
        </w:rPr>
        <w:t xml:space="preserve">, 1000genomes) along with common SNPs as defined in </w:t>
      </w:r>
      <w:proofErr w:type="spellStart"/>
      <w:r w:rsidRPr="00387D56">
        <w:rPr>
          <w:bCs/>
        </w:rPr>
        <w:t>dbSNP</w:t>
      </w:r>
      <w:proofErr w:type="spellEnd"/>
      <w:r w:rsidRPr="00387D56">
        <w:rPr>
          <w:bCs/>
        </w:rPr>
        <w:t>.</w:t>
      </w:r>
    </w:p>
    <w:p w14:paraId="201849B6" w14:textId="77777777" w:rsidR="00A85CB9" w:rsidRDefault="00A85CB9" w:rsidP="00E70995">
      <w:pPr>
        <w:pStyle w:val="MDPI31text"/>
        <w:spacing w:line="340" w:lineRule="atLeast"/>
        <w:ind w:firstLine="0"/>
        <w:rPr>
          <w:bCs/>
        </w:rPr>
      </w:pPr>
    </w:p>
    <w:p w14:paraId="5ED08B2E" w14:textId="77777777" w:rsidR="00A85CB9" w:rsidRDefault="00A85CB9" w:rsidP="00E70995">
      <w:pPr>
        <w:pStyle w:val="MDPI21heading1"/>
      </w:pPr>
      <w:r>
        <w:t xml:space="preserve">The </w:t>
      </w:r>
      <w:r w:rsidR="005018B3">
        <w:t>AVENIO</w:t>
      </w:r>
      <w:r>
        <w:t xml:space="preserve"> ctDNA Expanded Kit (Roche) </w:t>
      </w:r>
    </w:p>
    <w:p w14:paraId="0178492B" w14:textId="25A76EEA" w:rsidR="00434356" w:rsidRDefault="0090209C" w:rsidP="00E70995">
      <w:pPr>
        <w:pStyle w:val="MDPI31text"/>
      </w:pPr>
      <w:r w:rsidRPr="0090209C">
        <w:t xml:space="preserve">The </w:t>
      </w:r>
      <w:r w:rsidR="005018B3">
        <w:t>AVENIO</w:t>
      </w:r>
      <w:r w:rsidRPr="0090209C">
        <w:t xml:space="preserve"> ctDNA Expanded Kit is a liquid biopsy assay with a 77 gene panel</w:t>
      </w:r>
      <w:r w:rsidR="00E70995">
        <w:t xml:space="preserve"> </w:t>
      </w:r>
      <w:r w:rsidRPr="0090209C">
        <w:t>containing genes in U.S. National Comprehensive Cancer Network (NCCN) Guidelines1</w:t>
      </w:r>
      <w:r w:rsidR="00E70995">
        <w:t xml:space="preserve"> </w:t>
      </w:r>
      <w:r w:rsidRPr="0090209C">
        <w:t xml:space="preserve">and emerging cancer biomarkers. </w:t>
      </w:r>
    </w:p>
    <w:p w14:paraId="7E9BA7D8" w14:textId="77777777" w:rsidR="00434356" w:rsidRDefault="00434356" w:rsidP="00E70995">
      <w:pPr>
        <w:pStyle w:val="MDPI31text"/>
      </w:pPr>
      <w:r>
        <w:t xml:space="preserve">Like the Targeted kit </w:t>
      </w:r>
      <w:proofErr w:type="gramStart"/>
      <w:r>
        <w:t>The</w:t>
      </w:r>
      <w:proofErr w:type="gramEnd"/>
      <w:r>
        <w:t xml:space="preserve"> workflow involved integrated digital error suppression (</w:t>
      </w:r>
      <w:proofErr w:type="spellStart"/>
      <w:r>
        <w:t>iDES</w:t>
      </w:r>
      <w:proofErr w:type="spellEnd"/>
      <w:r>
        <w:t xml:space="preserve">) strategies by combining molecular barcodes with in silico error suppression techniques </w:t>
      </w:r>
      <w:r>
        <w:fldChar w:fldCharType="begin">
          <w:fldData xml:space="preserve">PEVuZE5vdGU+PENpdGU+PEF1dGhvcj5OZXdtYW48L0F1dGhvcj48WWVhcj4yMDE0PC9ZZWFyPjxS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</w:fldData>
        </w:fldChar>
      </w:r>
      <w:r>
        <w:instrText xml:space="preserve"> ADDIN EN.CITE </w:instrText>
      </w:r>
      <w:r>
        <w:fldChar w:fldCharType="begin">
          <w:fldData xml:space="preserve">PEVuZE5vdGU+PENpdGU+PEF1dGhvcj5OZXdtYW48L0F1dGhvcj48WWVhcj4yMDE0PC9ZZWFyPjxS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</w:fldData>
        </w:fldChar>
      </w:r>
      <w:r>
        <w:instrText xml:space="preserve"> ADDIN EN.CITE.DATA </w:instrText>
      </w:r>
      <w:r>
        <w:fldChar w:fldCharType="end"/>
      </w:r>
      <w:r>
        <w:fldChar w:fldCharType="separate"/>
      </w:r>
      <w:r>
        <w:t>(1, 2)</w:t>
      </w:r>
      <w:r>
        <w:fldChar w:fldCharType="end"/>
      </w:r>
      <w:r>
        <w:t>. According to the vendor, the assay detects</w:t>
      </w:r>
      <w:r w:rsidRPr="00ED2F3C">
        <w:t xml:space="preserve"> SNVs</w:t>
      </w:r>
      <w:r>
        <w:t xml:space="preserve"> with VAF of 0.5% with </w:t>
      </w:r>
      <w:r w:rsidRPr="00ED2F3C">
        <w:t>&gt;99% sensitivity</w:t>
      </w:r>
      <w:r>
        <w:t xml:space="preserve"> and specificity using 10-50ng of mixed cell lines and a minimum of 60M reads. VAFs with 0.1% can also be detected.</w:t>
      </w:r>
    </w:p>
    <w:p w14:paraId="348316A3" w14:textId="6AAF3E3F" w:rsidR="00AF0A55" w:rsidRDefault="00AF0A55" w:rsidP="00E70995">
      <w:pPr>
        <w:pStyle w:val="MDPI31text"/>
      </w:pPr>
      <w:r w:rsidRPr="00851938">
        <w:t xml:space="preserve">For study set-up C </w:t>
      </w:r>
      <w:proofErr w:type="gramStart"/>
      <w:r w:rsidRPr="00851938">
        <w:t>an</w:t>
      </w:r>
      <w:proofErr w:type="gramEnd"/>
      <w:r w:rsidRPr="00851938">
        <w:t xml:space="preserve"> average of 29.0ng (range 15.9-50.6ng) and 19.9ng (range 7.8-50.2ng) was used for Streck BCT and </w:t>
      </w:r>
      <w:proofErr w:type="spellStart"/>
      <w:r w:rsidRPr="00851938">
        <w:t>cfDNA</w:t>
      </w:r>
      <w:proofErr w:type="spellEnd"/>
      <w:r w:rsidRPr="00851938">
        <w:t xml:space="preserve"> from DLA plasma.</w:t>
      </w:r>
      <w:r w:rsidR="00990567">
        <w:t xml:space="preserve"> </w:t>
      </w:r>
      <w:r w:rsidRPr="00851938">
        <w:t>An average of 29.5M raw (range 25M-32.5M) and 22.2M (range 10M-31.8M) raw read pairs were obtained for patient-derived samples resulting</w:t>
      </w:r>
      <w:r w:rsidRPr="00634B99">
        <w:t xml:space="preserve"> in a median UMI coverage of 3221</w:t>
      </w:r>
      <w:r>
        <w:t>x</w:t>
      </w:r>
      <w:r w:rsidRPr="00634B99">
        <w:t xml:space="preserve"> (range 1224</w:t>
      </w:r>
      <w:r>
        <w:t>x</w:t>
      </w:r>
      <w:r w:rsidRPr="00634B99">
        <w:t>-5988</w:t>
      </w:r>
      <w:r>
        <w:t>x</w:t>
      </w:r>
      <w:r w:rsidRPr="00634B99">
        <w:t>) for Streck BCT and 2322</w:t>
      </w:r>
      <w:r>
        <w:t>x</w:t>
      </w:r>
      <w:r w:rsidRPr="00634B99">
        <w:t xml:space="preserve"> (range 306</w:t>
      </w:r>
      <w:r>
        <w:t>x</w:t>
      </w:r>
      <w:r w:rsidRPr="00634B99">
        <w:t>-6448</w:t>
      </w:r>
      <w:r>
        <w:t>x</w:t>
      </w:r>
      <w:r w:rsidRPr="00634B99">
        <w:t xml:space="preserve">) for </w:t>
      </w:r>
      <w:r w:rsidRPr="00634B99">
        <w:lastRenderedPageBreak/>
        <w:t xml:space="preserve">DLA plasma. </w:t>
      </w:r>
      <w:r>
        <w:t xml:space="preserve">Quality control was performed as described above and libraries were sequenced in pools of </w:t>
      </w:r>
      <w:r w:rsidRPr="00547FB0">
        <w:t>11</w:t>
      </w:r>
      <w:r>
        <w:t>. The same analysis setting and filter criteria as described for the Targeted Kit were used.</w:t>
      </w:r>
    </w:p>
    <w:p w14:paraId="24083253" w14:textId="77777777" w:rsidR="00AF0A55" w:rsidRDefault="00AF0A55" w:rsidP="00E70995">
      <w:pPr>
        <w:pStyle w:val="MDPI31text"/>
        <w:spacing w:line="340" w:lineRule="atLeast"/>
        <w:ind w:firstLine="0"/>
      </w:pPr>
    </w:p>
    <w:p w14:paraId="697F5C16" w14:textId="77777777" w:rsidR="00BF45BE" w:rsidRDefault="00BF45BE" w:rsidP="00E70995">
      <w:pPr>
        <w:pStyle w:val="MDPI21heading1"/>
      </w:pPr>
      <w:proofErr w:type="spellStart"/>
      <w:r>
        <w:t>GeneRead</w:t>
      </w:r>
      <w:r w:rsidR="0090112B" w:rsidRPr="0090112B">
        <w:rPr>
          <w:rFonts w:eastAsia="Calibri" w:cstheme="minorHAnsi"/>
          <w:color w:val="111111"/>
          <w:szCs w:val="20"/>
          <w:vertAlign w:val="superscript"/>
          <w:lang w:eastAsia="en-US" w:bidi="ar-SA"/>
        </w:rPr>
        <w:t>TM</w:t>
      </w:r>
      <w:proofErr w:type="spellEnd"/>
      <w:r w:rsidR="0090112B">
        <w:rPr>
          <w:rFonts w:eastAsia="Calibri" w:cstheme="minorHAnsi"/>
          <w:color w:val="111111"/>
          <w:szCs w:val="20"/>
          <w:vertAlign w:val="superscript"/>
          <w:lang w:eastAsia="en-US" w:bidi="ar-SA"/>
        </w:rPr>
        <w:t xml:space="preserve"> </w:t>
      </w:r>
      <w:proofErr w:type="spellStart"/>
      <w:r>
        <w:t>QIAact</w:t>
      </w:r>
      <w:proofErr w:type="spellEnd"/>
      <w:r>
        <w:t xml:space="preserve"> Lung UMI Panel </w:t>
      </w:r>
      <w:r w:rsidR="003F0D3A">
        <w:t>(QIAGEN)</w:t>
      </w:r>
    </w:p>
    <w:p w14:paraId="55FCB233" w14:textId="77777777" w:rsidR="006E28FC" w:rsidRDefault="00BF45BE" w:rsidP="00E70995">
      <w:pPr>
        <w:pStyle w:val="MDPI31text"/>
      </w:pPr>
      <w:r>
        <w:t>GeneRead QIAact Lung UMI Panel is designed to enrich specific target regions in selected genes (</w:t>
      </w:r>
      <w:r>
        <w:rPr>
          <w:i/>
          <w:iCs/>
        </w:rPr>
        <w:t>AKT1, ALK, BRAF, DDR2, EGFR, ERBB2/HER2, ESR1, FGFR1, KIT, KRAS, MAP2K1, MET, NRAS, NTRK1, PDGFRA, PIK3CA, PTEN, RICTOR, ROS1</w:t>
      </w:r>
      <w:r>
        <w:t xml:space="preserve">). </w:t>
      </w:r>
      <w:r w:rsidR="006E28FC">
        <w:t xml:space="preserve">This panel </w:t>
      </w:r>
      <w:r w:rsidR="006E28FC" w:rsidRPr="006E28FC">
        <w:t>integrate</w:t>
      </w:r>
      <w:r w:rsidR="006E28FC">
        <w:t>s</w:t>
      </w:r>
      <w:r w:rsidR="006E28FC" w:rsidRPr="006E28FC">
        <w:t xml:space="preserve"> UMI technology and a gene-specific, primer-based target enrichment process to enable sensitive variant detection of targeted regions by NGS on the GeneReader NGS System. </w:t>
      </w:r>
      <w:r w:rsidR="006E28FC">
        <w:t xml:space="preserve">The panel comes with a </w:t>
      </w:r>
      <w:r w:rsidR="006E28FC" w:rsidRPr="006E28FC">
        <w:t>sample-to-insight NGS workflow including full bioinformatics analysis and interpretation</w:t>
      </w:r>
      <w:r w:rsidR="006E28FC">
        <w:t>.</w:t>
      </w:r>
      <w:r w:rsidR="00137B34" w:rsidRPr="00137B34">
        <w:t xml:space="preserve"> </w:t>
      </w:r>
      <w:r w:rsidR="00137B34">
        <w:t>Based on the vendor’s information the assays is supposed to a</w:t>
      </w:r>
      <w:r w:rsidR="00137B34" w:rsidRPr="00137B34">
        <w:t>ccurately, consistently and robustly detecting cfDNA at 1% sensitivity</w:t>
      </w:r>
      <w:r w:rsidR="00137B34">
        <w:t>.</w:t>
      </w:r>
    </w:p>
    <w:p w14:paraId="5A4D322E" w14:textId="28BAB450" w:rsidR="0060149B" w:rsidRDefault="00564793" w:rsidP="00E70995">
      <w:pPr>
        <w:pStyle w:val="MDPI31text"/>
      </w:pPr>
      <w:r>
        <w:t xml:space="preserve">15ng of </w:t>
      </w:r>
      <w:r w:rsidR="00BF45BE">
        <w:t>Sera</w:t>
      </w:r>
      <w:r w:rsidR="00A05EAF">
        <w:t>seq</w:t>
      </w:r>
      <w:r w:rsidR="00BF45BE">
        <w:t xml:space="preserve"> ctDNA Reference Material v2</w:t>
      </w:r>
      <w:r>
        <w:t xml:space="preserve"> was used for library preparation.</w:t>
      </w:r>
      <w:r w:rsidR="00BF45BE">
        <w:t xml:space="preserve"> The library preparation was conducted according to manufacturer’s handbook</w:t>
      </w:r>
      <w:r>
        <w:t xml:space="preserve">s GeneRead QIAact Lung UMI Panel for </w:t>
      </w:r>
      <w:r w:rsidRPr="00295856">
        <w:t>library preparation</w:t>
      </w:r>
      <w:r>
        <w:t>,</w:t>
      </w:r>
      <w:r w:rsidRPr="00295856">
        <w:t xml:space="preserve"> GeneRead Clonal Amp Q Kit </w:t>
      </w:r>
      <w:r>
        <w:t>for clonal amplification</w:t>
      </w:r>
      <w:r w:rsidRPr="00295856">
        <w:t xml:space="preserve"> and GeneRead UMI Advanced Sequencing Q Kit for sequencing. Quality control was performed using the </w:t>
      </w:r>
      <w:proofErr w:type="spellStart"/>
      <w:r w:rsidRPr="00295856">
        <w:t>QIAxcel</w:t>
      </w:r>
      <w:proofErr w:type="spellEnd"/>
      <w:r w:rsidRPr="00295856">
        <w:t xml:space="preserve"> DNA High Resolution Kit</w:t>
      </w:r>
      <w:r>
        <w:t>.</w:t>
      </w:r>
      <w:r w:rsidR="0060149B">
        <w:t xml:space="preserve"> An average of 3.6M (range 3.2M-4.2M) sequencing raw reads were obtained after sequencing on the </w:t>
      </w:r>
      <w:proofErr w:type="spellStart"/>
      <w:r w:rsidR="0060149B">
        <w:t>Gen</w:t>
      </w:r>
      <w:r w:rsidR="00F67CB4">
        <w:t>e</w:t>
      </w:r>
      <w:r w:rsidR="0060149B">
        <w:t>Reader</w:t>
      </w:r>
      <w:proofErr w:type="spellEnd"/>
      <w:r w:rsidR="0060149B">
        <w:t xml:space="preserve"> platform.</w:t>
      </w:r>
      <w:r w:rsidR="00990567">
        <w:t xml:space="preserve"> </w:t>
      </w:r>
      <w:r w:rsidR="0060149B">
        <w:t xml:space="preserve">Raw data were analyzed using </w:t>
      </w:r>
      <w:r w:rsidR="0060149B" w:rsidRPr="0060149B">
        <w:t>QCI</w:t>
      </w:r>
      <w:r w:rsidR="0060149B">
        <w:t>-</w:t>
      </w:r>
      <w:r w:rsidR="0060149B" w:rsidRPr="0060149B">
        <w:t>Analyze</w:t>
      </w:r>
      <w:r w:rsidR="0060149B">
        <w:t xml:space="preserve"> (QIAGEN), which </w:t>
      </w:r>
      <w:r w:rsidR="0060149B" w:rsidRPr="0060149B">
        <w:t>includes optimized read alignment, variant calling, filtering and integrated visualization</w:t>
      </w:r>
      <w:r w:rsidR="0060149B">
        <w:t>. After consensus read generation target regions were covered with an average of 798 reads (range 664-969)</w:t>
      </w:r>
      <w:r w:rsidR="00F67CB4">
        <w:t>.</w:t>
      </w:r>
    </w:p>
    <w:p w14:paraId="1560D45C" w14:textId="77777777" w:rsidR="000E562D" w:rsidRDefault="00294AB2" w:rsidP="00E70995">
      <w:pPr>
        <w:pStyle w:val="MDPI21heading1"/>
      </w:pPr>
      <w:proofErr w:type="spellStart"/>
      <w:r>
        <w:t>QIAseq</w:t>
      </w:r>
      <w:r w:rsidR="0090112B" w:rsidRPr="0090112B">
        <w:rPr>
          <w:rFonts w:eastAsia="Calibri" w:cstheme="minorHAnsi"/>
          <w:color w:val="111111"/>
          <w:szCs w:val="20"/>
          <w:vertAlign w:val="superscript"/>
          <w:lang w:eastAsia="en-US" w:bidi="ar-SA"/>
        </w:rPr>
        <w:t>TM</w:t>
      </w:r>
      <w:proofErr w:type="spellEnd"/>
      <w:r>
        <w:t xml:space="preserve"> Human Actionable Solid Tumor Assay (QIAGEN)</w:t>
      </w:r>
    </w:p>
    <w:p w14:paraId="3EBF8000" w14:textId="77777777" w:rsidR="00FC42A4" w:rsidRDefault="00294AB2" w:rsidP="00E70995">
      <w:pPr>
        <w:pStyle w:val="MDPI31text"/>
      </w:pPr>
      <w:r>
        <w:t xml:space="preserve">The panel enriches 773 variant positions in 12 exons. </w:t>
      </w:r>
      <w:r w:rsidR="0090112B">
        <w:t>QIAseq d</w:t>
      </w:r>
      <w:r w:rsidR="00FC42A4" w:rsidRPr="00FC42A4">
        <w:t>igital sequencing enable</w:t>
      </w:r>
      <w:r w:rsidR="00FC42A4">
        <w:t>s</w:t>
      </w:r>
      <w:r w:rsidR="00FC42A4" w:rsidRPr="00FC42A4">
        <w:t xml:space="preserve"> by </w:t>
      </w:r>
      <w:r w:rsidR="00FC42A4">
        <w:t>UMIs</w:t>
      </w:r>
      <w:r w:rsidR="00FC42A4" w:rsidRPr="00FC42A4">
        <w:t xml:space="preserve"> to remove PCR duplicates</w:t>
      </w:r>
      <w:r w:rsidR="00FC42A4">
        <w:t>. QIAGEN states &gt;</w:t>
      </w:r>
      <w:r w:rsidR="00FC42A4" w:rsidRPr="00FC42A4">
        <w:t xml:space="preserve"> 90% sensitivity for 1% NA12878 SNP and indel on typical coding region with false positive less than 15 per mega base region when variants are detected with tiled primer design to cover complete coding region of each gene.</w:t>
      </w:r>
    </w:p>
    <w:p w14:paraId="539E4AC7" w14:textId="3C1EF383" w:rsidR="00F67CB4" w:rsidRDefault="00294AB2" w:rsidP="00E70995">
      <w:pPr>
        <w:pStyle w:val="MDPI31text"/>
      </w:pPr>
      <w:r>
        <w:t>Librar</w:t>
      </w:r>
      <w:r w:rsidR="001523B5">
        <w:t>ies</w:t>
      </w:r>
      <w:r>
        <w:t xml:space="preserve"> were prepared from 15ng </w:t>
      </w:r>
      <w:r w:rsidR="009D29EE">
        <w:rPr>
          <w:szCs w:val="20"/>
          <w:lang w:bidi="ar-SA"/>
        </w:rPr>
        <w:t xml:space="preserve">SeraCare reference material v2 </w:t>
      </w:r>
      <w:r>
        <w:t>DNA according to the QIAseq targeted DNA Panel Handbook</w:t>
      </w:r>
      <w:r w:rsidR="001523B5">
        <w:t xml:space="preserve"> </w:t>
      </w:r>
      <w:r w:rsidR="001523B5" w:rsidRPr="001523B5">
        <w:t>(QIAGEN, Version 05/2017).</w:t>
      </w:r>
      <w:r>
        <w:t xml:space="preserve"> The DNA template was enzymatically fragmented, end-repaired, </w:t>
      </w:r>
      <w:proofErr w:type="gramStart"/>
      <w:r>
        <w:t>A</w:t>
      </w:r>
      <w:proofErr w:type="gramEnd"/>
      <w:r>
        <w:t>-tailed according to the protocol for cfDNA. Target regions were enriched by 651 target-specific primers. Finally, library amplification was done in a universal PCR with 23 cycles. The library size was checked using Bioanalyzer High Sensitivity DNA Kit (Agilent Technologies). For quantification purposes, the QIAseq Library Quant Assay (</w:t>
      </w:r>
      <w:r w:rsidR="001523B5">
        <w:t>QIAGEN</w:t>
      </w:r>
      <w:r>
        <w:t>) was used according to manufacturer’s instructions</w:t>
      </w:r>
      <w:r w:rsidRPr="00F67CB4">
        <w:t>.</w:t>
      </w:r>
      <w:r w:rsidR="00990567">
        <w:t xml:space="preserve"> </w:t>
      </w:r>
      <w:r w:rsidRPr="00F67CB4">
        <w:t>A total of</w:t>
      </w:r>
      <w:r w:rsidR="00F67CB4">
        <w:t xml:space="preserve"> </w:t>
      </w:r>
      <w:r w:rsidR="00F67CB4" w:rsidRPr="00F67CB4">
        <w:t>6</w:t>
      </w:r>
      <w:r w:rsidRPr="00F67CB4">
        <w:t xml:space="preserve"> l</w:t>
      </w:r>
      <w:r>
        <w:t xml:space="preserve">ibraries were pooled equimolarly and sequenced on </w:t>
      </w:r>
      <w:r w:rsidR="005945EF">
        <w:t>a M</w:t>
      </w:r>
      <w:r w:rsidR="005945EF" w:rsidRPr="001523B5">
        <w:t xml:space="preserve">id </w:t>
      </w:r>
      <w:r w:rsidR="005945EF">
        <w:t>O</w:t>
      </w:r>
      <w:r w:rsidR="005945EF" w:rsidRPr="001523B5">
        <w:t xml:space="preserve">utput Kit </w:t>
      </w:r>
      <w:r w:rsidR="005945EF">
        <w:t xml:space="preserve">on the </w:t>
      </w:r>
      <w:r>
        <w:t>Illumina NextSeq 550 platform in a paired end mode (2x150 bp). On average, 22.4 million raw reads were obtained per sample (range 18.M- 28.6M) and a mean depth of 2900</w:t>
      </w:r>
      <w:r w:rsidR="005945EF">
        <w:t xml:space="preserve"> </w:t>
      </w:r>
      <w:proofErr w:type="spellStart"/>
      <w:r w:rsidR="005945EF" w:rsidRPr="005945EF">
        <w:t>consensused</w:t>
      </w:r>
      <w:proofErr w:type="spellEnd"/>
      <w:r w:rsidR="005945EF" w:rsidRPr="005945EF">
        <w:t xml:space="preserve"> </w:t>
      </w:r>
      <w:r>
        <w:t xml:space="preserve">reads (range </w:t>
      </w:r>
      <w:r w:rsidR="005945EF">
        <w:t>1899</w:t>
      </w:r>
      <w:r>
        <w:t xml:space="preserve">-3412). </w:t>
      </w:r>
      <w:r w:rsidR="00F67CB4">
        <w:t xml:space="preserve">For study set-up C </w:t>
      </w:r>
      <w:proofErr w:type="gramStart"/>
      <w:r w:rsidR="00F67CB4">
        <w:t>an</w:t>
      </w:r>
      <w:proofErr w:type="gramEnd"/>
      <w:r w:rsidR="00F67CB4">
        <w:t xml:space="preserve"> </w:t>
      </w:r>
      <w:r w:rsidR="00F67CB4" w:rsidRPr="0018311C">
        <w:t xml:space="preserve">average of </w:t>
      </w:r>
      <w:r w:rsidR="00F67CB4">
        <w:t xml:space="preserve">29.04ng (range 15.9-50.6ng) </w:t>
      </w:r>
      <w:r w:rsidR="00F67CB4" w:rsidRPr="00E77A5D">
        <w:t>and 19.9ng (range 7.8-50.2ng)</w:t>
      </w:r>
      <w:r w:rsidR="00F67CB4" w:rsidRPr="00C66521">
        <w:t xml:space="preserve"> was used for Streck BCT and cfDNA fr</w:t>
      </w:r>
      <w:r w:rsidR="00F67CB4" w:rsidRPr="00082F5F">
        <w:t>om DLA plasma</w:t>
      </w:r>
      <w:r w:rsidR="00F67CB4" w:rsidRPr="00C66521">
        <w:t xml:space="preserve">. An average of </w:t>
      </w:r>
      <w:r w:rsidR="00F67CB4" w:rsidRPr="00E77A5D">
        <w:t xml:space="preserve">29.5M </w:t>
      </w:r>
      <w:r w:rsidR="00F67CB4" w:rsidRPr="00C66521">
        <w:t>(range 25-32.5</w:t>
      </w:r>
      <w:r w:rsidR="00F67CB4" w:rsidRPr="00E77A5D">
        <w:t>M</w:t>
      </w:r>
      <w:r w:rsidR="00F67CB4" w:rsidRPr="00C66521">
        <w:t>)</w:t>
      </w:r>
      <w:r w:rsidR="00F67CB4" w:rsidRPr="00082F5F">
        <w:t xml:space="preserve"> and </w:t>
      </w:r>
      <w:r w:rsidR="00F67CB4" w:rsidRPr="00E77A5D">
        <w:t>22.2M</w:t>
      </w:r>
      <w:r w:rsidR="00F67CB4" w:rsidRPr="00C66521">
        <w:t xml:space="preserve"> (</w:t>
      </w:r>
      <w:r w:rsidR="00F67CB4" w:rsidRPr="00082F5F">
        <w:t xml:space="preserve">range </w:t>
      </w:r>
      <w:r w:rsidR="00F67CB4" w:rsidRPr="00E77A5D">
        <w:t>10-31.8M</w:t>
      </w:r>
      <w:r w:rsidR="00F67CB4" w:rsidRPr="00C66521">
        <w:t xml:space="preserve">) </w:t>
      </w:r>
      <w:r w:rsidR="00F67CB4" w:rsidRPr="00082F5F">
        <w:t>raw read pairs</w:t>
      </w:r>
      <w:r w:rsidR="00F67CB4" w:rsidRPr="00C66521">
        <w:t xml:space="preserve"> were obtained for patient-derived samples resulting in a median UMI coverage</w:t>
      </w:r>
      <w:r w:rsidR="00F67CB4">
        <w:t xml:space="preserve"> </w:t>
      </w:r>
      <w:r w:rsidR="00F67CB4" w:rsidRPr="00C66521">
        <w:t>o</w:t>
      </w:r>
      <w:r w:rsidR="00F67CB4" w:rsidRPr="00E77A5D">
        <w:t>f 3221 (range 1224-5988)</w:t>
      </w:r>
      <w:r w:rsidR="00F67CB4" w:rsidRPr="00C66521">
        <w:t xml:space="preserve"> for</w:t>
      </w:r>
      <w:r w:rsidR="00F67CB4">
        <w:t xml:space="preserve"> Streck BCT and 2322.4 (range 306-6448) for DLA plasma. </w:t>
      </w:r>
    </w:p>
    <w:p w14:paraId="7AA798C5" w14:textId="77777777" w:rsidR="001523B5" w:rsidRDefault="00294AB2" w:rsidP="00E70995">
      <w:pPr>
        <w:pStyle w:val="MDPI31text"/>
        <w:rPr>
          <w:rFonts w:cstheme="minorHAnsi"/>
          <w:color w:val="111111"/>
          <w:szCs w:val="20"/>
        </w:rPr>
      </w:pPr>
      <w:r>
        <w:t xml:space="preserve">Sequencing data was analyzed using </w:t>
      </w:r>
      <w:proofErr w:type="spellStart"/>
      <w:r>
        <w:t>GeneGlobe</w:t>
      </w:r>
      <w:proofErr w:type="spellEnd"/>
      <w:r>
        <w:t xml:space="preserve"> Analysis Hub (</w:t>
      </w:r>
      <w:r w:rsidR="005945EF">
        <w:t>QIAGEN</w:t>
      </w:r>
      <w:r>
        <w:t>), which supports the analysis of QIAseq NGS library kits and target enrichment panels.</w:t>
      </w:r>
      <w:r w:rsidR="001523B5" w:rsidRPr="001523B5">
        <w:rPr>
          <w:bCs/>
        </w:rPr>
        <w:t xml:space="preserve"> The pipeline </w:t>
      </w:r>
      <w:r w:rsidR="001523B5" w:rsidRPr="001523B5">
        <w:rPr>
          <w:rFonts w:cstheme="minorHAnsi"/>
          <w:color w:val="111111"/>
          <w:szCs w:val="20"/>
        </w:rPr>
        <w:t xml:space="preserve">processes the UMI information to distinguish between true variants and sequencing errors based on </w:t>
      </w:r>
      <w:proofErr w:type="spellStart"/>
      <w:r w:rsidR="001523B5" w:rsidRPr="001523B5">
        <w:rPr>
          <w:rFonts w:cstheme="minorHAnsi"/>
          <w:color w:val="111111"/>
          <w:szCs w:val="20"/>
        </w:rPr>
        <w:t>smCounter</w:t>
      </w:r>
      <w:proofErr w:type="spellEnd"/>
      <w:r w:rsidR="001523B5" w:rsidRPr="001523B5">
        <w:rPr>
          <w:rFonts w:cstheme="minorHAnsi"/>
          <w:color w:val="111111"/>
          <w:szCs w:val="20"/>
        </w:rPr>
        <w:t xml:space="preserve"> </w:t>
      </w:r>
      <w:proofErr w:type="gramStart"/>
      <w:r w:rsidR="001523B5" w:rsidRPr="001523B5">
        <w:rPr>
          <w:rFonts w:cstheme="minorHAnsi"/>
          <w:color w:val="111111"/>
          <w:szCs w:val="20"/>
        </w:rPr>
        <w:t>V1</w:t>
      </w:r>
      <w:proofErr w:type="gramEnd"/>
      <w:r w:rsidR="005945EF">
        <w:rPr>
          <w:rFonts w:cstheme="minorHAnsi"/>
          <w:color w:val="111111"/>
          <w:szCs w:val="20"/>
        </w:rPr>
        <w:fldChar w:fldCharType="begin">
          <w:fldData xml:space="preserve">PEVuZE5vdGU+PENpdGU+PEF1dGhvcj5YdTwvQXV0aG9yPjxZZWFyPjIwMTc8L1llYXI+PFJlY051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</w:fldData>
        </w:fldChar>
      </w:r>
      <w:r w:rsidR="00ED2F3C">
        <w:rPr>
          <w:rFonts w:cstheme="minorHAnsi"/>
          <w:color w:val="111111"/>
          <w:szCs w:val="20"/>
        </w:rPr>
        <w:instrText xml:space="preserve"> ADDIN EN.CITE </w:instrText>
      </w:r>
      <w:r w:rsidR="00ED2F3C">
        <w:rPr>
          <w:rFonts w:cstheme="minorHAnsi"/>
          <w:color w:val="111111"/>
          <w:szCs w:val="20"/>
        </w:rPr>
        <w:fldChar w:fldCharType="begin">
          <w:fldData xml:space="preserve">PEVuZE5vdGU+PENpdGU+PEF1dGhvcj5YdTwvQXV0aG9yPjxZZWFyPjIwMTc8L1llYXI+PFJlY051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</w:fldData>
        </w:fldChar>
      </w:r>
      <w:r w:rsidR="00ED2F3C">
        <w:rPr>
          <w:rFonts w:cstheme="minorHAnsi"/>
          <w:color w:val="111111"/>
          <w:szCs w:val="20"/>
        </w:rPr>
        <w:instrText xml:space="preserve"> ADDIN EN.CITE.DATA </w:instrText>
      </w:r>
      <w:r w:rsidR="00ED2F3C">
        <w:rPr>
          <w:rFonts w:cstheme="minorHAnsi"/>
          <w:color w:val="111111"/>
          <w:szCs w:val="20"/>
        </w:rPr>
      </w:r>
      <w:r w:rsidR="00ED2F3C">
        <w:rPr>
          <w:rFonts w:cstheme="minorHAnsi"/>
          <w:color w:val="111111"/>
          <w:szCs w:val="20"/>
        </w:rPr>
        <w:fldChar w:fldCharType="end"/>
      </w:r>
      <w:r w:rsidR="005945EF">
        <w:rPr>
          <w:rFonts w:cstheme="minorHAnsi"/>
          <w:color w:val="111111"/>
          <w:szCs w:val="20"/>
        </w:rPr>
      </w:r>
      <w:r w:rsidR="005945EF">
        <w:rPr>
          <w:rFonts w:cstheme="minorHAnsi"/>
          <w:color w:val="111111"/>
          <w:szCs w:val="20"/>
        </w:rPr>
        <w:fldChar w:fldCharType="separate"/>
      </w:r>
      <w:r w:rsidR="00ED2F3C">
        <w:rPr>
          <w:rFonts w:cstheme="minorHAnsi"/>
          <w:noProof/>
          <w:color w:val="111111"/>
          <w:szCs w:val="20"/>
        </w:rPr>
        <w:t>(3)</w:t>
      </w:r>
      <w:r w:rsidR="005945EF">
        <w:rPr>
          <w:rFonts w:cstheme="minorHAnsi"/>
          <w:color w:val="111111"/>
          <w:szCs w:val="20"/>
        </w:rPr>
        <w:fldChar w:fldCharType="end"/>
      </w:r>
      <w:r w:rsidR="001523B5" w:rsidRPr="001523B5">
        <w:rPr>
          <w:rFonts w:cstheme="minorHAnsi"/>
          <w:color w:val="111111"/>
          <w:szCs w:val="20"/>
        </w:rPr>
        <w:t xml:space="preserve">. All variants that did not pass the predefined quality criteria from </w:t>
      </w:r>
      <w:proofErr w:type="spellStart"/>
      <w:r w:rsidR="001523B5" w:rsidRPr="001523B5">
        <w:rPr>
          <w:rFonts w:cstheme="minorHAnsi"/>
          <w:color w:val="111111"/>
          <w:szCs w:val="20"/>
        </w:rPr>
        <w:t>smCounter</w:t>
      </w:r>
      <w:proofErr w:type="spellEnd"/>
      <w:r w:rsidR="001523B5" w:rsidRPr="001523B5">
        <w:rPr>
          <w:rFonts w:cstheme="minorHAnsi"/>
          <w:color w:val="111111"/>
          <w:szCs w:val="20"/>
        </w:rPr>
        <w:t xml:space="preserve"> were dismissed. All detected variants were visually checked using Integrative Genomics Viewer (IGV) (version 2.3.58)</w:t>
      </w:r>
    </w:p>
    <w:p w14:paraId="34D80F0F" w14:textId="77777777" w:rsidR="005945EF" w:rsidRPr="005945EF" w:rsidRDefault="005945EF" w:rsidP="00E70995">
      <w:pPr>
        <w:pStyle w:val="MDPI21heading1"/>
        <w:rPr>
          <w:rStyle w:val="normaltextrun"/>
          <w:b w:val="0"/>
          <w:bCs/>
          <w:szCs w:val="20"/>
        </w:rPr>
      </w:pPr>
      <w:proofErr w:type="spellStart"/>
      <w:r w:rsidRPr="005945EF">
        <w:rPr>
          <w:rStyle w:val="normaltextrun"/>
          <w:bCs/>
          <w:szCs w:val="20"/>
        </w:rPr>
        <w:t>NEBNext</w:t>
      </w:r>
      <w:proofErr w:type="spellEnd"/>
      <w:r w:rsidRPr="005945EF">
        <w:rPr>
          <w:rStyle w:val="normaltextrun"/>
          <w:bCs/>
          <w:szCs w:val="20"/>
        </w:rPr>
        <w:t xml:space="preserve"> Direct Cancer </w:t>
      </w:r>
      <w:proofErr w:type="spellStart"/>
      <w:r w:rsidRPr="005945EF">
        <w:rPr>
          <w:rStyle w:val="normaltextrun"/>
          <w:bCs/>
          <w:szCs w:val="20"/>
        </w:rPr>
        <w:t>HotSpot</w:t>
      </w:r>
      <w:proofErr w:type="spellEnd"/>
      <w:r w:rsidRPr="005945EF">
        <w:rPr>
          <w:rStyle w:val="normaltextrun"/>
          <w:bCs/>
          <w:szCs w:val="20"/>
        </w:rPr>
        <w:t xml:space="preserve"> Panel for Illumina</w:t>
      </w:r>
      <w:r w:rsidR="00442BCB">
        <w:rPr>
          <w:rStyle w:val="normaltextrun"/>
          <w:bCs/>
          <w:szCs w:val="20"/>
        </w:rPr>
        <w:t xml:space="preserve"> </w:t>
      </w:r>
      <w:r w:rsidR="00442BCB" w:rsidRPr="00442BCB">
        <w:rPr>
          <w:rStyle w:val="normaltextrun"/>
          <w:bCs/>
          <w:szCs w:val="20"/>
        </w:rPr>
        <w:t>(New England Biolabs Inc.)</w:t>
      </w:r>
    </w:p>
    <w:p w14:paraId="5FC67CDA" w14:textId="77777777" w:rsidR="00B26018" w:rsidRDefault="009D29EE" w:rsidP="00E70995">
      <w:pPr>
        <w:pStyle w:val="MDPI31text"/>
        <w:rPr>
          <w:rStyle w:val="normaltextrun"/>
        </w:rPr>
      </w:pPr>
      <w:r w:rsidRPr="005945EF">
        <w:lastRenderedPageBreak/>
        <w:t xml:space="preserve">The </w:t>
      </w:r>
      <w:proofErr w:type="spellStart"/>
      <w:r w:rsidRPr="005945EF">
        <w:rPr>
          <w:rStyle w:val="normaltextrun"/>
        </w:rPr>
        <w:t>NEBNext</w:t>
      </w:r>
      <w:proofErr w:type="spellEnd"/>
      <w:r w:rsidRPr="005945EF">
        <w:rPr>
          <w:rStyle w:val="normaltextrun"/>
        </w:rPr>
        <w:t xml:space="preserve"> </w:t>
      </w:r>
      <w:proofErr w:type="spellStart"/>
      <w:r w:rsidRPr="005945EF">
        <w:rPr>
          <w:rStyle w:val="normaltextrun"/>
        </w:rPr>
        <w:t>Direct</w:t>
      </w:r>
      <w:r w:rsidR="0090112B" w:rsidRPr="0090112B">
        <w:rPr>
          <w:rFonts w:cstheme="minorHAnsi"/>
          <w:color w:val="111111"/>
          <w:szCs w:val="20"/>
          <w:vertAlign w:val="superscript"/>
        </w:rPr>
        <w:t>TM</w:t>
      </w:r>
      <w:proofErr w:type="spellEnd"/>
      <w:r>
        <w:rPr>
          <w:rStyle w:val="normaltextrun"/>
        </w:rPr>
        <w:t xml:space="preserve"> </w:t>
      </w:r>
      <w:r w:rsidRPr="005945EF">
        <w:rPr>
          <w:rStyle w:val="normaltextrun"/>
        </w:rPr>
        <w:t>Cancer Ho</w:t>
      </w:r>
      <w:r>
        <w:rPr>
          <w:rStyle w:val="normaltextrun"/>
        </w:rPr>
        <w:t>t</w:t>
      </w:r>
      <w:r w:rsidRPr="005945EF">
        <w:rPr>
          <w:rStyle w:val="normaltextrun"/>
        </w:rPr>
        <w:t xml:space="preserve">spot Panel </w:t>
      </w:r>
      <w:proofErr w:type="spellStart"/>
      <w:r w:rsidRPr="005945EF">
        <w:t>panel</w:t>
      </w:r>
      <w:proofErr w:type="spellEnd"/>
      <w:r w:rsidRPr="005945EF">
        <w:t xml:space="preserve"> enriches 190 common cancer targets from 50 genes. </w:t>
      </w:r>
      <w:proofErr w:type="spellStart"/>
      <w:r w:rsidR="00B26018" w:rsidRPr="00B26018">
        <w:t>NEBNext</w:t>
      </w:r>
      <w:proofErr w:type="spellEnd"/>
      <w:r w:rsidR="00B26018" w:rsidRPr="00B26018">
        <w:t xml:space="preserve"> Direct employs a fast hybridization-based workflow that combines capture with library </w:t>
      </w:r>
      <w:r w:rsidR="00B26018" w:rsidRPr="00B26018">
        <w:rPr>
          <w:szCs w:val="20"/>
        </w:rPr>
        <w:t xml:space="preserve">preparation. </w:t>
      </w:r>
      <w:r w:rsidR="00B26018" w:rsidRPr="00B26018">
        <w:rPr>
          <w:rStyle w:val="normaltextrun"/>
          <w:szCs w:val="20"/>
        </w:rPr>
        <w:t xml:space="preserve">False positive variants are reduced by the use of UMIs. The vendors demonstrate a 100% detection rate </w:t>
      </w:r>
      <w:r w:rsidR="00B26018">
        <w:rPr>
          <w:rStyle w:val="normaltextrun"/>
          <w:szCs w:val="20"/>
        </w:rPr>
        <w:t xml:space="preserve">of </w:t>
      </w:r>
      <w:r w:rsidR="00B26018" w:rsidRPr="00B26018">
        <w:rPr>
          <w:rStyle w:val="normaltextrun"/>
          <w:szCs w:val="20"/>
        </w:rPr>
        <w:t>168 truth variants present across a range of 2-100% VAF.</w:t>
      </w:r>
    </w:p>
    <w:p w14:paraId="5CB09F32" w14:textId="77777777" w:rsidR="00481039" w:rsidRPr="003B5D6E" w:rsidRDefault="005945EF" w:rsidP="00E70995">
      <w:pPr>
        <w:pStyle w:val="MDPI31text"/>
        <w:rPr>
          <w:rFonts w:cstheme="minorHAnsi"/>
          <w:color w:val="111111"/>
          <w:szCs w:val="20"/>
        </w:rPr>
      </w:pPr>
      <w:r w:rsidRPr="005945EF">
        <w:rPr>
          <w:rStyle w:val="normaltextrun"/>
        </w:rPr>
        <w:t xml:space="preserve">Library preparation was performed using 15ng </w:t>
      </w:r>
      <w:r w:rsidR="009D29EE" w:rsidRPr="009D29EE">
        <w:rPr>
          <w:rStyle w:val="normaltextrun"/>
        </w:rPr>
        <w:t>SeraCare reference material v2</w:t>
      </w:r>
      <w:r w:rsidRPr="005945EF">
        <w:rPr>
          <w:rStyle w:val="normaltextrun"/>
        </w:rPr>
        <w:t xml:space="preserve"> </w:t>
      </w:r>
      <w:r w:rsidR="009D29EE">
        <w:rPr>
          <w:rStyle w:val="normaltextrun"/>
        </w:rPr>
        <w:t xml:space="preserve">following the </w:t>
      </w:r>
      <w:proofErr w:type="spellStart"/>
      <w:r w:rsidR="009D29EE">
        <w:rPr>
          <w:rStyle w:val="normaltextrun"/>
        </w:rPr>
        <w:t>manufacturere´s</w:t>
      </w:r>
      <w:proofErr w:type="spellEnd"/>
      <w:r w:rsidR="009D29EE">
        <w:rPr>
          <w:rStyle w:val="normaltextrun"/>
        </w:rPr>
        <w:t xml:space="preserve"> recommendation</w:t>
      </w:r>
      <w:r w:rsidRPr="005945EF">
        <w:rPr>
          <w:rStyle w:val="normaltextrun"/>
        </w:rPr>
        <w:t xml:space="preserve"> (</w:t>
      </w:r>
      <w:r w:rsidR="009D29EE">
        <w:rPr>
          <w:rStyle w:val="normaltextrun"/>
        </w:rPr>
        <w:t xml:space="preserve">manual </w:t>
      </w:r>
      <w:r w:rsidRPr="005945EF">
        <w:rPr>
          <w:rStyle w:val="normaltextrun"/>
        </w:rPr>
        <w:t>version 2.0).</w:t>
      </w:r>
      <w:r w:rsidRPr="005945EF">
        <w:t xml:space="preserve"> The library size was checked using Bioanalyzer High Sensitivity DNA Kit (Agilent Technologies). For quantification purposes, qPCR using Illumina adapter-specific primers were conducted</w:t>
      </w:r>
      <w:r w:rsidR="009D29EE">
        <w:t>. L</w:t>
      </w:r>
      <w:r w:rsidRPr="005945EF">
        <w:t xml:space="preserve">ibraries were pooled equimolarly and sequenced on the Illumina NextSeq 550 platform </w:t>
      </w:r>
      <w:r w:rsidR="009D29EE">
        <w:t>using a M</w:t>
      </w:r>
      <w:r w:rsidRPr="005945EF">
        <w:t xml:space="preserve">id </w:t>
      </w:r>
      <w:r w:rsidR="009D29EE">
        <w:t>O</w:t>
      </w:r>
      <w:r w:rsidRPr="005945EF">
        <w:t xml:space="preserve">utput Kit in a </w:t>
      </w:r>
      <w:r w:rsidR="00471F6E">
        <w:t>75</w:t>
      </w:r>
      <w:r w:rsidRPr="005945EF">
        <w:t>bp paired end mode. On average, 24.8</w:t>
      </w:r>
      <w:r w:rsidR="009D29EE">
        <w:t xml:space="preserve">M </w:t>
      </w:r>
      <w:r w:rsidRPr="005945EF">
        <w:t>raw reads were obtained per sample (range 23.5M- 26.4M)</w:t>
      </w:r>
      <w:r w:rsidR="009D29EE">
        <w:t>.</w:t>
      </w:r>
      <w:r w:rsidR="009D29EE" w:rsidRPr="009D29EE">
        <w:t xml:space="preserve"> </w:t>
      </w:r>
      <w:r w:rsidR="009D29EE" w:rsidRPr="005945EF">
        <w:rPr>
          <w:rFonts w:eastAsiaTheme="minorHAnsi" w:cstheme="minorBidi"/>
          <w:szCs w:val="20"/>
        </w:rPr>
        <w:t xml:space="preserve">FASTQ files were generated by the sequencing run for all UMI reads. UMI sequences were added to the BAM files using the </w:t>
      </w:r>
      <w:proofErr w:type="spellStart"/>
      <w:r w:rsidR="009D29EE" w:rsidRPr="005945EF">
        <w:rPr>
          <w:rFonts w:eastAsiaTheme="minorHAnsi" w:cstheme="minorBidi"/>
          <w:szCs w:val="20"/>
        </w:rPr>
        <w:t>AnnotateBamWithUmis</w:t>
      </w:r>
      <w:proofErr w:type="spellEnd"/>
      <w:r w:rsidR="009D29EE" w:rsidRPr="005945EF">
        <w:rPr>
          <w:rFonts w:eastAsiaTheme="minorHAnsi" w:cstheme="minorBidi"/>
          <w:szCs w:val="20"/>
        </w:rPr>
        <w:t xml:space="preserve"> function from the </w:t>
      </w:r>
      <w:proofErr w:type="spellStart"/>
      <w:r w:rsidR="009D29EE" w:rsidRPr="005945EF">
        <w:rPr>
          <w:rFonts w:eastAsiaTheme="minorHAnsi" w:cstheme="minorBidi"/>
          <w:szCs w:val="20"/>
        </w:rPr>
        <w:t>fgbio</w:t>
      </w:r>
      <w:proofErr w:type="spellEnd"/>
      <w:r w:rsidR="009D29EE" w:rsidRPr="005945EF">
        <w:rPr>
          <w:rFonts w:eastAsiaTheme="minorHAnsi" w:cstheme="minorBidi"/>
          <w:szCs w:val="20"/>
        </w:rPr>
        <w:t xml:space="preserve"> package (</w:t>
      </w:r>
      <w:hyperlink r:id="rId7" w:history="1">
        <w:r w:rsidR="009D29EE" w:rsidRPr="005945EF">
          <w:t>https://fulcrumgenomics.github.io/fgbio/</w:t>
        </w:r>
      </w:hyperlink>
      <w:r w:rsidR="009D29EE" w:rsidRPr="005945EF">
        <w:rPr>
          <w:rFonts w:eastAsiaTheme="minorHAnsi" w:cstheme="minorBidi"/>
          <w:szCs w:val="20"/>
        </w:rPr>
        <w:t>)</w:t>
      </w:r>
      <w:r w:rsidR="003F1CC5">
        <w:rPr>
          <w:rFonts w:eastAsiaTheme="minorHAnsi" w:cstheme="minorBidi"/>
          <w:szCs w:val="20"/>
        </w:rPr>
        <w:t xml:space="preserve"> resulting in </w:t>
      </w:r>
      <w:r w:rsidR="003F1CC5" w:rsidRPr="005945EF">
        <w:t xml:space="preserve">a mean MT depth of 2099 reads (range 1,217- 4361). </w:t>
      </w:r>
      <w:r w:rsidR="009D29EE" w:rsidRPr="005945EF">
        <w:rPr>
          <w:rFonts w:eastAsiaTheme="minorHAnsi" w:cstheme="minorBidi"/>
          <w:szCs w:val="20"/>
        </w:rPr>
        <w:t xml:space="preserve">Duplicate reads were marked with the </w:t>
      </w:r>
      <w:proofErr w:type="spellStart"/>
      <w:r w:rsidR="009D29EE" w:rsidRPr="005945EF">
        <w:rPr>
          <w:rFonts w:eastAsiaTheme="minorHAnsi" w:cstheme="minorBidi"/>
          <w:szCs w:val="20"/>
        </w:rPr>
        <w:t>MarkDuplicates</w:t>
      </w:r>
      <w:proofErr w:type="spellEnd"/>
      <w:r w:rsidR="009D29EE" w:rsidRPr="005945EF">
        <w:rPr>
          <w:rFonts w:eastAsiaTheme="minorHAnsi" w:cstheme="minorBidi"/>
          <w:szCs w:val="20"/>
        </w:rPr>
        <w:t xml:space="preserve"> function from Picard (GATK).</w:t>
      </w:r>
      <w:r w:rsidR="009D29EE">
        <w:rPr>
          <w:rFonts w:eastAsiaTheme="minorHAnsi" w:cstheme="minorBidi"/>
          <w:szCs w:val="20"/>
        </w:rPr>
        <w:t xml:space="preserve"> Variant calling was performed using the </w:t>
      </w:r>
      <w:r w:rsidR="009D29EE" w:rsidRPr="005945EF">
        <w:rPr>
          <w:rFonts w:eastAsiaTheme="minorHAnsi" w:cstheme="minorBidi"/>
          <w:szCs w:val="20"/>
        </w:rPr>
        <w:t xml:space="preserve">GATK MuTect2 </w:t>
      </w:r>
      <w:r w:rsidR="009D29EE" w:rsidRPr="005945EF">
        <w:rPr>
          <w:rFonts w:eastAsiaTheme="minorHAnsi" w:cstheme="minorBidi"/>
        </w:rPr>
        <w:t xml:space="preserve">pipeline (Broad Institute, </w:t>
      </w:r>
      <w:hyperlink r:id="rId8" w:history="1">
        <w:r w:rsidR="009D29EE" w:rsidRPr="005945EF">
          <w:rPr>
            <w:rFonts w:eastAsiaTheme="minorHAnsi" w:cstheme="minorBidi"/>
          </w:rPr>
          <w:t>https://software.broadinstitute.org/cancer/cga/mutect</w:t>
        </w:r>
      </w:hyperlink>
      <w:r w:rsidR="009D29EE" w:rsidRPr="005945EF">
        <w:rPr>
          <w:rFonts w:eastAsiaTheme="minorHAnsi" w:cstheme="minorBidi"/>
        </w:rPr>
        <w:t>)</w:t>
      </w:r>
      <w:r w:rsidR="009D29EE">
        <w:rPr>
          <w:rFonts w:eastAsiaTheme="minorHAnsi" w:cstheme="minorBidi"/>
        </w:rPr>
        <w:t xml:space="preserve"> </w:t>
      </w:r>
      <w:r w:rsidR="009D29EE" w:rsidRPr="005945EF">
        <w:rPr>
          <w:rFonts w:eastAsiaTheme="minorHAnsi" w:cstheme="minorBidi"/>
          <w:szCs w:val="20"/>
        </w:rPr>
        <w:t xml:space="preserve">using </w:t>
      </w:r>
      <w:r w:rsidR="009D29EE">
        <w:rPr>
          <w:rFonts w:eastAsiaTheme="minorHAnsi" w:cstheme="minorBidi"/>
          <w:szCs w:val="20"/>
        </w:rPr>
        <w:t>the</w:t>
      </w:r>
      <w:r w:rsidR="009D29EE" w:rsidRPr="005945EF">
        <w:rPr>
          <w:rFonts w:eastAsiaTheme="minorHAnsi" w:cstheme="minorBidi"/>
          <w:szCs w:val="20"/>
        </w:rPr>
        <w:t xml:space="preserve"> tumor-only mode and VCF files were annotated with </w:t>
      </w:r>
      <w:proofErr w:type="spellStart"/>
      <w:r w:rsidR="009D29EE" w:rsidRPr="005945EF">
        <w:rPr>
          <w:rFonts w:eastAsiaTheme="minorHAnsi" w:cstheme="minorBidi"/>
          <w:szCs w:val="20"/>
        </w:rPr>
        <w:t>annovar</w:t>
      </w:r>
      <w:proofErr w:type="spellEnd"/>
      <w:r w:rsidR="009D29EE" w:rsidRPr="005945EF">
        <w:rPr>
          <w:rFonts w:eastAsiaTheme="minorHAnsi" w:cstheme="minorBidi"/>
          <w:szCs w:val="20"/>
        </w:rPr>
        <w:t>.</w:t>
      </w:r>
      <w:r w:rsidR="003B5D6E">
        <w:rPr>
          <w:rFonts w:eastAsiaTheme="minorHAnsi" w:cstheme="minorBidi"/>
          <w:szCs w:val="20"/>
        </w:rPr>
        <w:t xml:space="preserve"> </w:t>
      </w:r>
      <w:r w:rsidR="003B5D6E" w:rsidRPr="003F1CC5">
        <w:rPr>
          <w:rFonts w:cstheme="minorHAnsi"/>
          <w:color w:val="111111"/>
          <w:szCs w:val="20"/>
        </w:rPr>
        <w:t xml:space="preserve">Moreover, </w:t>
      </w:r>
      <w:r w:rsidR="009D29EE" w:rsidRPr="005945EF">
        <w:rPr>
          <w:rFonts w:eastAsiaTheme="minorHAnsi" w:cstheme="minorBidi"/>
          <w:szCs w:val="20"/>
        </w:rPr>
        <w:t>​</w:t>
      </w:r>
      <w:r w:rsidR="00481039" w:rsidRPr="00B71CB5">
        <w:rPr>
          <w:rFonts w:cstheme="minorHAnsi"/>
          <w:color w:val="111111"/>
          <w:szCs w:val="20"/>
        </w:rPr>
        <w:t xml:space="preserve"> </w:t>
      </w:r>
      <w:r w:rsidR="003B5D6E">
        <w:rPr>
          <w:rFonts w:cstheme="minorHAnsi"/>
          <w:color w:val="111111"/>
          <w:szCs w:val="20"/>
        </w:rPr>
        <w:t>a</w:t>
      </w:r>
      <w:r w:rsidR="00481039" w:rsidRPr="001523B5">
        <w:rPr>
          <w:rFonts w:cstheme="minorHAnsi"/>
          <w:color w:val="111111"/>
          <w:szCs w:val="20"/>
        </w:rPr>
        <w:t xml:space="preserve">ll </w:t>
      </w:r>
      <w:r w:rsidR="003B5D6E" w:rsidRPr="003F1CC5">
        <w:rPr>
          <w:rFonts w:cstheme="minorHAnsi"/>
          <w:color w:val="111111"/>
          <w:szCs w:val="20"/>
        </w:rPr>
        <w:t xml:space="preserve">positions with variants included in the </w:t>
      </w:r>
      <w:r w:rsidR="003B5D6E" w:rsidRPr="003B5D6E">
        <w:rPr>
          <w:rFonts w:cstheme="minorHAnsi"/>
          <w:color w:val="111111"/>
          <w:szCs w:val="20"/>
        </w:rPr>
        <w:t>SeraCare reference material v2</w:t>
      </w:r>
      <w:r w:rsidR="003B5D6E" w:rsidRPr="003F1CC5">
        <w:rPr>
          <w:rFonts w:cstheme="minorHAnsi"/>
          <w:color w:val="111111"/>
          <w:szCs w:val="20"/>
        </w:rPr>
        <w:t xml:space="preserve"> covered by the panel </w:t>
      </w:r>
      <w:r w:rsidR="00481039" w:rsidRPr="001523B5">
        <w:rPr>
          <w:rFonts w:cstheme="minorHAnsi"/>
          <w:color w:val="111111"/>
          <w:szCs w:val="20"/>
        </w:rPr>
        <w:t>were visually checked using Integrative Genomics Viewer (IGV) (version 2.3.58)</w:t>
      </w:r>
      <w:r w:rsidR="00481039" w:rsidRPr="003F1CC5">
        <w:rPr>
          <w:rFonts w:cstheme="minorHAnsi"/>
          <w:color w:val="111111"/>
          <w:szCs w:val="20"/>
        </w:rPr>
        <w:t xml:space="preserve">. </w:t>
      </w:r>
    </w:p>
    <w:p w14:paraId="443D3F47" w14:textId="1FBAEBD9" w:rsidR="00BF45BE" w:rsidRPr="007A4485" w:rsidRDefault="00BF45BE" w:rsidP="00E70995">
      <w:pPr>
        <w:pStyle w:val="MDPI21heading1"/>
      </w:pPr>
      <w:proofErr w:type="spellStart"/>
      <w:r w:rsidRPr="007A4485">
        <w:t>Oncomine</w:t>
      </w:r>
      <w:proofErr w:type="spellEnd"/>
      <w:r w:rsidRPr="007A4485">
        <w:t xml:space="preserve"> Lung </w:t>
      </w:r>
      <w:proofErr w:type="spellStart"/>
      <w:r w:rsidRPr="007A4485">
        <w:t>cf</w:t>
      </w:r>
      <w:r w:rsidR="008746F6" w:rsidRPr="007A4485">
        <w:t>D</w:t>
      </w:r>
      <w:r w:rsidRPr="007A4485">
        <w:t>NA</w:t>
      </w:r>
      <w:proofErr w:type="spellEnd"/>
      <w:r w:rsidRPr="007A4485">
        <w:t xml:space="preserve"> Assay</w:t>
      </w:r>
      <w:r w:rsidR="00990567">
        <w:t xml:space="preserve"> </w:t>
      </w:r>
    </w:p>
    <w:p w14:paraId="7CB14F3F" w14:textId="6F793EF9" w:rsidR="007A4485" w:rsidRDefault="007A4485" w:rsidP="00E70995">
      <w:pPr>
        <w:pStyle w:val="MDPI31text"/>
      </w:pPr>
      <w:r w:rsidRPr="007A4485">
        <w:rPr>
          <w:rFonts w:eastAsia="Calibri" w:cstheme="minorHAnsi"/>
          <w:color w:val="111111"/>
          <w:szCs w:val="20"/>
          <w:lang w:eastAsia="en-US" w:bidi="ar-SA"/>
        </w:rPr>
        <w:t xml:space="preserve">Ion Torrent NGS libraries were prepared using the </w:t>
      </w:r>
      <w:proofErr w:type="spellStart"/>
      <w:r w:rsidRPr="007A4485">
        <w:rPr>
          <w:rFonts w:eastAsia="Calibri" w:cstheme="minorHAnsi"/>
          <w:color w:val="111111"/>
          <w:szCs w:val="20"/>
          <w:lang w:eastAsia="en-US" w:bidi="ar-SA"/>
        </w:rPr>
        <w:t>Oncomine</w:t>
      </w:r>
      <w:proofErr w:type="spellEnd"/>
      <w:r w:rsidRPr="007A4485">
        <w:rPr>
          <w:rFonts w:eastAsia="Calibri" w:cstheme="minorHAnsi"/>
          <w:color w:val="111111"/>
          <w:szCs w:val="20"/>
          <w:lang w:eastAsia="en-US" w:bidi="ar-SA"/>
        </w:rPr>
        <w:t xml:space="preserve"> Lung </w:t>
      </w:r>
      <w:proofErr w:type="spellStart"/>
      <w:r w:rsidRPr="007A4485">
        <w:rPr>
          <w:rFonts w:eastAsia="Calibri" w:cstheme="minorHAnsi"/>
          <w:color w:val="111111"/>
          <w:szCs w:val="20"/>
          <w:lang w:eastAsia="en-US" w:bidi="ar-SA"/>
        </w:rPr>
        <w:t>cfDNA</w:t>
      </w:r>
      <w:r w:rsidR="005018B3" w:rsidRPr="005018B3">
        <w:rPr>
          <w:rFonts w:eastAsia="Calibri" w:cstheme="minorHAnsi"/>
          <w:color w:val="111111"/>
          <w:szCs w:val="20"/>
          <w:vertAlign w:val="superscript"/>
          <w:lang w:eastAsia="en-US" w:bidi="ar-SA"/>
        </w:rPr>
        <w:t>TM</w:t>
      </w:r>
      <w:proofErr w:type="spellEnd"/>
      <w:r w:rsidRPr="007A4485">
        <w:rPr>
          <w:rFonts w:eastAsia="Calibri" w:cstheme="minorHAnsi"/>
          <w:color w:val="111111"/>
          <w:szCs w:val="20"/>
          <w:lang w:eastAsia="en-US" w:bidi="ar-SA"/>
        </w:rPr>
        <w:t xml:space="preserve"> Assay</w:t>
      </w:r>
      <w:r w:rsidRPr="007A4485">
        <w:t xml:space="preserve"> (Thermo Fisher Scientific, </w:t>
      </w:r>
      <w:proofErr w:type="spellStart"/>
      <w:r w:rsidRPr="007A4485">
        <w:t>CatNr</w:t>
      </w:r>
      <w:proofErr w:type="spellEnd"/>
      <w:r w:rsidRPr="007A4485">
        <w:t xml:space="preserve">: </w:t>
      </w:r>
      <w:r w:rsidRPr="007A4485">
        <w:rPr>
          <w:rFonts w:eastAsia="Calibri" w:cstheme="minorHAnsi"/>
          <w:color w:val="111111"/>
          <w:szCs w:val="20"/>
          <w:lang w:eastAsia="en-US" w:bidi="ar-SA"/>
        </w:rPr>
        <w:t>A31149) which covers &gt;150 hotspots in 11 g</w:t>
      </w:r>
      <w:r w:rsidRPr="007A4485">
        <w:rPr>
          <w:spacing w:val="-2"/>
        </w:rPr>
        <w:t>enes (</w:t>
      </w:r>
      <w:r w:rsidRPr="007A4485">
        <w:rPr>
          <w:i/>
          <w:iCs/>
          <w:spacing w:val="-2"/>
        </w:rPr>
        <w:t>ALK, BRAF, EGFR, ERBB2, KRAS, MAP2K1, MET, NRAS, PIK3CA, ROS1</w:t>
      </w:r>
      <w:r w:rsidRPr="007A4485">
        <w:rPr>
          <w:spacing w:val="-2"/>
        </w:rPr>
        <w:t xml:space="preserve">, and </w:t>
      </w:r>
      <w:r w:rsidRPr="007A4485">
        <w:rPr>
          <w:i/>
          <w:iCs/>
          <w:spacing w:val="-2"/>
        </w:rPr>
        <w:t>TP53</w:t>
      </w:r>
      <w:r w:rsidRPr="007A4485">
        <w:rPr>
          <w:spacing w:val="-2"/>
        </w:rPr>
        <w:t xml:space="preserve">) and implements single molecule barcoding. </w:t>
      </w:r>
      <w:r w:rsidR="00FD16A8">
        <w:rPr>
          <w:spacing w:val="-2"/>
        </w:rPr>
        <w:t>According to the manufacturer, t</w:t>
      </w:r>
      <w:r w:rsidR="00FD16A8" w:rsidRPr="00FD16A8">
        <w:rPr>
          <w:spacing w:val="-2"/>
        </w:rPr>
        <w:t>he Oncomine Lung cfDNA Assay has a flexible detection limit down to 0.1% or 1 mutant copy in a background of 1,000 wild-type copies. To achieve 0.1% LOD, 20ng of input cfDNA is required.</w:t>
      </w:r>
      <w:r w:rsidR="00FB2927">
        <w:rPr>
          <w:spacing w:val="-2"/>
        </w:rPr>
        <w:t xml:space="preserve"> </w:t>
      </w:r>
      <w:r w:rsidRPr="007A4485">
        <w:rPr>
          <w:spacing w:val="-2"/>
        </w:rPr>
        <w:t xml:space="preserve">Libraries were prepared using the included </w:t>
      </w:r>
      <w:r w:rsidRPr="007A4485">
        <w:rPr>
          <w:rFonts w:eastAsia="Calibri" w:cstheme="minorHAnsi"/>
          <w:color w:val="111111"/>
          <w:szCs w:val="20"/>
          <w:lang w:eastAsia="en-US" w:bidi="ar-SA"/>
        </w:rPr>
        <w:t xml:space="preserve">multiplex PCR </w:t>
      </w:r>
      <w:r w:rsidRPr="007A4485">
        <w:rPr>
          <w:spacing w:val="-2"/>
        </w:rPr>
        <w:t>according to the manufacturer´s recommendation.</w:t>
      </w:r>
      <w:r w:rsidR="00990567">
        <w:rPr>
          <w:spacing w:val="-2"/>
        </w:rPr>
        <w:t xml:space="preserve"> </w:t>
      </w:r>
      <w:r w:rsidRPr="007A4485">
        <w:rPr>
          <w:spacing w:val="-2"/>
        </w:rPr>
        <w:t>Templates were automatically prepared and loaded on Ion 540 chips by the Ion Chef instrument and subsequently sequenced on the Ion S5XL platform using the 200bp workflow.</w:t>
      </w:r>
      <w:r w:rsidRPr="007A4485">
        <w:rPr>
          <w:rFonts w:eastAsia="Calibri" w:cstheme="minorHAnsi"/>
          <w:color w:val="111111"/>
          <w:szCs w:val="20"/>
          <w:lang w:eastAsia="en-US" w:bidi="ar-SA"/>
        </w:rPr>
        <w:t xml:space="preserve"> On</w:t>
      </w:r>
      <w:r w:rsidRPr="007A4485">
        <w:t xml:space="preserve"> average, 5.8M raw reads were obtained per sample (range 4.4M- 8.5M). </w:t>
      </w:r>
      <w:r w:rsidRPr="007A4485">
        <w:rPr>
          <w:rFonts w:eastAsiaTheme="minorHAnsi" w:cstheme="minorBidi"/>
          <w:szCs w:val="20"/>
        </w:rPr>
        <w:t xml:space="preserve">Sequencing data were </w:t>
      </w:r>
      <w:proofErr w:type="spellStart"/>
      <w:r w:rsidRPr="007A4485">
        <w:rPr>
          <w:rFonts w:eastAsiaTheme="minorHAnsi" w:cstheme="minorBidi"/>
          <w:szCs w:val="20"/>
        </w:rPr>
        <w:t>analysed</w:t>
      </w:r>
      <w:proofErr w:type="spellEnd"/>
      <w:r w:rsidRPr="007A4485">
        <w:rPr>
          <w:rFonts w:eastAsiaTheme="minorHAnsi" w:cstheme="minorBidi"/>
          <w:szCs w:val="20"/>
        </w:rPr>
        <w:t xml:space="preserve"> using the Torrent Variant caller (</w:t>
      </w:r>
      <w:hyperlink r:id="rId9" w:history="1">
        <w:r w:rsidRPr="007A4485">
          <w:rPr>
            <w:rStyle w:val="Internetverknpfung"/>
            <w:rFonts w:eastAsiaTheme="minorHAnsi" w:cstheme="minorBidi"/>
            <w:szCs w:val="20"/>
          </w:rPr>
          <w:t>https://github.com/iontorrent/TS</w:t>
        </w:r>
      </w:hyperlink>
      <w:r w:rsidRPr="007A4485">
        <w:rPr>
          <w:rFonts w:eastAsiaTheme="minorHAnsi" w:cstheme="minorBidi"/>
          <w:szCs w:val="20"/>
        </w:rPr>
        <w:t xml:space="preserve">, version 5.10) software. </w:t>
      </w:r>
      <w:r w:rsidRPr="007A4485">
        <w:rPr>
          <w:rFonts w:eastAsia="SimSun" w:cs="AdvOT3c2d9f11"/>
          <w:lang w:eastAsia="zh-CN"/>
        </w:rPr>
        <w:t xml:space="preserve">For the assessment of variant calling accuracy, we conducted two analyses. First, we used all variants across the panel that were called by TVC, i.e. a </w:t>
      </w:r>
      <w:r w:rsidRPr="007A4485">
        <w:rPr>
          <w:rFonts w:eastAsia="SimSun" w:cs="AdvOT3c2d9f11"/>
          <w:i/>
          <w:lang w:eastAsia="zh-CN"/>
        </w:rPr>
        <w:t>de novo</w:t>
      </w:r>
      <w:r w:rsidRPr="007A4485">
        <w:rPr>
          <w:rFonts w:eastAsia="SimSun" w:cs="AdvOT3c2d9f11"/>
          <w:lang w:eastAsia="zh-CN"/>
        </w:rPr>
        <w:t xml:space="preserve"> calling approach. Second, we confined the analysis to the Oncomine Hotspot file provided with the assay, containing the 124 hotspots that would be reported by the Ion Reporter Software.</w:t>
      </w:r>
    </w:p>
    <w:p w14:paraId="047F0F97" w14:textId="77777777" w:rsidR="00BF45BE" w:rsidRPr="00BF45BE" w:rsidRDefault="00BF45BE" w:rsidP="00E70995">
      <w:pPr>
        <w:pStyle w:val="MDPI21heading1"/>
      </w:pPr>
      <w:proofErr w:type="spellStart"/>
      <w:r>
        <w:t>MassARRAY</w:t>
      </w:r>
      <w:proofErr w:type="spellEnd"/>
      <w:r w:rsidR="00442BCB">
        <w:t xml:space="preserve"> (</w:t>
      </w:r>
      <w:proofErr w:type="spellStart"/>
      <w:r w:rsidR="00442BCB">
        <w:t>Agena</w:t>
      </w:r>
      <w:proofErr w:type="spellEnd"/>
      <w:r w:rsidR="00C04E4A" w:rsidRPr="00C04E4A">
        <w:t xml:space="preserve"> Bioscience</w:t>
      </w:r>
      <w:r w:rsidR="00442BCB">
        <w:t>)</w:t>
      </w:r>
    </w:p>
    <w:p w14:paraId="5B7AE6AB" w14:textId="3B738F1D" w:rsidR="005927EF" w:rsidRPr="00D548F5" w:rsidRDefault="006E423D" w:rsidP="00E70995">
      <w:pPr>
        <w:pStyle w:val="MDPI31text"/>
        <w:rPr>
          <w:color w:val="auto"/>
        </w:rPr>
      </w:pPr>
      <w:proofErr w:type="spellStart"/>
      <w:r w:rsidRPr="006E423D">
        <w:t>UltraSEEK</w:t>
      </w:r>
      <w:proofErr w:type="spellEnd"/>
      <w:r w:rsidR="007F3319" w:rsidRPr="006E423D">
        <w:t>™</w:t>
      </w:r>
      <w:r w:rsidR="00990567">
        <w:t xml:space="preserve"> </w:t>
      </w:r>
      <w:r w:rsidRPr="006E423D">
        <w:t>Lung Panel is a liquid biopsy test for the MALDI-TOF-based MassARRAY System that detects 74 variants across 5 genes (</w:t>
      </w:r>
      <w:r w:rsidRPr="00B71CB5">
        <w:rPr>
          <w:i/>
          <w:iCs/>
        </w:rPr>
        <w:t>BRAF, EGFR, ERBB2, KRAS, PIK3CA</w:t>
      </w:r>
      <w:r w:rsidRPr="006E423D">
        <w:t xml:space="preserve">) and 3 variant types (SNV, insertion, deletion) that are relevant to NSCLC and compliant with the U.S. National Comprehensive Cancer Network (NCCN) Guidelines. </w:t>
      </w:r>
      <w:proofErr w:type="spellStart"/>
      <w:r w:rsidR="00B71CB5" w:rsidRPr="006E423D">
        <w:t>UltraSEEK</w:t>
      </w:r>
      <w:proofErr w:type="spellEnd"/>
      <w:r w:rsidR="00B71CB5" w:rsidRPr="006E423D">
        <w:t xml:space="preserve"> uses a single multiplex PCR, followed by mutation-</w:t>
      </w:r>
      <w:r w:rsidR="00B71CB5" w:rsidRPr="00D548F5">
        <w:rPr>
          <w:color w:val="auto"/>
        </w:rPr>
        <w:t xml:space="preserve">specific single base extension reaction which utilizes a single mutation-specific chain terminator labeled with a moiety for solid phase capture. </w:t>
      </w:r>
      <w:r w:rsidR="005927EF" w:rsidRPr="00D548F5">
        <w:rPr>
          <w:color w:val="auto"/>
        </w:rPr>
        <w:t xml:space="preserve">PCR </w:t>
      </w:r>
      <w:r w:rsidR="003D5380" w:rsidRPr="00D548F5">
        <w:rPr>
          <w:color w:val="auto"/>
        </w:rPr>
        <w:t xml:space="preserve">was </w:t>
      </w:r>
      <w:r w:rsidR="005927EF" w:rsidRPr="00D548F5">
        <w:rPr>
          <w:color w:val="auto"/>
        </w:rPr>
        <w:t xml:space="preserve">performed in 70 µl and enabling a maximum of 35 µl of sample. </w:t>
      </w:r>
      <w:r w:rsidR="00B71CB5" w:rsidRPr="00D548F5">
        <w:rPr>
          <w:color w:val="auto"/>
        </w:rPr>
        <w:t xml:space="preserve">For the assessment of inter- and </w:t>
      </w:r>
      <w:proofErr w:type="spellStart"/>
      <w:r w:rsidR="00B71CB5" w:rsidRPr="00D548F5">
        <w:rPr>
          <w:color w:val="auto"/>
        </w:rPr>
        <w:t>intrarun</w:t>
      </w:r>
      <w:proofErr w:type="spellEnd"/>
      <w:r w:rsidR="00B71CB5" w:rsidRPr="00D548F5">
        <w:rPr>
          <w:color w:val="auto"/>
        </w:rPr>
        <w:t xml:space="preserve"> variability using </w:t>
      </w:r>
      <w:proofErr w:type="spellStart"/>
      <w:r w:rsidR="00B71CB5" w:rsidRPr="00D548F5">
        <w:rPr>
          <w:color w:val="auto"/>
        </w:rPr>
        <w:t>Seraseq</w:t>
      </w:r>
      <w:proofErr w:type="spellEnd"/>
      <w:r w:rsidR="00B71CB5" w:rsidRPr="00D548F5">
        <w:rPr>
          <w:color w:val="auto"/>
        </w:rPr>
        <w:t xml:space="preserve">® ctDNA Complete 15ng were analyzed according to the </w:t>
      </w:r>
      <w:proofErr w:type="spellStart"/>
      <w:r w:rsidR="00B71CB5" w:rsidRPr="00D548F5">
        <w:rPr>
          <w:color w:val="auto"/>
        </w:rPr>
        <w:t>UltraSEE</w:t>
      </w:r>
      <w:r w:rsidR="007F3319" w:rsidRPr="00D548F5">
        <w:rPr>
          <w:color w:val="auto"/>
        </w:rPr>
        <w:t>K</w:t>
      </w:r>
      <w:proofErr w:type="spellEnd"/>
      <w:r w:rsidR="00B71CB5" w:rsidRPr="00D548F5">
        <w:rPr>
          <w:color w:val="auto"/>
        </w:rPr>
        <w:t xml:space="preserve"> Panels User Guide. </w:t>
      </w:r>
      <w:r w:rsidR="005927EF" w:rsidRPr="00D548F5">
        <w:rPr>
          <w:color w:val="auto"/>
        </w:rPr>
        <w:t xml:space="preserve">To this end the reference material was pre-diluted and pooled in a way that all three replicate PCRs were generated from the same pool with the highest possible volume enabling the replicates with very low variance. </w:t>
      </w:r>
      <w:r w:rsidRPr="00D548F5">
        <w:rPr>
          <w:color w:val="auto"/>
        </w:rPr>
        <w:t xml:space="preserve">After the capture, cleaning, and elution process, the extension products </w:t>
      </w:r>
      <w:r w:rsidR="00B71CB5" w:rsidRPr="00D548F5">
        <w:rPr>
          <w:color w:val="auto"/>
        </w:rPr>
        <w:t>were</w:t>
      </w:r>
      <w:r w:rsidRPr="00D548F5">
        <w:rPr>
          <w:color w:val="auto"/>
        </w:rPr>
        <w:t xml:space="preserve"> automatically transferred to a </w:t>
      </w:r>
      <w:proofErr w:type="spellStart"/>
      <w:r w:rsidRPr="00D548F5">
        <w:rPr>
          <w:color w:val="auto"/>
        </w:rPr>
        <w:t>SpectroCHIP</w:t>
      </w:r>
      <w:proofErr w:type="spellEnd"/>
      <w:r w:rsidRPr="00D548F5">
        <w:rPr>
          <w:color w:val="auto"/>
        </w:rPr>
        <w:t xml:space="preserve">® Array and loaded into the MassARRAY Analyzer. Data acquired by the MassARRAY Analyzer </w:t>
      </w:r>
      <w:r w:rsidR="00B71CB5" w:rsidRPr="00D548F5">
        <w:rPr>
          <w:color w:val="auto"/>
        </w:rPr>
        <w:t>were</w:t>
      </w:r>
      <w:r w:rsidRPr="00D548F5">
        <w:rPr>
          <w:color w:val="auto"/>
        </w:rPr>
        <w:t xml:space="preserve"> processed by </w:t>
      </w:r>
      <w:proofErr w:type="spellStart"/>
      <w:r w:rsidRPr="00D548F5">
        <w:rPr>
          <w:color w:val="auto"/>
        </w:rPr>
        <w:t>MassARRAY</w:t>
      </w:r>
      <w:proofErr w:type="spellEnd"/>
      <w:r w:rsidRPr="00D548F5">
        <w:rPr>
          <w:color w:val="auto"/>
        </w:rPr>
        <w:t xml:space="preserve"> </w:t>
      </w:r>
      <w:proofErr w:type="spellStart"/>
      <w:r w:rsidRPr="00D548F5">
        <w:rPr>
          <w:color w:val="auto"/>
        </w:rPr>
        <w:t>Typer</w:t>
      </w:r>
      <w:proofErr w:type="spellEnd"/>
      <w:r w:rsidRPr="00D548F5">
        <w:rPr>
          <w:color w:val="auto"/>
        </w:rPr>
        <w:t xml:space="preserve"> and </w:t>
      </w:r>
      <w:proofErr w:type="spellStart"/>
      <w:r w:rsidRPr="00D548F5">
        <w:rPr>
          <w:color w:val="auto"/>
        </w:rPr>
        <w:t>UltraSEEK</w:t>
      </w:r>
      <w:proofErr w:type="spellEnd"/>
      <w:r w:rsidRPr="00D548F5">
        <w:rPr>
          <w:color w:val="auto"/>
        </w:rPr>
        <w:t xml:space="preserve"> Report software.</w:t>
      </w:r>
      <w:r w:rsidR="005927EF" w:rsidRPr="00D548F5">
        <w:rPr>
          <w:color w:val="auto"/>
        </w:rPr>
        <w:t xml:space="preserve"> Briefly, a positive signal produces a peak on the MassARRAY at the expected mass of a certain height. This peak is related to the local background noise, so that the signal-to-noise ratio (SNR) rather than the signal level is used as reporter. At the same the corresponding SNR signals of </w:t>
      </w:r>
      <w:bookmarkStart w:id="7" w:name="_Hlk40448726"/>
      <w:r w:rsidR="005927EF" w:rsidRPr="00D548F5">
        <w:rPr>
          <w:color w:val="auto"/>
        </w:rPr>
        <w:t xml:space="preserve">6 internal controls </w:t>
      </w:r>
      <w:bookmarkEnd w:id="7"/>
      <w:r w:rsidR="0082153B" w:rsidRPr="00D548F5">
        <w:rPr>
          <w:color w:val="auto"/>
        </w:rPr>
        <w:lastRenderedPageBreak/>
        <w:t>were</w:t>
      </w:r>
      <w:r w:rsidR="005927EF" w:rsidRPr="00D548F5">
        <w:rPr>
          <w:color w:val="auto"/>
        </w:rPr>
        <w:t xml:space="preserve"> determined, which monitor PCR efficiency. The target SNR </w:t>
      </w:r>
      <w:r w:rsidR="0082153B" w:rsidRPr="00D548F5">
        <w:rPr>
          <w:color w:val="auto"/>
        </w:rPr>
        <w:t xml:space="preserve">was </w:t>
      </w:r>
      <w:r w:rsidR="005927EF" w:rsidRPr="00D548F5">
        <w:rPr>
          <w:color w:val="auto"/>
        </w:rPr>
        <w:t>finally normalized with the SNR of the controls.</w:t>
      </w:r>
    </w:p>
    <w:p w14:paraId="4A916118" w14:textId="77777777" w:rsidR="00EF4F69" w:rsidRDefault="00BF45BE" w:rsidP="00E70995">
      <w:pPr>
        <w:pStyle w:val="MDPI21heading1"/>
      </w:pPr>
      <w:proofErr w:type="spellStart"/>
      <w:proofErr w:type="gramStart"/>
      <w:r>
        <w:t>ddPCR</w:t>
      </w:r>
      <w:proofErr w:type="spellEnd"/>
      <w:proofErr w:type="gramEnd"/>
      <w:r>
        <w:t xml:space="preserve"> </w:t>
      </w:r>
      <w:r w:rsidR="005A6B3B">
        <w:t>(</w:t>
      </w:r>
      <w:r w:rsidR="00F40A6D">
        <w:t xml:space="preserve">Bio-Rad, </w:t>
      </w:r>
      <w:r w:rsidR="005A6B3B">
        <w:t>performed at Bayer)</w:t>
      </w:r>
    </w:p>
    <w:p w14:paraId="4646A2F8" w14:textId="77777777" w:rsidR="00BF45BE" w:rsidRPr="00EF4F69" w:rsidRDefault="00564793" w:rsidP="00E70995">
      <w:pPr>
        <w:pStyle w:val="MDPI31text"/>
        <w:rPr>
          <w:b/>
        </w:rPr>
      </w:pPr>
      <w:r w:rsidRPr="00564793">
        <w:t xml:space="preserve">For each </w:t>
      </w:r>
      <w:r w:rsidR="00EF4F69">
        <w:t xml:space="preserve">study set-up A, </w:t>
      </w:r>
      <w:r w:rsidRPr="00564793">
        <w:t>ddPCR assay</w:t>
      </w:r>
      <w:r w:rsidR="00EF4F69">
        <w:t>s</w:t>
      </w:r>
      <w:r w:rsidR="00EF4F69" w:rsidRPr="00EF4F69">
        <w:t xml:space="preserve"> </w:t>
      </w:r>
      <w:r w:rsidR="00EF4F69">
        <w:t xml:space="preserve">for </w:t>
      </w:r>
      <w:r w:rsidR="00EF4F69" w:rsidRPr="00EF4F69">
        <w:rPr>
          <w:i/>
          <w:iCs/>
        </w:rPr>
        <w:t>BRAF</w:t>
      </w:r>
      <w:r w:rsidR="00EF4F69" w:rsidRPr="00EF4F69">
        <w:t xml:space="preserve"> V600E, </w:t>
      </w:r>
      <w:r w:rsidR="00EF4F69" w:rsidRPr="00EF4F69">
        <w:rPr>
          <w:i/>
          <w:iCs/>
        </w:rPr>
        <w:t>EGFR</w:t>
      </w:r>
      <w:r w:rsidR="00EF4F69" w:rsidRPr="00EF4F69">
        <w:t xml:space="preserve"> T790M, </w:t>
      </w:r>
      <w:r w:rsidR="00EF4F69" w:rsidRPr="00EF4F69">
        <w:rPr>
          <w:i/>
          <w:iCs/>
        </w:rPr>
        <w:t>EGFR</w:t>
      </w:r>
      <w:r w:rsidR="00EF4F69" w:rsidRPr="00EF4F69">
        <w:t xml:space="preserve"> L858R, </w:t>
      </w:r>
      <w:r w:rsidR="00EF4F69" w:rsidRPr="00EF4F69">
        <w:rPr>
          <w:i/>
          <w:iCs/>
        </w:rPr>
        <w:t>KRAS</w:t>
      </w:r>
      <w:r w:rsidR="00EF4F69" w:rsidRPr="00EF4F69">
        <w:t xml:space="preserve"> G12C and </w:t>
      </w:r>
      <w:r w:rsidR="00EF4F69" w:rsidRPr="00EF4F69">
        <w:rPr>
          <w:i/>
          <w:iCs/>
        </w:rPr>
        <w:t>KRAS</w:t>
      </w:r>
      <w:r w:rsidR="00EF4F69" w:rsidRPr="00EF4F69">
        <w:t xml:space="preserve"> G12D</w:t>
      </w:r>
      <w:r w:rsidR="00EF4F69">
        <w:t xml:space="preserve"> were</w:t>
      </w:r>
      <w:r w:rsidRPr="00564793">
        <w:t xml:space="preserve"> performed using the Bio-Rad QX200™ platform included no template controls. </w:t>
      </w:r>
      <w:r w:rsidR="00797D93">
        <w:t xml:space="preserve">PCR set-up was performed according to the manufacturer´s recommendation. </w:t>
      </w:r>
      <w:r w:rsidR="00EF4F69">
        <w:t>To assess the impact of input mass on the variant calling precision, various amounts of</w:t>
      </w:r>
      <w:r w:rsidR="00EF4F69" w:rsidRPr="00EF4F69">
        <w:t xml:space="preserve"> </w:t>
      </w:r>
      <w:r w:rsidR="00EF4F69">
        <w:t xml:space="preserve">the </w:t>
      </w:r>
      <w:r w:rsidR="00EF4F69" w:rsidRPr="00387D56">
        <w:t>Seraseq® ctDNA Complete</w:t>
      </w:r>
      <w:r w:rsidR="00EF4F69">
        <w:t xml:space="preserve"> (8ng, 4ng and 2 ng) were used. </w:t>
      </w:r>
      <w:r w:rsidRPr="00564793">
        <w:t xml:space="preserve">Data were analyzed using the </w:t>
      </w:r>
      <w:proofErr w:type="spellStart"/>
      <w:r w:rsidRPr="00564793">
        <w:t>QuantaSoft</w:t>
      </w:r>
      <w:proofErr w:type="spellEnd"/>
      <w:r w:rsidRPr="00564793">
        <w:t>™ analytical software v1.7.4 (Bio-Rad). Fluorescent signals of negative controls were recorded as background to establish cut-off levels. Results were expressed as both number of mutants/</w:t>
      </w:r>
      <w:proofErr w:type="spellStart"/>
      <w:r w:rsidRPr="00564793">
        <w:t>ccfDNA</w:t>
      </w:r>
      <w:proofErr w:type="spellEnd"/>
      <w:r w:rsidRPr="00564793">
        <w:t xml:space="preserve"> </w:t>
      </w:r>
      <w:proofErr w:type="spellStart"/>
      <w:r w:rsidRPr="00564793">
        <w:t>eluates</w:t>
      </w:r>
      <w:proofErr w:type="spellEnd"/>
      <w:r w:rsidRPr="00564793">
        <w:t xml:space="preserve"> (µL) as well as variant allele frequency (VAF; ratio between no. of mutant and wild type droplets after correction using the Poisson distribution). </w:t>
      </w:r>
    </w:p>
    <w:p w14:paraId="1B6C7986" w14:textId="77777777" w:rsidR="005A6B3B" w:rsidRDefault="00BF45BE" w:rsidP="00E70995">
      <w:pPr>
        <w:pStyle w:val="MDPI21heading1"/>
      </w:pPr>
      <w:proofErr w:type="spellStart"/>
      <w:proofErr w:type="gramStart"/>
      <w:r>
        <w:t>ddPCR</w:t>
      </w:r>
      <w:proofErr w:type="spellEnd"/>
      <w:proofErr w:type="gramEnd"/>
      <w:r>
        <w:t xml:space="preserve"> </w:t>
      </w:r>
      <w:r w:rsidR="005A6B3B">
        <w:t>(</w:t>
      </w:r>
      <w:r w:rsidR="00F40A6D">
        <w:t xml:space="preserve">Bio-Rad, </w:t>
      </w:r>
      <w:r w:rsidR="005A6B3B">
        <w:t>performed at UMCG)</w:t>
      </w:r>
    </w:p>
    <w:p w14:paraId="2B7EBF54" w14:textId="5B0A37FC" w:rsidR="00BF45BE" w:rsidRDefault="003A7453" w:rsidP="00E70995">
      <w:pPr>
        <w:pStyle w:val="MDPI31text"/>
      </w:pPr>
      <w:r w:rsidRPr="003A7453">
        <w:t xml:space="preserve">For mutation detection in </w:t>
      </w:r>
      <w:proofErr w:type="spellStart"/>
      <w:r w:rsidRPr="003A7453">
        <w:t>ccfDNA</w:t>
      </w:r>
      <w:proofErr w:type="spellEnd"/>
      <w:r w:rsidRPr="003A7453">
        <w:t xml:space="preserve"> extracted from plasma samples, ddPCR assays for </w:t>
      </w:r>
      <w:r w:rsidRPr="003A7453">
        <w:rPr>
          <w:i/>
          <w:iCs/>
        </w:rPr>
        <w:t>BRAF</w:t>
      </w:r>
      <w:r w:rsidRPr="003A7453">
        <w:t xml:space="preserve"> V600E, </w:t>
      </w:r>
      <w:r w:rsidRPr="003A7453">
        <w:rPr>
          <w:i/>
          <w:iCs/>
        </w:rPr>
        <w:t>EGFR</w:t>
      </w:r>
      <w:r w:rsidRPr="003A7453">
        <w:t xml:space="preserve"> T790M, </w:t>
      </w:r>
      <w:r w:rsidRPr="003A7453">
        <w:rPr>
          <w:i/>
          <w:iCs/>
        </w:rPr>
        <w:t>EGFR</w:t>
      </w:r>
      <w:r w:rsidRPr="003A7453">
        <w:t xml:space="preserve"> L858R, </w:t>
      </w:r>
      <w:r w:rsidRPr="003A7453">
        <w:rPr>
          <w:i/>
          <w:iCs/>
        </w:rPr>
        <w:t>KRAS</w:t>
      </w:r>
      <w:r w:rsidRPr="003A7453">
        <w:t xml:space="preserve"> G12C and </w:t>
      </w:r>
      <w:r w:rsidRPr="003A7453">
        <w:rPr>
          <w:i/>
          <w:iCs/>
        </w:rPr>
        <w:t>KRAS</w:t>
      </w:r>
      <w:r w:rsidRPr="003A7453">
        <w:t xml:space="preserve"> G12D (study set-up A) and the </w:t>
      </w:r>
      <w:r w:rsidRPr="003A7453">
        <w:rPr>
          <w:i/>
          <w:iCs/>
        </w:rPr>
        <w:t>KRAS</w:t>
      </w:r>
      <w:r w:rsidRPr="003A7453">
        <w:t xml:space="preserve"> G12/G13 screening and </w:t>
      </w:r>
      <w:r w:rsidRPr="003A7453">
        <w:rPr>
          <w:i/>
          <w:iCs/>
        </w:rPr>
        <w:t>TP53</w:t>
      </w:r>
      <w:r w:rsidRPr="003A7453">
        <w:t xml:space="preserve"> R273L assay (study set-up C) were performed using the Bio-Rad QX200™ platform includ</w:t>
      </w:r>
      <w:r>
        <w:t>ing</w:t>
      </w:r>
      <w:r w:rsidRPr="003A7453">
        <w:t xml:space="preserve"> positive, wild type</w:t>
      </w:r>
      <w:r w:rsidR="00E70995">
        <w:t xml:space="preserve"> </w:t>
      </w:r>
      <w:r w:rsidRPr="003A7453">
        <w:t xml:space="preserve">and no template controls. PCR set-up was performed according to the manufacturer´s recommendation. DdPCR analyses were performed on 8.8µL of </w:t>
      </w:r>
      <w:proofErr w:type="spellStart"/>
      <w:r w:rsidRPr="003A7453">
        <w:t>ccfDNA</w:t>
      </w:r>
      <w:proofErr w:type="spellEnd"/>
      <w:r w:rsidRPr="003A7453">
        <w:t xml:space="preserve"> </w:t>
      </w:r>
      <w:proofErr w:type="spellStart"/>
      <w:r w:rsidRPr="003A7453">
        <w:t>eluates</w:t>
      </w:r>
      <w:proofErr w:type="spellEnd"/>
      <w:r w:rsidRPr="003A7453">
        <w:t xml:space="preserve"> extracted from 2mL plasma with variable concentration as measured by Qubit according to the manufacturer´s instructions. Data were analyzed using the </w:t>
      </w:r>
      <w:proofErr w:type="spellStart"/>
      <w:r w:rsidRPr="003A7453">
        <w:t>QuantaSoft</w:t>
      </w:r>
      <w:proofErr w:type="spellEnd"/>
      <w:r w:rsidRPr="003A7453">
        <w:t>™ analytical software v1.7.4 (Bio-Rad). Positive, wild type</w:t>
      </w:r>
      <w:r w:rsidR="00E70995">
        <w:t xml:space="preserve"> </w:t>
      </w:r>
      <w:r w:rsidRPr="003A7453">
        <w:t xml:space="preserve">and no template controls were used to establish cut-off levels. Results are expressed as VAF based on the ratio between mutant and wild type droplets after correction using the Poisson distribution (calculated by the </w:t>
      </w:r>
      <w:proofErr w:type="spellStart"/>
      <w:r w:rsidRPr="003A7453">
        <w:t>Quantasoft</w:t>
      </w:r>
      <w:proofErr w:type="spellEnd"/>
      <w:r w:rsidRPr="003A7453">
        <w:t xml:space="preserve"> software). As precautionary measure, samples were considered positive when 3 or more FAM/HEX positive droplets were detected with no positive droplets in the no-template and wild type controls. All molecular testing was performed in the ISO15189-accredited laboratory of molecular pathology at the UMCG. All standard precautions were taken to avoid contamination of amplification products using separate laboratories for pre- and post-PCR handling</w:t>
      </w:r>
      <w:r>
        <w:t>.</w:t>
      </w:r>
    </w:p>
    <w:p w14:paraId="50223FC7" w14:textId="77777777" w:rsidR="00E70995" w:rsidRDefault="0082153B" w:rsidP="00E70995">
      <w:pPr>
        <w:pStyle w:val="MDPI52figure"/>
        <w:rPr>
          <w:b/>
        </w:rPr>
      </w:pPr>
      <w:r>
        <w:rPr>
          <w:noProof/>
          <w:lang w:eastAsia="zh-CN"/>
        </w:rPr>
        <w:lastRenderedPageBreak/>
        <w:drawing>
          <wp:inline distT="0" distB="0" distL="0" distR="0" wp14:anchorId="740876E2" wp14:editId="6BE1CA7E">
            <wp:extent cx="5528005" cy="4217543"/>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529627" cy="4218780"/>
                    </a:xfrm>
                    <a:prstGeom prst="rect">
                      <a:avLst/>
                    </a:prstGeom>
                    <a:noFill/>
                  </pic:spPr>
                </pic:pic>
              </a:graphicData>
            </a:graphic>
          </wp:inline>
        </w:drawing>
      </w:r>
    </w:p>
    <w:p w14:paraId="1E283B30" w14:textId="78BC20EB" w:rsidR="00AC372A" w:rsidRPr="00AC372A" w:rsidRDefault="00E70995" w:rsidP="00E70995">
      <w:pPr>
        <w:pStyle w:val="MDPI51figurecaption"/>
        <w:rPr>
          <w:snapToGrid w:val="0"/>
        </w:rPr>
      </w:pPr>
      <w:bookmarkStart w:id="8" w:name="_Hlk32936424"/>
      <w:r w:rsidRPr="00E70995">
        <w:rPr>
          <w:b/>
        </w:rPr>
        <w:t xml:space="preserve">Figure </w:t>
      </w:r>
      <w:r>
        <w:rPr>
          <w:b/>
        </w:rPr>
        <w:t>S</w:t>
      </w:r>
      <w:r w:rsidRPr="00E70995">
        <w:rPr>
          <w:b/>
        </w:rPr>
        <w:t xml:space="preserve">1. </w:t>
      </w:r>
      <w:r w:rsidR="008C262D" w:rsidRPr="00E70995">
        <w:rPr>
          <w:bCs/>
          <w:snapToGrid w:val="0"/>
        </w:rPr>
        <w:t xml:space="preserve">Intra-run precision and </w:t>
      </w:r>
      <w:r w:rsidR="005E37BC" w:rsidRPr="00E70995">
        <w:rPr>
          <w:bCs/>
          <w:snapToGrid w:val="0"/>
        </w:rPr>
        <w:t>i</w:t>
      </w:r>
      <w:r w:rsidR="008C262D" w:rsidRPr="00E70995">
        <w:rPr>
          <w:bCs/>
          <w:snapToGrid w:val="0"/>
        </w:rPr>
        <w:t>nter-run reproducibility</w:t>
      </w:r>
      <w:r w:rsidR="00B525C2" w:rsidRPr="00E70995">
        <w:rPr>
          <w:bCs/>
          <w:snapToGrid w:val="0"/>
        </w:rPr>
        <w:t xml:space="preserve"> of three NGS- and three qPCR-based mutation analysis assays</w:t>
      </w:r>
      <w:r w:rsidR="008C262D" w:rsidRPr="00E70995">
        <w:rPr>
          <w:bCs/>
          <w:snapToGrid w:val="0"/>
        </w:rPr>
        <w:t>.</w:t>
      </w:r>
      <w:r w:rsidR="008C262D" w:rsidRPr="008C262D">
        <w:rPr>
          <w:snapToGrid w:val="0"/>
        </w:rPr>
        <w:t xml:space="preserve"> </w:t>
      </w:r>
      <w:bookmarkEnd w:id="8"/>
      <w:r w:rsidR="008C262D" w:rsidRPr="008C262D">
        <w:rPr>
          <w:snapToGrid w:val="0"/>
        </w:rPr>
        <w:t xml:space="preserve">Shown are </w:t>
      </w:r>
      <w:r w:rsidR="008C262D">
        <w:rPr>
          <w:snapToGrid w:val="0"/>
        </w:rPr>
        <w:t>v</w:t>
      </w:r>
      <w:r w:rsidR="008C262D" w:rsidRPr="008C262D">
        <w:rPr>
          <w:snapToGrid w:val="0"/>
        </w:rPr>
        <w:t xml:space="preserve">ariant allele frequencies </w:t>
      </w:r>
      <w:r w:rsidR="008C262D">
        <w:rPr>
          <w:snapToGrid w:val="0"/>
        </w:rPr>
        <w:t xml:space="preserve">(VAF) </w:t>
      </w:r>
      <w:r w:rsidR="00AC372A">
        <w:rPr>
          <w:snapToGrid w:val="0"/>
        </w:rPr>
        <w:t>of five c</w:t>
      </w:r>
      <w:r w:rsidR="00AC372A" w:rsidRPr="00AC372A">
        <w:t xml:space="preserve">linically relevant mutations that are </w:t>
      </w:r>
      <w:r w:rsidR="00AC372A" w:rsidRPr="00AC372A">
        <w:rPr>
          <w:i/>
        </w:rPr>
        <w:t>BRAF</w:t>
      </w:r>
      <w:r w:rsidR="00AC372A" w:rsidRPr="00AC372A">
        <w:t xml:space="preserve"> V600E, </w:t>
      </w:r>
      <w:r w:rsidR="00AC372A" w:rsidRPr="00AC372A">
        <w:rPr>
          <w:i/>
        </w:rPr>
        <w:t>EGFR</w:t>
      </w:r>
      <w:r w:rsidR="00AC372A" w:rsidRPr="00AC372A">
        <w:t xml:space="preserve"> T790M, </w:t>
      </w:r>
      <w:r w:rsidR="00AC372A" w:rsidRPr="005018B3">
        <w:rPr>
          <w:i/>
        </w:rPr>
        <w:t>EGFR</w:t>
      </w:r>
      <w:r w:rsidR="00AC372A" w:rsidRPr="00AC372A">
        <w:t xml:space="preserve"> L858R, </w:t>
      </w:r>
      <w:r w:rsidR="00AC372A" w:rsidRPr="00AC372A">
        <w:rPr>
          <w:i/>
        </w:rPr>
        <w:t>KRAS</w:t>
      </w:r>
      <w:r w:rsidR="00AC372A" w:rsidRPr="00AC372A">
        <w:t xml:space="preserve"> G12C and </w:t>
      </w:r>
      <w:r w:rsidR="00AC372A" w:rsidRPr="00AC372A">
        <w:rPr>
          <w:i/>
        </w:rPr>
        <w:t>KRAS</w:t>
      </w:r>
      <w:r w:rsidR="00AC372A" w:rsidRPr="00AC372A">
        <w:t xml:space="preserve"> G12D</w:t>
      </w:r>
      <w:r w:rsidR="00AC372A">
        <w:t xml:space="preserve"> included in </w:t>
      </w:r>
      <w:r w:rsidR="008C262D" w:rsidRPr="008C262D">
        <w:rPr>
          <w:snapToGrid w:val="0"/>
        </w:rPr>
        <w:t>the SeraCare Seraseq ctDNA complete reference material</w:t>
      </w:r>
      <w:r w:rsidR="008C262D">
        <w:rPr>
          <w:snapToGrid w:val="0"/>
        </w:rPr>
        <w:t xml:space="preserve"> at a VAF of 1%</w:t>
      </w:r>
      <w:r w:rsidR="00AC372A">
        <w:rPr>
          <w:snapToGrid w:val="0"/>
        </w:rPr>
        <w:t>. Variants were</w:t>
      </w:r>
      <w:r w:rsidR="00AC372A" w:rsidRPr="00AC372A">
        <w:rPr>
          <w:snapToGrid w:val="0"/>
        </w:rPr>
        <w:t xml:space="preserve"> </w:t>
      </w:r>
      <w:r w:rsidR="00AC372A">
        <w:rPr>
          <w:snapToGrid w:val="0"/>
        </w:rPr>
        <w:t xml:space="preserve">assessed </w:t>
      </w:r>
      <w:r w:rsidR="008C262D">
        <w:rPr>
          <w:snapToGrid w:val="0"/>
        </w:rPr>
        <w:t xml:space="preserve">from </w:t>
      </w:r>
      <w:r w:rsidR="008C262D" w:rsidRPr="008C262D">
        <w:rPr>
          <w:snapToGrid w:val="0"/>
        </w:rPr>
        <w:t>three independent samples preparation sequenced i</w:t>
      </w:r>
      <w:r w:rsidR="008C262D">
        <w:rPr>
          <w:snapToGrid w:val="0"/>
        </w:rPr>
        <w:t>n one run as well a</w:t>
      </w:r>
      <w:r w:rsidR="008C262D" w:rsidRPr="008C262D">
        <w:rPr>
          <w:snapToGrid w:val="0"/>
        </w:rPr>
        <w:t>s in t</w:t>
      </w:r>
      <w:r w:rsidR="008C262D">
        <w:rPr>
          <w:snapToGrid w:val="0"/>
        </w:rPr>
        <w:t>hree separate runs</w:t>
      </w:r>
      <w:r w:rsidR="00AC372A">
        <w:rPr>
          <w:snapToGrid w:val="0"/>
        </w:rPr>
        <w:t xml:space="preserve"> assessed using </w:t>
      </w:r>
      <w:r w:rsidR="00AC372A" w:rsidRPr="00AC372A">
        <w:t xml:space="preserve">a customized hybrid capture SureSelect custom panel from Agilent (performed at University of Manchester - UNIMAN), the </w:t>
      </w:r>
      <w:r w:rsidR="005018B3">
        <w:t>AVENIO</w:t>
      </w:r>
      <w:r w:rsidR="00AC372A" w:rsidRPr="00AC372A">
        <w:t xml:space="preserve"> Targeted Assay from Roche, a commercially available hybrid capture based custom panel which employs UMIs, and a commercially available amplicon panel QIAact Lung UMI Panel from QIAGEN (both performed at Medical University of Graz - MUG)</w:t>
      </w:r>
      <w:r w:rsidR="00AC372A">
        <w:t xml:space="preserve">, </w:t>
      </w:r>
      <w:r w:rsidR="00AC372A" w:rsidRPr="00AC372A">
        <w:t>two droplet digital PCR (ddPCR) assays (one research use only assay performed at Bayer and one ISO15189 validated assay performed at the University Medical Center Groningen - UMCG) and the UltraSeek lung panel (</w:t>
      </w:r>
      <w:proofErr w:type="spellStart"/>
      <w:r w:rsidR="00AC372A" w:rsidRPr="00AC372A">
        <w:t>MassARRAY</w:t>
      </w:r>
      <w:proofErr w:type="spellEnd"/>
      <w:r w:rsidR="00AC372A" w:rsidRPr="00AC372A">
        <w:t xml:space="preserve"> performed at </w:t>
      </w:r>
      <w:proofErr w:type="spellStart"/>
      <w:r w:rsidR="00AC372A" w:rsidRPr="00AC372A">
        <w:t>Agena</w:t>
      </w:r>
      <w:proofErr w:type="spellEnd"/>
      <w:r w:rsidR="00AC372A" w:rsidRPr="00AC372A">
        <w:t>).</w:t>
      </w:r>
    </w:p>
    <w:p w14:paraId="08735B7C" w14:textId="77777777" w:rsidR="00AC372A" w:rsidRDefault="00AC372A" w:rsidP="00E70995">
      <w:pPr>
        <w:adjustRightInd w:val="0"/>
        <w:snapToGrid w:val="0"/>
        <w:jc w:val="both"/>
        <w:rPr>
          <w:rFonts w:ascii="Palatino Linotype" w:eastAsia="Times New Roman" w:hAnsi="Palatino Linotype"/>
          <w:iCs/>
          <w:snapToGrid w:val="0"/>
          <w:color w:val="000000"/>
          <w:sz w:val="20"/>
          <w:lang w:val="en-US" w:eastAsia="de-DE" w:bidi="en-US"/>
        </w:rPr>
      </w:pPr>
    </w:p>
    <w:p w14:paraId="4C895C9E" w14:textId="77777777" w:rsidR="00AC372A" w:rsidRDefault="00AC372A" w:rsidP="00E70995">
      <w:pPr>
        <w:suppressAutoHyphens w:val="0"/>
        <w:adjustRightInd w:val="0"/>
        <w:snapToGrid w:val="0"/>
        <w:rPr>
          <w:rFonts w:ascii="Palatino Linotype" w:eastAsia="Times New Roman" w:hAnsi="Palatino Linotype"/>
          <w:iCs/>
          <w:snapToGrid w:val="0"/>
          <w:color w:val="000000"/>
          <w:sz w:val="20"/>
          <w:lang w:val="en-US" w:eastAsia="de-DE" w:bidi="en-US"/>
        </w:rPr>
      </w:pPr>
      <w:r>
        <w:rPr>
          <w:rFonts w:ascii="Palatino Linotype" w:eastAsia="Times New Roman" w:hAnsi="Palatino Linotype"/>
          <w:iCs/>
          <w:snapToGrid w:val="0"/>
          <w:color w:val="000000"/>
          <w:sz w:val="20"/>
          <w:lang w:val="en-US" w:eastAsia="de-DE" w:bidi="en-US"/>
        </w:rPr>
        <w:br w:type="page"/>
      </w:r>
    </w:p>
    <w:p w14:paraId="4CB2F88F" w14:textId="77777777" w:rsidR="00F43AD8" w:rsidRDefault="009574FB" w:rsidP="00E70995">
      <w:pPr>
        <w:pStyle w:val="MDPI52figure"/>
      </w:pPr>
      <w:r>
        <w:rPr>
          <w:noProof/>
        </w:rPr>
        <w:lastRenderedPageBreak/>
        <w:drawing>
          <wp:inline distT="0" distB="0" distL="0" distR="0" wp14:anchorId="57CF83C0" wp14:editId="4EFE43C7">
            <wp:extent cx="3694599" cy="2837386"/>
            <wp:effectExtent l="0" t="0" r="1270" b="127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98991" cy="2840759"/>
                    </a:xfrm>
                    <a:prstGeom prst="rect">
                      <a:avLst/>
                    </a:prstGeom>
                    <a:noFill/>
                  </pic:spPr>
                </pic:pic>
              </a:graphicData>
            </a:graphic>
          </wp:inline>
        </w:drawing>
      </w:r>
    </w:p>
    <w:p w14:paraId="6CF3EF01" w14:textId="2B5159DA" w:rsidR="008D4050" w:rsidRDefault="00E70995" w:rsidP="00E70995">
      <w:pPr>
        <w:pStyle w:val="MDPI51figurecaption"/>
      </w:pPr>
      <w:bookmarkStart w:id="9" w:name="_Hlk32936533"/>
      <w:r w:rsidRPr="00E70995">
        <w:rPr>
          <w:b/>
          <w:snapToGrid w:val="0"/>
        </w:rPr>
        <w:t xml:space="preserve">Figure </w:t>
      </w:r>
      <w:r>
        <w:rPr>
          <w:b/>
          <w:snapToGrid w:val="0"/>
        </w:rPr>
        <w:t>S</w:t>
      </w:r>
      <w:r w:rsidRPr="00E70995">
        <w:rPr>
          <w:b/>
          <w:snapToGrid w:val="0"/>
        </w:rPr>
        <w:t xml:space="preserve">2. </w:t>
      </w:r>
      <w:r w:rsidR="00B525C2" w:rsidRPr="00E70995">
        <w:rPr>
          <w:snapToGrid w:val="0"/>
        </w:rPr>
        <w:t>Association of input mass quantities and variability in mutation detection of ddPCR</w:t>
      </w:r>
      <w:bookmarkEnd w:id="9"/>
      <w:r w:rsidR="00B525C2" w:rsidRPr="00E70995">
        <w:rPr>
          <w:snapToGrid w:val="0"/>
        </w:rPr>
        <w:t>.</w:t>
      </w:r>
      <w:r w:rsidR="00B525C2">
        <w:rPr>
          <w:b/>
          <w:snapToGrid w:val="0"/>
        </w:rPr>
        <w:t xml:space="preserve"> </w:t>
      </w:r>
      <w:proofErr w:type="gramStart"/>
      <w:r w:rsidR="00F43AD8" w:rsidRPr="00F43AD8">
        <w:rPr>
          <w:snapToGrid w:val="0"/>
        </w:rPr>
        <w:t>ddPCR</w:t>
      </w:r>
      <w:proofErr w:type="gramEnd"/>
      <w:r w:rsidR="00F43AD8" w:rsidRPr="00F43AD8">
        <w:rPr>
          <w:snapToGrid w:val="0"/>
        </w:rPr>
        <w:t xml:space="preserve"> </w:t>
      </w:r>
      <w:r w:rsidR="008D4050">
        <w:rPr>
          <w:snapToGrid w:val="0"/>
        </w:rPr>
        <w:t>of five c</w:t>
      </w:r>
      <w:r w:rsidR="008D4050" w:rsidRPr="00AC372A">
        <w:t xml:space="preserve">linically relevant mutations that are </w:t>
      </w:r>
      <w:r w:rsidR="008D4050" w:rsidRPr="00AC372A">
        <w:rPr>
          <w:i/>
        </w:rPr>
        <w:t>BRAF</w:t>
      </w:r>
      <w:r w:rsidR="008D4050" w:rsidRPr="00AC372A">
        <w:t xml:space="preserve"> V600E, </w:t>
      </w:r>
      <w:r w:rsidR="008D4050" w:rsidRPr="00AC372A">
        <w:rPr>
          <w:i/>
        </w:rPr>
        <w:t>EGFR</w:t>
      </w:r>
      <w:r w:rsidR="008D4050" w:rsidRPr="00AC372A">
        <w:t xml:space="preserve"> T790M, </w:t>
      </w:r>
      <w:r w:rsidR="008D4050" w:rsidRPr="00EB4F7D">
        <w:rPr>
          <w:i/>
        </w:rPr>
        <w:t>EGFR</w:t>
      </w:r>
      <w:r w:rsidR="008D4050" w:rsidRPr="00AC372A">
        <w:t xml:space="preserve"> L858R, </w:t>
      </w:r>
      <w:r w:rsidR="008D4050" w:rsidRPr="00AC372A">
        <w:rPr>
          <w:i/>
        </w:rPr>
        <w:t>KRAS</w:t>
      </w:r>
      <w:r w:rsidR="008D4050" w:rsidRPr="00AC372A">
        <w:t xml:space="preserve"> G12C and </w:t>
      </w:r>
      <w:r w:rsidR="008D4050" w:rsidRPr="00AC372A">
        <w:rPr>
          <w:i/>
        </w:rPr>
        <w:t>KRAS</w:t>
      </w:r>
      <w:r w:rsidR="008D4050" w:rsidRPr="00AC372A">
        <w:t xml:space="preserve"> G12D</w:t>
      </w:r>
      <w:r w:rsidR="008D4050">
        <w:t xml:space="preserve"> included in the </w:t>
      </w:r>
      <w:r w:rsidR="008D4050" w:rsidRPr="008C262D">
        <w:rPr>
          <w:snapToGrid w:val="0"/>
        </w:rPr>
        <w:t>SeraCare Seraseq ctDNA complete reference material</w:t>
      </w:r>
      <w:r w:rsidR="00EC5FAA">
        <w:rPr>
          <w:snapToGrid w:val="0"/>
        </w:rPr>
        <w:t xml:space="preserve">. </w:t>
      </w:r>
      <w:proofErr w:type="gramStart"/>
      <w:r w:rsidR="00EC5FAA">
        <w:rPr>
          <w:snapToGrid w:val="0"/>
        </w:rPr>
        <w:t>ddPCR</w:t>
      </w:r>
      <w:proofErr w:type="gramEnd"/>
      <w:r w:rsidR="00EC5FAA">
        <w:rPr>
          <w:snapToGrid w:val="0"/>
        </w:rPr>
        <w:t xml:space="preserve"> was performed </w:t>
      </w:r>
      <w:r w:rsidR="00EC5FAA" w:rsidRPr="00F43AD8">
        <w:rPr>
          <w:snapToGrid w:val="0"/>
        </w:rPr>
        <w:t>with 2 ng</w:t>
      </w:r>
      <w:r w:rsidR="00EC5FAA">
        <w:rPr>
          <w:snapToGrid w:val="0"/>
        </w:rPr>
        <w:t xml:space="preserve">, </w:t>
      </w:r>
      <w:r w:rsidR="00EC5FAA" w:rsidRPr="00F43AD8">
        <w:rPr>
          <w:snapToGrid w:val="0"/>
        </w:rPr>
        <w:t>4 ng and 8 ng</w:t>
      </w:r>
      <w:r w:rsidR="00EC5FAA">
        <w:rPr>
          <w:snapToGrid w:val="0"/>
        </w:rPr>
        <w:t xml:space="preserve"> input mass</w:t>
      </w:r>
      <w:r w:rsidR="009574FB">
        <w:rPr>
          <w:snapToGrid w:val="0"/>
        </w:rPr>
        <w:t xml:space="preserve"> and performed at two sites: (</w:t>
      </w:r>
      <w:r w:rsidR="009574FB" w:rsidRPr="00990567">
        <w:rPr>
          <w:b/>
          <w:snapToGrid w:val="0"/>
        </w:rPr>
        <w:t>A</w:t>
      </w:r>
      <w:r w:rsidR="009574FB">
        <w:rPr>
          <w:snapToGrid w:val="0"/>
        </w:rPr>
        <w:t>) Bayer and (</w:t>
      </w:r>
      <w:r w:rsidR="009574FB" w:rsidRPr="00990567">
        <w:rPr>
          <w:b/>
          <w:snapToGrid w:val="0"/>
        </w:rPr>
        <w:t>B</w:t>
      </w:r>
      <w:r w:rsidR="009574FB">
        <w:rPr>
          <w:snapToGrid w:val="0"/>
        </w:rPr>
        <w:t>) UMCG</w:t>
      </w:r>
      <w:r w:rsidR="00EC5FAA">
        <w:rPr>
          <w:snapToGrid w:val="0"/>
        </w:rPr>
        <w:t>.</w:t>
      </w:r>
      <w:r w:rsidR="00990567">
        <w:rPr>
          <w:snapToGrid w:val="0"/>
        </w:rPr>
        <w:t xml:space="preserve"> </w:t>
      </w:r>
      <w:r w:rsidR="00EC5FAA">
        <w:rPr>
          <w:snapToGrid w:val="0"/>
        </w:rPr>
        <w:t>Lower input amounts resulted in a lower precision of variant calls.</w:t>
      </w:r>
    </w:p>
    <w:p w14:paraId="6524E230" w14:textId="77777777" w:rsidR="00F43AD8" w:rsidRPr="00F43AD8" w:rsidRDefault="00F43AD8" w:rsidP="00E70995">
      <w:pPr>
        <w:adjustRightInd w:val="0"/>
        <w:snapToGrid w:val="0"/>
        <w:jc w:val="both"/>
        <w:rPr>
          <w:rFonts w:ascii="Palatino Linotype" w:eastAsia="Times New Roman" w:hAnsi="Palatino Linotype"/>
          <w:iCs/>
          <w:snapToGrid w:val="0"/>
          <w:color w:val="000000"/>
          <w:sz w:val="20"/>
          <w:lang w:val="en-US" w:eastAsia="de-DE" w:bidi="en-US"/>
        </w:rPr>
      </w:pPr>
    </w:p>
    <w:p w14:paraId="530629C5" w14:textId="77777777" w:rsidR="00152874" w:rsidRDefault="00152874" w:rsidP="00E70995">
      <w:pPr>
        <w:suppressAutoHyphens w:val="0"/>
        <w:adjustRightInd w:val="0"/>
        <w:snapToGrid w:val="0"/>
        <w:rPr>
          <w:rFonts w:ascii="Palatino Linotype" w:eastAsia="Times New Roman" w:hAnsi="Palatino Linotype"/>
          <w:b/>
          <w:iCs/>
          <w:snapToGrid w:val="0"/>
          <w:color w:val="000000"/>
          <w:sz w:val="20"/>
          <w:lang w:val="en-US" w:eastAsia="de-DE" w:bidi="en-US"/>
        </w:rPr>
      </w:pPr>
      <w:r>
        <w:rPr>
          <w:rFonts w:ascii="Palatino Linotype" w:eastAsia="Times New Roman" w:hAnsi="Palatino Linotype"/>
          <w:b/>
          <w:iCs/>
          <w:snapToGrid w:val="0"/>
          <w:color w:val="000000"/>
          <w:sz w:val="20"/>
          <w:lang w:val="en-US" w:eastAsia="de-DE" w:bidi="en-US"/>
        </w:rPr>
        <w:br w:type="page"/>
      </w:r>
    </w:p>
    <w:p w14:paraId="2E7D5EB5" w14:textId="77777777" w:rsidR="00EC6D1E" w:rsidRDefault="00404DF1" w:rsidP="00E70995">
      <w:pPr>
        <w:pStyle w:val="MDPI52figure"/>
      </w:pPr>
      <w:r>
        <w:rPr>
          <w:noProof/>
        </w:rPr>
        <w:lastRenderedPageBreak/>
        <w:drawing>
          <wp:inline distT="0" distB="0" distL="0" distR="0" wp14:anchorId="0B7AF9C5" wp14:editId="1211961F">
            <wp:extent cx="5632398" cy="3664136"/>
            <wp:effectExtent l="0" t="0" r="698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59689" cy="3681890"/>
                    </a:xfrm>
                    <a:prstGeom prst="rect">
                      <a:avLst/>
                    </a:prstGeom>
                    <a:noFill/>
                  </pic:spPr>
                </pic:pic>
              </a:graphicData>
            </a:graphic>
          </wp:inline>
        </w:drawing>
      </w:r>
    </w:p>
    <w:p w14:paraId="1AA70E10" w14:textId="3A5FE67A" w:rsidR="002E19C3" w:rsidRDefault="00E70995" w:rsidP="00E70995">
      <w:pPr>
        <w:pStyle w:val="MDPI51figurecaption"/>
        <w:rPr>
          <w:snapToGrid w:val="0"/>
        </w:rPr>
      </w:pPr>
      <w:bookmarkStart w:id="10" w:name="_Hlk40450596"/>
      <w:r w:rsidRPr="00E70995">
        <w:rPr>
          <w:b/>
          <w:snapToGrid w:val="0"/>
        </w:rPr>
        <w:t xml:space="preserve">Figure </w:t>
      </w:r>
      <w:r>
        <w:rPr>
          <w:b/>
          <w:snapToGrid w:val="0"/>
        </w:rPr>
        <w:t>S</w:t>
      </w:r>
      <w:r w:rsidRPr="00E70995">
        <w:rPr>
          <w:b/>
          <w:snapToGrid w:val="0"/>
        </w:rPr>
        <w:t xml:space="preserve">3. </w:t>
      </w:r>
      <w:r w:rsidR="00B525C2" w:rsidRPr="00E70995">
        <w:rPr>
          <w:snapToGrid w:val="0"/>
        </w:rPr>
        <w:t xml:space="preserve">Concordance of expected and observed </w:t>
      </w:r>
      <w:r w:rsidR="0082153B" w:rsidRPr="00E70995">
        <w:rPr>
          <w:snapToGrid w:val="0"/>
        </w:rPr>
        <w:t>v</w:t>
      </w:r>
      <w:r w:rsidR="00465C5E" w:rsidRPr="00E70995">
        <w:rPr>
          <w:snapToGrid w:val="0"/>
        </w:rPr>
        <w:t>ariant allele frequencies (</w:t>
      </w:r>
      <w:r w:rsidR="00B525C2" w:rsidRPr="00E70995">
        <w:rPr>
          <w:snapToGrid w:val="0"/>
        </w:rPr>
        <w:t>VAF</w:t>
      </w:r>
      <w:r w:rsidR="00465C5E" w:rsidRPr="00E70995">
        <w:rPr>
          <w:snapToGrid w:val="0"/>
        </w:rPr>
        <w:t>)</w:t>
      </w:r>
      <w:r w:rsidR="00B525C2" w:rsidRPr="00E70995">
        <w:rPr>
          <w:snapToGrid w:val="0"/>
        </w:rPr>
        <w:t>.</w:t>
      </w:r>
      <w:r w:rsidR="00152874" w:rsidRPr="00E70995">
        <w:rPr>
          <w:snapToGrid w:val="0"/>
        </w:rPr>
        <w:t xml:space="preserve"> </w:t>
      </w:r>
      <w:bookmarkEnd w:id="10"/>
      <w:r w:rsidR="00152874" w:rsidRPr="00E70995">
        <w:rPr>
          <w:snapToGrid w:val="0"/>
        </w:rPr>
        <w:t>Linear regression of VAF assessed with the various NGS mutation analysis platforms and the VAF</w:t>
      </w:r>
      <w:r w:rsidR="00152874">
        <w:rPr>
          <w:snapToGrid w:val="0"/>
        </w:rPr>
        <w:t xml:space="preserve"> reported from SeraCare</w:t>
      </w:r>
      <w:r w:rsidR="00F90FD1">
        <w:rPr>
          <w:snapToGrid w:val="0"/>
        </w:rPr>
        <w:t>. Lin´s c</w:t>
      </w:r>
      <w:r w:rsidR="00F90FD1" w:rsidRPr="00F90FD1">
        <w:rPr>
          <w:snapToGrid w:val="0"/>
        </w:rPr>
        <w:t>oncordance correlation coefficient</w:t>
      </w:r>
      <w:r w:rsidR="00F90FD1">
        <w:rPr>
          <w:snapToGrid w:val="0"/>
        </w:rPr>
        <w:t xml:space="preserve"> (pc) was calculated.</w:t>
      </w:r>
    </w:p>
    <w:p w14:paraId="15D33A28" w14:textId="77777777" w:rsidR="002E19C3" w:rsidRDefault="002E19C3" w:rsidP="00E70995">
      <w:pPr>
        <w:suppressAutoHyphens w:val="0"/>
        <w:adjustRightInd w:val="0"/>
        <w:snapToGrid w:val="0"/>
        <w:rPr>
          <w:rFonts w:ascii="Palatino Linotype" w:eastAsia="Times New Roman" w:hAnsi="Palatino Linotype"/>
          <w:iCs/>
          <w:snapToGrid w:val="0"/>
          <w:color w:val="000000"/>
          <w:sz w:val="20"/>
          <w:lang w:val="en-US" w:eastAsia="de-DE" w:bidi="en-US"/>
        </w:rPr>
      </w:pPr>
      <w:r>
        <w:rPr>
          <w:rFonts w:ascii="Palatino Linotype" w:eastAsia="Times New Roman" w:hAnsi="Palatino Linotype"/>
          <w:iCs/>
          <w:snapToGrid w:val="0"/>
          <w:color w:val="000000"/>
          <w:sz w:val="20"/>
          <w:lang w:val="en-US" w:eastAsia="de-DE" w:bidi="en-US"/>
        </w:rPr>
        <w:br w:type="page"/>
      </w:r>
    </w:p>
    <w:p w14:paraId="636AC8CD" w14:textId="77777777" w:rsidR="00F33A06" w:rsidRDefault="00FD13EA" w:rsidP="00E70995">
      <w:pPr>
        <w:adjustRightInd w:val="0"/>
        <w:snapToGrid w:val="0"/>
        <w:rPr>
          <w:rFonts w:ascii="Palatino Linotype" w:eastAsia="Times New Roman" w:hAnsi="Palatino Linotype"/>
          <w:b/>
          <w:iCs/>
          <w:snapToGrid w:val="0"/>
          <w:color w:val="000000"/>
          <w:sz w:val="20"/>
          <w:lang w:val="en-US" w:eastAsia="de-DE" w:bidi="en-US"/>
        </w:rPr>
      </w:pPr>
      <w:r>
        <w:rPr>
          <w:rFonts w:ascii="Palatino Linotype" w:eastAsia="Times New Roman" w:hAnsi="Palatino Linotype"/>
          <w:b/>
          <w:iCs/>
          <w:noProof/>
          <w:snapToGrid w:val="0"/>
          <w:color w:val="000000"/>
          <w:sz w:val="20"/>
          <w:lang w:val="en-US" w:eastAsia="zh-CN"/>
        </w:rPr>
        <w:lastRenderedPageBreak/>
        <w:drawing>
          <wp:inline distT="0" distB="0" distL="0" distR="0" wp14:anchorId="52B6683C" wp14:editId="205C38A7">
            <wp:extent cx="5530447" cy="4360545"/>
            <wp:effectExtent l="0" t="0" r="0" b="190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41228" cy="4369046"/>
                    </a:xfrm>
                    <a:prstGeom prst="rect">
                      <a:avLst/>
                    </a:prstGeom>
                    <a:noFill/>
                  </pic:spPr>
                </pic:pic>
              </a:graphicData>
            </a:graphic>
          </wp:inline>
        </w:drawing>
      </w:r>
    </w:p>
    <w:p w14:paraId="12A64A20" w14:textId="044AB9E7" w:rsidR="002E19C3" w:rsidRDefault="00E70995" w:rsidP="00E70995">
      <w:pPr>
        <w:pStyle w:val="MDPI51figurecaption"/>
        <w:rPr>
          <w:snapToGrid w:val="0"/>
        </w:rPr>
      </w:pPr>
      <w:bookmarkStart w:id="11" w:name="_Hlk40450583"/>
      <w:r w:rsidRPr="00E70995">
        <w:rPr>
          <w:b/>
          <w:snapToGrid w:val="0"/>
        </w:rPr>
        <w:t>Figure</w:t>
      </w:r>
      <w:r>
        <w:rPr>
          <w:b/>
          <w:snapToGrid w:val="0"/>
        </w:rPr>
        <w:t>S</w:t>
      </w:r>
      <w:r w:rsidRPr="00E70995">
        <w:rPr>
          <w:b/>
          <w:snapToGrid w:val="0"/>
        </w:rPr>
        <w:t xml:space="preserve">4. </w:t>
      </w:r>
      <w:r w:rsidR="00F33A06" w:rsidRPr="00E70995">
        <w:rPr>
          <w:snapToGrid w:val="0"/>
        </w:rPr>
        <w:t>Boxplots showing the distribution of variant allele frequencies (VAF) of variant calls that are not reported in the reference material</w:t>
      </w:r>
      <w:bookmarkEnd w:id="11"/>
      <w:r w:rsidR="00F33A06" w:rsidRPr="00E70995">
        <w:rPr>
          <w:snapToGrid w:val="0"/>
        </w:rPr>
        <w:t>.</w:t>
      </w:r>
      <w:r w:rsidR="00F33A06" w:rsidRPr="00630CB3">
        <w:rPr>
          <w:bCs/>
          <w:snapToGrid w:val="0"/>
        </w:rPr>
        <w:t xml:space="preserve"> Variants below with VAF </w:t>
      </w:r>
      <w:r w:rsidR="00F33A06">
        <w:rPr>
          <w:bCs/>
          <w:snapToGrid w:val="0"/>
        </w:rPr>
        <w:t>&lt;</w:t>
      </w:r>
      <w:r w:rsidR="00F33A06" w:rsidRPr="00630CB3">
        <w:rPr>
          <w:bCs/>
          <w:snapToGrid w:val="0"/>
        </w:rPr>
        <w:t>0.1% were excluded</w:t>
      </w:r>
      <w:r w:rsidR="00F33A06">
        <w:rPr>
          <w:bCs/>
          <w:snapToGrid w:val="0"/>
        </w:rPr>
        <w:t>. (</w:t>
      </w:r>
      <w:r w:rsidR="00F33A06" w:rsidRPr="00990567">
        <w:rPr>
          <w:b/>
          <w:bCs/>
          <w:snapToGrid w:val="0"/>
        </w:rPr>
        <w:t>A, B</w:t>
      </w:r>
      <w:r w:rsidR="00F33A06">
        <w:rPr>
          <w:bCs/>
          <w:snapToGrid w:val="0"/>
        </w:rPr>
        <w:t xml:space="preserve">) VAFs of putative false positive (FP) of the </w:t>
      </w:r>
      <w:r w:rsidR="005018B3">
        <w:rPr>
          <w:bCs/>
          <w:snapToGrid w:val="0"/>
        </w:rPr>
        <w:t>AVENIO</w:t>
      </w:r>
      <w:r w:rsidR="00F33A06">
        <w:rPr>
          <w:bCs/>
          <w:snapToGrid w:val="0"/>
        </w:rPr>
        <w:t xml:space="preserve"> Targeted kit with two sets of reference material </w:t>
      </w:r>
      <w:r w:rsidR="00990567">
        <w:rPr>
          <w:bCs/>
          <w:snapToGrid w:val="0"/>
        </w:rPr>
        <w:t>(</w:t>
      </w:r>
      <w:r w:rsidR="00F33A06" w:rsidRPr="00990567">
        <w:rPr>
          <w:b/>
          <w:bCs/>
          <w:snapToGrid w:val="0"/>
        </w:rPr>
        <w:t>C</w:t>
      </w:r>
      <w:r w:rsidR="00F33A06">
        <w:rPr>
          <w:bCs/>
          <w:snapToGrid w:val="0"/>
        </w:rPr>
        <w:t xml:space="preserve">) For the Oncomine assay high level variants that recurrently occurred due to </w:t>
      </w:r>
      <w:proofErr w:type="spellStart"/>
      <w:r w:rsidR="00F33A06">
        <w:rPr>
          <w:bCs/>
          <w:snapToGrid w:val="0"/>
        </w:rPr>
        <w:t>mispriming</w:t>
      </w:r>
      <w:proofErr w:type="spellEnd"/>
      <w:r w:rsidR="00F33A06">
        <w:rPr>
          <w:bCs/>
          <w:snapToGrid w:val="0"/>
        </w:rPr>
        <w:t xml:space="preserve"> were also filtered and are not represented in the</w:t>
      </w:r>
      <w:r w:rsidR="00EB4F7D">
        <w:rPr>
          <w:bCs/>
          <w:snapToGrid w:val="0"/>
        </w:rPr>
        <w:t xml:space="preserve"> p</w:t>
      </w:r>
      <w:r w:rsidR="00F33A06">
        <w:rPr>
          <w:bCs/>
          <w:snapToGrid w:val="0"/>
        </w:rPr>
        <w:t xml:space="preserve">lot. </w:t>
      </w:r>
      <w:r w:rsidR="00990567">
        <w:rPr>
          <w:bCs/>
          <w:snapToGrid w:val="0"/>
        </w:rPr>
        <w:t>(</w:t>
      </w:r>
      <w:r w:rsidR="00F33A06" w:rsidRPr="00990567">
        <w:rPr>
          <w:b/>
          <w:bCs/>
          <w:snapToGrid w:val="0"/>
        </w:rPr>
        <w:t>D</w:t>
      </w:r>
      <w:r w:rsidR="00F33A06">
        <w:rPr>
          <w:bCs/>
          <w:snapToGrid w:val="0"/>
        </w:rPr>
        <w:t xml:space="preserve">) </w:t>
      </w:r>
      <w:r w:rsidR="00990567">
        <w:rPr>
          <w:bCs/>
          <w:snapToGrid w:val="0"/>
        </w:rPr>
        <w:t>T</w:t>
      </w:r>
      <w:r w:rsidR="00F33A06">
        <w:rPr>
          <w:bCs/>
          <w:snapToGrid w:val="0"/>
        </w:rPr>
        <w:t xml:space="preserve">he </w:t>
      </w:r>
      <w:proofErr w:type="spellStart"/>
      <w:r w:rsidR="00F33A06">
        <w:rPr>
          <w:bCs/>
          <w:snapToGrid w:val="0"/>
        </w:rPr>
        <w:t>QIAseq</w:t>
      </w:r>
      <w:proofErr w:type="spellEnd"/>
      <w:r w:rsidR="00F33A06">
        <w:rPr>
          <w:bCs/>
          <w:snapToGrid w:val="0"/>
        </w:rPr>
        <w:t xml:space="preserve"> assay revealed the lowest FP rate, but with substantially higher VAF compared to the other assays.</w:t>
      </w:r>
    </w:p>
    <w:p w14:paraId="10766573" w14:textId="77777777" w:rsidR="00FD13EA" w:rsidRDefault="002E19C3" w:rsidP="00E70995">
      <w:pPr>
        <w:pStyle w:val="MDPI52figure"/>
      </w:pPr>
      <w:r>
        <w:br w:type="page"/>
      </w:r>
      <w:r w:rsidR="00FD13EA">
        <w:rPr>
          <w:noProof/>
          <w:lang w:eastAsia="zh-CN"/>
        </w:rPr>
        <w:lastRenderedPageBreak/>
        <w:drawing>
          <wp:inline distT="0" distB="0" distL="0" distR="0" wp14:anchorId="66BB6254" wp14:editId="3DB8282D">
            <wp:extent cx="5695592" cy="4381819"/>
            <wp:effectExtent l="0" t="0" r="635"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05013" cy="4389067"/>
                    </a:xfrm>
                    <a:prstGeom prst="rect">
                      <a:avLst/>
                    </a:prstGeom>
                    <a:noFill/>
                  </pic:spPr>
                </pic:pic>
              </a:graphicData>
            </a:graphic>
          </wp:inline>
        </w:drawing>
      </w:r>
    </w:p>
    <w:p w14:paraId="291EAC9E" w14:textId="3411C6A4" w:rsidR="003007A7" w:rsidRDefault="00E70995" w:rsidP="00E70995">
      <w:pPr>
        <w:pStyle w:val="MDPI51figurecaption"/>
        <w:rPr>
          <w:snapToGrid w:val="0"/>
        </w:rPr>
      </w:pPr>
      <w:bookmarkStart w:id="12" w:name="_Hlk40450569"/>
      <w:r w:rsidRPr="00E70995">
        <w:rPr>
          <w:b/>
          <w:snapToGrid w:val="0"/>
        </w:rPr>
        <w:t xml:space="preserve">Figure </w:t>
      </w:r>
      <w:r>
        <w:rPr>
          <w:b/>
          <w:snapToGrid w:val="0"/>
        </w:rPr>
        <w:t>S</w:t>
      </w:r>
      <w:r w:rsidRPr="00E70995">
        <w:rPr>
          <w:b/>
          <w:snapToGrid w:val="0"/>
        </w:rPr>
        <w:t>5.</w:t>
      </w:r>
      <w:r w:rsidRPr="00990567">
        <w:rPr>
          <w:snapToGrid w:val="0"/>
        </w:rPr>
        <w:t xml:space="preserve"> </w:t>
      </w:r>
      <w:r w:rsidR="003007A7" w:rsidRPr="00E70995">
        <w:rPr>
          <w:snapToGrid w:val="0"/>
        </w:rPr>
        <w:t xml:space="preserve">Positions with recurrent false positive </w:t>
      </w:r>
      <w:r w:rsidR="003876C3" w:rsidRPr="00E70995">
        <w:rPr>
          <w:snapToGrid w:val="0"/>
        </w:rPr>
        <w:t xml:space="preserve">variant </w:t>
      </w:r>
      <w:r w:rsidR="003007A7" w:rsidRPr="00E70995">
        <w:rPr>
          <w:snapToGrid w:val="0"/>
        </w:rPr>
        <w:t>calls.</w:t>
      </w:r>
      <w:r w:rsidR="003007A7" w:rsidRPr="00990567">
        <w:rPr>
          <w:snapToGrid w:val="0"/>
        </w:rPr>
        <w:t xml:space="preserve"> </w:t>
      </w:r>
      <w:bookmarkEnd w:id="12"/>
      <w:r w:rsidR="003007A7">
        <w:rPr>
          <w:snapToGrid w:val="0"/>
        </w:rPr>
        <w:t xml:space="preserve">Plotted </w:t>
      </w:r>
      <w:r w:rsidR="005A6B3B">
        <w:rPr>
          <w:snapToGrid w:val="0"/>
        </w:rPr>
        <w:t xml:space="preserve">are </w:t>
      </w:r>
      <w:r w:rsidR="003007A7">
        <w:rPr>
          <w:snapToGrid w:val="0"/>
        </w:rPr>
        <w:t xml:space="preserve">putative false positive </w:t>
      </w:r>
      <w:r w:rsidR="001A0D20">
        <w:rPr>
          <w:snapToGrid w:val="0"/>
        </w:rPr>
        <w:t xml:space="preserve">(FP) </w:t>
      </w:r>
      <w:r w:rsidR="003007A7">
        <w:rPr>
          <w:snapToGrid w:val="0"/>
        </w:rPr>
        <w:t>variants with their respective variant alle</w:t>
      </w:r>
      <w:r w:rsidR="001A0D20">
        <w:rPr>
          <w:snapToGrid w:val="0"/>
        </w:rPr>
        <w:t>le frequency</w:t>
      </w:r>
      <w:r w:rsidR="003007A7">
        <w:rPr>
          <w:snapToGrid w:val="0"/>
        </w:rPr>
        <w:t xml:space="preserve"> </w:t>
      </w:r>
      <w:r w:rsidR="005A6B3B">
        <w:rPr>
          <w:snapToGrid w:val="0"/>
        </w:rPr>
        <w:t xml:space="preserve">(VAF) </w:t>
      </w:r>
      <w:r w:rsidR="003007A7">
        <w:rPr>
          <w:snapToGrid w:val="0"/>
        </w:rPr>
        <w:t>that were</w:t>
      </w:r>
      <w:r w:rsidR="001A0D20">
        <w:rPr>
          <w:snapToGrid w:val="0"/>
        </w:rPr>
        <w:t xml:space="preserve"> observed in two or more samples of the reference material</w:t>
      </w:r>
      <w:r w:rsidR="005A6B3B">
        <w:rPr>
          <w:snapToGrid w:val="0"/>
        </w:rPr>
        <w:t>s (2%, 1%, 0.5%, 0.25%, 0.125% and WT for</w:t>
      </w:r>
      <w:r w:rsidR="00990567">
        <w:rPr>
          <w:snapToGrid w:val="0"/>
        </w:rPr>
        <w:t xml:space="preserve"> </w:t>
      </w:r>
      <w:proofErr w:type="spellStart"/>
      <w:r w:rsidR="005A6B3B">
        <w:rPr>
          <w:snapToGrid w:val="0"/>
        </w:rPr>
        <w:t>Seraseq</w:t>
      </w:r>
      <w:proofErr w:type="spellEnd"/>
      <w:r w:rsidR="00FA331B">
        <w:rPr>
          <w:snapToGrid w:val="0"/>
        </w:rPr>
        <w:t xml:space="preserve"> </w:t>
      </w:r>
      <w:proofErr w:type="spellStart"/>
      <w:r w:rsidR="00FA331B">
        <w:rPr>
          <w:snapToGrid w:val="0"/>
        </w:rPr>
        <w:t>ctDNA</w:t>
      </w:r>
      <w:proofErr w:type="spellEnd"/>
      <w:r w:rsidR="00FA331B">
        <w:rPr>
          <w:snapToGrid w:val="0"/>
        </w:rPr>
        <w:t xml:space="preserve"> reference material v2 and 5%, 2%, 1%, 0.5%, 0.1% and WT for the Seraseq ctDNA Complete reference</w:t>
      </w:r>
      <w:r w:rsidR="003876C3">
        <w:rPr>
          <w:snapToGrid w:val="0"/>
        </w:rPr>
        <w:t>)</w:t>
      </w:r>
      <w:r w:rsidR="001A0D20">
        <w:rPr>
          <w:snapToGrid w:val="0"/>
        </w:rPr>
        <w:t>. For</w:t>
      </w:r>
      <w:r w:rsidR="003007A7">
        <w:rPr>
          <w:snapToGrid w:val="0"/>
        </w:rPr>
        <w:t xml:space="preserve"> </w:t>
      </w:r>
      <w:r w:rsidR="005018B3">
        <w:rPr>
          <w:snapToGrid w:val="0"/>
        </w:rPr>
        <w:t>AVENIO</w:t>
      </w:r>
      <w:r w:rsidR="003007A7">
        <w:rPr>
          <w:snapToGrid w:val="0"/>
        </w:rPr>
        <w:t xml:space="preserve"> (</w:t>
      </w:r>
      <w:r w:rsidR="003007A7" w:rsidRPr="00990567">
        <w:rPr>
          <w:b/>
          <w:snapToGrid w:val="0"/>
        </w:rPr>
        <w:t>A, B</w:t>
      </w:r>
      <w:r w:rsidR="003007A7">
        <w:rPr>
          <w:snapToGrid w:val="0"/>
        </w:rPr>
        <w:t>) and QIAseq (</w:t>
      </w:r>
      <w:r w:rsidR="003007A7" w:rsidRPr="00990567">
        <w:rPr>
          <w:b/>
          <w:snapToGrid w:val="0"/>
        </w:rPr>
        <w:t>D</w:t>
      </w:r>
      <w:r w:rsidR="003007A7">
        <w:rPr>
          <w:snapToGrid w:val="0"/>
        </w:rPr>
        <w:t xml:space="preserve">) </w:t>
      </w:r>
      <w:r w:rsidR="001A0D20">
        <w:rPr>
          <w:snapToGrid w:val="0"/>
        </w:rPr>
        <w:t>FP</w:t>
      </w:r>
      <w:r w:rsidR="003007A7">
        <w:rPr>
          <w:snapToGrid w:val="0"/>
        </w:rPr>
        <w:t xml:space="preserve"> calls that occur in two or more samples a</w:t>
      </w:r>
      <w:r w:rsidR="00EB4F7D">
        <w:rPr>
          <w:snapToGrid w:val="0"/>
        </w:rPr>
        <w:t>re</w:t>
      </w:r>
      <w:r w:rsidR="003007A7">
        <w:rPr>
          <w:snapToGrid w:val="0"/>
        </w:rPr>
        <w:t xml:space="preserve"> plotted. For Oncomine (</w:t>
      </w:r>
      <w:r w:rsidR="003007A7" w:rsidRPr="00990567">
        <w:rPr>
          <w:b/>
          <w:snapToGrid w:val="0"/>
        </w:rPr>
        <w:t>C</w:t>
      </w:r>
      <w:r w:rsidR="003007A7">
        <w:rPr>
          <w:snapToGrid w:val="0"/>
        </w:rPr>
        <w:t xml:space="preserve">) </w:t>
      </w:r>
      <w:r w:rsidR="001A0D20">
        <w:rPr>
          <w:snapToGrid w:val="0"/>
        </w:rPr>
        <w:t>only FP</w:t>
      </w:r>
      <w:r w:rsidR="003007A7">
        <w:rPr>
          <w:snapToGrid w:val="0"/>
        </w:rPr>
        <w:t xml:space="preserve"> that occur in three or more samples a</w:t>
      </w:r>
      <w:r w:rsidR="00EB4F7D">
        <w:rPr>
          <w:snapToGrid w:val="0"/>
        </w:rPr>
        <w:t>re</w:t>
      </w:r>
      <w:r w:rsidR="003007A7">
        <w:rPr>
          <w:snapToGrid w:val="0"/>
        </w:rPr>
        <w:t xml:space="preserve"> plotted.</w:t>
      </w:r>
    </w:p>
    <w:p w14:paraId="18D0F9F3" w14:textId="77777777" w:rsidR="0084082F" w:rsidRDefault="0084082F" w:rsidP="00E70995">
      <w:pPr>
        <w:adjustRightInd w:val="0"/>
        <w:snapToGrid w:val="0"/>
        <w:rPr>
          <w:rFonts w:ascii="Palatino Linotype" w:eastAsia="Times New Roman" w:hAnsi="Palatino Linotype"/>
          <w:iCs/>
          <w:snapToGrid w:val="0"/>
          <w:color w:val="000000"/>
          <w:sz w:val="20"/>
          <w:lang w:val="en-US" w:eastAsia="de-DE" w:bidi="en-US"/>
        </w:rPr>
      </w:pPr>
    </w:p>
    <w:p w14:paraId="24119CDF" w14:textId="77777777" w:rsidR="005E37BC" w:rsidRDefault="005E37BC" w:rsidP="00E70995">
      <w:pPr>
        <w:adjustRightInd w:val="0"/>
        <w:snapToGrid w:val="0"/>
        <w:rPr>
          <w:rFonts w:ascii="Palatino Linotype" w:eastAsia="Times New Roman" w:hAnsi="Palatino Linotype"/>
          <w:b/>
          <w:iCs/>
          <w:snapToGrid w:val="0"/>
          <w:color w:val="000000"/>
          <w:sz w:val="20"/>
          <w:lang w:val="en-US" w:eastAsia="de-DE" w:bidi="en-US"/>
        </w:rPr>
      </w:pPr>
    </w:p>
    <w:p w14:paraId="52BBD653" w14:textId="77777777" w:rsidR="005E37BC" w:rsidRDefault="005E37BC" w:rsidP="00E70995">
      <w:pPr>
        <w:adjustRightInd w:val="0"/>
        <w:snapToGrid w:val="0"/>
        <w:rPr>
          <w:rFonts w:ascii="Palatino Linotype" w:eastAsia="Times New Roman" w:hAnsi="Palatino Linotype"/>
          <w:b/>
          <w:iCs/>
          <w:snapToGrid w:val="0"/>
          <w:color w:val="000000"/>
          <w:sz w:val="20"/>
          <w:lang w:val="en-US" w:eastAsia="de-DE" w:bidi="en-US"/>
        </w:rPr>
      </w:pPr>
    </w:p>
    <w:p w14:paraId="0B1A1AA7" w14:textId="77777777" w:rsidR="005E37BC" w:rsidRDefault="005E37BC" w:rsidP="00E70995">
      <w:pPr>
        <w:adjustRightInd w:val="0"/>
        <w:snapToGrid w:val="0"/>
        <w:rPr>
          <w:rFonts w:ascii="Palatino Linotype" w:eastAsia="Times New Roman" w:hAnsi="Palatino Linotype"/>
          <w:b/>
          <w:iCs/>
          <w:snapToGrid w:val="0"/>
          <w:color w:val="000000"/>
          <w:sz w:val="20"/>
          <w:lang w:val="en-US" w:eastAsia="de-DE" w:bidi="en-US"/>
        </w:rPr>
      </w:pPr>
    </w:p>
    <w:p w14:paraId="037D2CBF" w14:textId="77777777" w:rsidR="005E37BC" w:rsidRDefault="005E37BC" w:rsidP="00E70995">
      <w:pPr>
        <w:adjustRightInd w:val="0"/>
        <w:snapToGrid w:val="0"/>
        <w:rPr>
          <w:rFonts w:ascii="Palatino Linotype" w:eastAsia="Times New Roman" w:hAnsi="Palatino Linotype"/>
          <w:b/>
          <w:iCs/>
          <w:snapToGrid w:val="0"/>
          <w:color w:val="000000"/>
          <w:sz w:val="20"/>
          <w:lang w:val="en-US" w:eastAsia="de-DE" w:bidi="en-US"/>
        </w:rPr>
      </w:pPr>
    </w:p>
    <w:p w14:paraId="742A5813" w14:textId="77777777" w:rsidR="005E37BC" w:rsidRDefault="005E37BC" w:rsidP="00E70995">
      <w:pPr>
        <w:adjustRightInd w:val="0"/>
        <w:snapToGrid w:val="0"/>
        <w:rPr>
          <w:rFonts w:ascii="Palatino Linotype" w:eastAsia="Times New Roman" w:hAnsi="Palatino Linotype"/>
          <w:b/>
          <w:iCs/>
          <w:snapToGrid w:val="0"/>
          <w:color w:val="000000"/>
          <w:sz w:val="20"/>
          <w:lang w:val="en-US" w:eastAsia="de-DE" w:bidi="en-US"/>
        </w:rPr>
      </w:pPr>
    </w:p>
    <w:p w14:paraId="1781D60D" w14:textId="77777777" w:rsidR="005E37BC" w:rsidRDefault="005E37BC" w:rsidP="00E70995">
      <w:pPr>
        <w:adjustRightInd w:val="0"/>
        <w:snapToGrid w:val="0"/>
        <w:rPr>
          <w:rFonts w:ascii="Palatino Linotype" w:eastAsia="Times New Roman" w:hAnsi="Palatino Linotype"/>
          <w:b/>
          <w:iCs/>
          <w:snapToGrid w:val="0"/>
          <w:color w:val="000000"/>
          <w:sz w:val="20"/>
          <w:lang w:val="en-US" w:eastAsia="de-DE" w:bidi="en-US"/>
        </w:rPr>
      </w:pPr>
    </w:p>
    <w:p w14:paraId="6AFD8204" w14:textId="77777777" w:rsidR="005E37BC" w:rsidRDefault="005E37BC" w:rsidP="00E70995">
      <w:pPr>
        <w:adjustRightInd w:val="0"/>
        <w:snapToGrid w:val="0"/>
        <w:rPr>
          <w:rFonts w:ascii="Palatino Linotype" w:eastAsia="Times New Roman" w:hAnsi="Palatino Linotype"/>
          <w:b/>
          <w:iCs/>
          <w:snapToGrid w:val="0"/>
          <w:color w:val="000000"/>
          <w:sz w:val="20"/>
          <w:lang w:val="en-US" w:eastAsia="de-DE" w:bidi="en-US"/>
        </w:rPr>
      </w:pPr>
    </w:p>
    <w:p w14:paraId="1A71D6BB" w14:textId="77777777" w:rsidR="005E37BC" w:rsidRDefault="005E37BC" w:rsidP="00E70995">
      <w:pPr>
        <w:adjustRightInd w:val="0"/>
        <w:snapToGrid w:val="0"/>
        <w:rPr>
          <w:rFonts w:ascii="Palatino Linotype" w:eastAsia="Times New Roman" w:hAnsi="Palatino Linotype"/>
          <w:b/>
          <w:iCs/>
          <w:snapToGrid w:val="0"/>
          <w:color w:val="000000"/>
          <w:sz w:val="20"/>
          <w:lang w:val="en-US" w:eastAsia="de-DE" w:bidi="en-US"/>
        </w:rPr>
      </w:pPr>
    </w:p>
    <w:p w14:paraId="1C478067" w14:textId="77777777" w:rsidR="005E37BC" w:rsidRDefault="005E37BC" w:rsidP="00E70995">
      <w:pPr>
        <w:adjustRightInd w:val="0"/>
        <w:snapToGrid w:val="0"/>
        <w:rPr>
          <w:rFonts w:ascii="Palatino Linotype" w:eastAsia="Times New Roman" w:hAnsi="Palatino Linotype"/>
          <w:b/>
          <w:iCs/>
          <w:snapToGrid w:val="0"/>
          <w:color w:val="000000"/>
          <w:sz w:val="20"/>
          <w:lang w:val="en-US" w:eastAsia="de-DE" w:bidi="en-US"/>
        </w:rPr>
      </w:pPr>
    </w:p>
    <w:p w14:paraId="7E15B94B" w14:textId="77777777" w:rsidR="005E37BC" w:rsidRDefault="005E37BC" w:rsidP="00E70995">
      <w:pPr>
        <w:adjustRightInd w:val="0"/>
        <w:snapToGrid w:val="0"/>
        <w:rPr>
          <w:rFonts w:ascii="Palatino Linotype" w:eastAsia="Times New Roman" w:hAnsi="Palatino Linotype"/>
          <w:b/>
          <w:iCs/>
          <w:snapToGrid w:val="0"/>
          <w:color w:val="000000"/>
          <w:sz w:val="20"/>
          <w:lang w:val="en-US" w:eastAsia="de-DE" w:bidi="en-US"/>
        </w:rPr>
      </w:pPr>
    </w:p>
    <w:p w14:paraId="22727632" w14:textId="77777777" w:rsidR="001C68F8" w:rsidRDefault="001C68F8" w:rsidP="00E70995">
      <w:pPr>
        <w:adjustRightInd w:val="0"/>
        <w:snapToGrid w:val="0"/>
        <w:jc w:val="both"/>
        <w:rPr>
          <w:rFonts w:ascii="Palatino Linotype" w:eastAsia="Times New Roman" w:hAnsi="Palatino Linotype"/>
          <w:b/>
          <w:iCs/>
          <w:snapToGrid w:val="0"/>
          <w:color w:val="000000"/>
          <w:sz w:val="20"/>
          <w:lang w:val="en-US" w:eastAsia="de-DE" w:bidi="en-US"/>
        </w:rPr>
      </w:pPr>
    </w:p>
    <w:p w14:paraId="18791195" w14:textId="77777777" w:rsidR="00E70995" w:rsidRDefault="00635183" w:rsidP="00E70995">
      <w:pPr>
        <w:pStyle w:val="MDPI52figure"/>
        <w:rPr>
          <w:b/>
        </w:rPr>
      </w:pPr>
      <w:r>
        <w:rPr>
          <w:b/>
          <w:noProof/>
          <w:lang w:eastAsia="zh-CN"/>
        </w:rPr>
        <w:lastRenderedPageBreak/>
        <w:drawing>
          <wp:inline distT="0" distB="0" distL="0" distR="0" wp14:anchorId="5CEA2342" wp14:editId="1D577DCF">
            <wp:extent cx="5643845" cy="3607670"/>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660412" cy="3618260"/>
                    </a:xfrm>
                    <a:prstGeom prst="rect">
                      <a:avLst/>
                    </a:prstGeom>
                    <a:noFill/>
                  </pic:spPr>
                </pic:pic>
              </a:graphicData>
            </a:graphic>
          </wp:inline>
        </w:drawing>
      </w:r>
      <w:bookmarkStart w:id="13" w:name="_Hlk40450549"/>
    </w:p>
    <w:p w14:paraId="1C2D310F" w14:textId="414AE670" w:rsidR="003876C3" w:rsidRDefault="00E70995" w:rsidP="00E70995">
      <w:pPr>
        <w:pStyle w:val="MDPI51figurecaption"/>
      </w:pPr>
      <w:r w:rsidRPr="00E70995">
        <w:rPr>
          <w:b/>
        </w:rPr>
        <w:t xml:space="preserve">Figure </w:t>
      </w:r>
      <w:r>
        <w:rPr>
          <w:b/>
        </w:rPr>
        <w:t>S</w:t>
      </w:r>
      <w:r w:rsidRPr="00E70995">
        <w:rPr>
          <w:b/>
        </w:rPr>
        <w:t xml:space="preserve">6. </w:t>
      </w:r>
      <w:r w:rsidR="00630CB3" w:rsidRPr="00E70995">
        <w:rPr>
          <w:snapToGrid w:val="0"/>
        </w:rPr>
        <w:t>Summary of false positive</w:t>
      </w:r>
      <w:r w:rsidR="00A903CB" w:rsidRPr="00E70995">
        <w:rPr>
          <w:snapToGrid w:val="0"/>
        </w:rPr>
        <w:t xml:space="preserve"> (FP)</w:t>
      </w:r>
      <w:r w:rsidR="00630CB3" w:rsidRPr="00E70995">
        <w:rPr>
          <w:snapToGrid w:val="0"/>
        </w:rPr>
        <w:t xml:space="preserve"> variant calls.</w:t>
      </w:r>
      <w:bookmarkEnd w:id="13"/>
      <w:r w:rsidR="00630CB3">
        <w:rPr>
          <w:b/>
          <w:snapToGrid w:val="0"/>
        </w:rPr>
        <w:t xml:space="preserve"> </w:t>
      </w:r>
      <w:r>
        <w:rPr>
          <w:b/>
          <w:snapToGrid w:val="0"/>
        </w:rPr>
        <w:t>(</w:t>
      </w:r>
      <w:r w:rsidR="00630CB3">
        <w:rPr>
          <w:b/>
          <w:snapToGrid w:val="0"/>
        </w:rPr>
        <w:t>A</w:t>
      </w:r>
      <w:r>
        <w:rPr>
          <w:b/>
          <w:snapToGrid w:val="0"/>
        </w:rPr>
        <w:t>–</w:t>
      </w:r>
      <w:r w:rsidR="00630CB3">
        <w:rPr>
          <w:b/>
          <w:snapToGrid w:val="0"/>
        </w:rPr>
        <w:t>D</w:t>
      </w:r>
      <w:r w:rsidR="00990567">
        <w:rPr>
          <w:b/>
          <w:snapToGrid w:val="0"/>
        </w:rPr>
        <w:t>)</w:t>
      </w:r>
      <w:r w:rsidR="00630CB3">
        <w:rPr>
          <w:b/>
          <w:snapToGrid w:val="0"/>
        </w:rPr>
        <w:t xml:space="preserve"> </w:t>
      </w:r>
      <w:r w:rsidR="00630CB3" w:rsidRPr="00630CB3">
        <w:rPr>
          <w:snapToGrid w:val="0"/>
        </w:rPr>
        <w:t>Upper left panels: B</w:t>
      </w:r>
      <w:r w:rsidR="00DC43A2" w:rsidRPr="00630CB3">
        <w:rPr>
          <w:snapToGrid w:val="0"/>
        </w:rPr>
        <w:t>oxplots</w:t>
      </w:r>
      <w:r w:rsidR="00DC43A2" w:rsidRPr="00765D29">
        <w:rPr>
          <w:snapToGrid w:val="0"/>
        </w:rPr>
        <w:t xml:space="preserve"> </w:t>
      </w:r>
      <w:r w:rsidR="00630CB3" w:rsidRPr="00630CB3">
        <w:rPr>
          <w:snapToGrid w:val="0"/>
        </w:rPr>
        <w:t xml:space="preserve">showing </w:t>
      </w:r>
      <w:r w:rsidR="00630CB3">
        <w:rPr>
          <w:snapToGrid w:val="0"/>
        </w:rPr>
        <w:t xml:space="preserve">the </w:t>
      </w:r>
      <w:r w:rsidR="00A903CB" w:rsidRPr="00630CB3">
        <w:rPr>
          <w:snapToGrid w:val="0"/>
        </w:rPr>
        <w:t xml:space="preserve">overall </w:t>
      </w:r>
      <w:r w:rsidR="00630CB3" w:rsidRPr="00630CB3">
        <w:rPr>
          <w:snapToGrid w:val="0"/>
        </w:rPr>
        <w:t>distribution</w:t>
      </w:r>
      <w:r w:rsidR="00A903CB">
        <w:rPr>
          <w:snapToGrid w:val="0"/>
        </w:rPr>
        <w:t xml:space="preserve"> of FP</w:t>
      </w:r>
      <w:r w:rsidR="003876C3">
        <w:rPr>
          <w:snapToGrid w:val="0"/>
        </w:rPr>
        <w:t xml:space="preserve"> variant call</w:t>
      </w:r>
      <w:r w:rsidR="00A903CB">
        <w:rPr>
          <w:snapToGrid w:val="0"/>
        </w:rPr>
        <w:t xml:space="preserve"> across all samples of the reference material</w:t>
      </w:r>
      <w:r w:rsidR="003876C3">
        <w:rPr>
          <w:snapToGrid w:val="0"/>
        </w:rPr>
        <w:t>s</w:t>
      </w:r>
      <w:r w:rsidR="00A903CB">
        <w:rPr>
          <w:snapToGrid w:val="0"/>
        </w:rPr>
        <w:t xml:space="preserve"> </w:t>
      </w:r>
      <w:r w:rsidR="003876C3">
        <w:rPr>
          <w:snapToGrid w:val="0"/>
        </w:rPr>
        <w:t>(2%, 1%, 0.5%, 0.25%, 0.125% and WT for</w:t>
      </w:r>
      <w:r w:rsidR="00990567">
        <w:rPr>
          <w:snapToGrid w:val="0"/>
        </w:rPr>
        <w:t xml:space="preserve"> </w:t>
      </w:r>
      <w:proofErr w:type="spellStart"/>
      <w:r w:rsidR="003876C3">
        <w:rPr>
          <w:snapToGrid w:val="0"/>
        </w:rPr>
        <w:t>Seraseq</w:t>
      </w:r>
      <w:proofErr w:type="spellEnd"/>
      <w:r w:rsidR="003876C3">
        <w:rPr>
          <w:snapToGrid w:val="0"/>
        </w:rPr>
        <w:t xml:space="preserve"> </w:t>
      </w:r>
      <w:proofErr w:type="spellStart"/>
      <w:r w:rsidR="003876C3">
        <w:rPr>
          <w:snapToGrid w:val="0"/>
        </w:rPr>
        <w:t>ctDNA</w:t>
      </w:r>
      <w:proofErr w:type="spellEnd"/>
      <w:r w:rsidR="003876C3">
        <w:rPr>
          <w:snapToGrid w:val="0"/>
        </w:rPr>
        <w:t xml:space="preserve"> reference material v2 and 5%, 2%, 1%, 0.5%, 0.1% and WT for the Seraseq ctDNA Complete reference) separated</w:t>
      </w:r>
      <w:r w:rsidR="00A903CB">
        <w:rPr>
          <w:snapToGrid w:val="0"/>
        </w:rPr>
        <w:t xml:space="preserve"> per </w:t>
      </w:r>
      <w:r w:rsidR="003876C3">
        <w:rPr>
          <w:snapToGrid w:val="0"/>
        </w:rPr>
        <w:t>variant</w:t>
      </w:r>
      <w:r w:rsidR="00A903CB">
        <w:rPr>
          <w:snapToGrid w:val="0"/>
        </w:rPr>
        <w:t xml:space="preserve"> class. </w:t>
      </w:r>
      <w:r w:rsidR="003876C3">
        <w:rPr>
          <w:snapToGrid w:val="0"/>
        </w:rPr>
        <w:t xml:space="preserve">While for the </w:t>
      </w:r>
      <w:r w:rsidR="005018B3">
        <w:rPr>
          <w:snapToGrid w:val="0"/>
        </w:rPr>
        <w:t>AVENIO</w:t>
      </w:r>
      <w:r w:rsidR="003876C3">
        <w:rPr>
          <w:snapToGrid w:val="0"/>
        </w:rPr>
        <w:t xml:space="preserve"> Targeted kit (</w:t>
      </w:r>
      <w:r w:rsidR="003876C3" w:rsidRPr="00990567">
        <w:rPr>
          <w:b/>
          <w:snapToGrid w:val="0"/>
        </w:rPr>
        <w:t>A</w:t>
      </w:r>
      <w:proofErr w:type="gramStart"/>
      <w:r w:rsidR="003876C3" w:rsidRPr="00990567">
        <w:rPr>
          <w:b/>
          <w:snapToGrid w:val="0"/>
        </w:rPr>
        <w:t>,B</w:t>
      </w:r>
      <w:proofErr w:type="gramEnd"/>
      <w:r w:rsidR="003876C3">
        <w:rPr>
          <w:snapToGrid w:val="0"/>
        </w:rPr>
        <w:t>) and the QIAseq assay (</w:t>
      </w:r>
      <w:r w:rsidR="003876C3" w:rsidRPr="00990567">
        <w:rPr>
          <w:b/>
          <w:snapToGrid w:val="0"/>
        </w:rPr>
        <w:t>D</w:t>
      </w:r>
      <w:r w:rsidR="003876C3">
        <w:rPr>
          <w:snapToGrid w:val="0"/>
        </w:rPr>
        <w:t>) C&gt;T transition were most commonly observed, most FP calls for the</w:t>
      </w:r>
      <w:r w:rsidR="00990567">
        <w:rPr>
          <w:snapToGrid w:val="0"/>
        </w:rPr>
        <w:t xml:space="preserve"> </w:t>
      </w:r>
      <w:proofErr w:type="spellStart"/>
      <w:r w:rsidR="003876C3">
        <w:rPr>
          <w:snapToGrid w:val="0"/>
        </w:rPr>
        <w:t>Oncomine</w:t>
      </w:r>
      <w:proofErr w:type="spellEnd"/>
      <w:r w:rsidR="003876C3">
        <w:rPr>
          <w:snapToGrid w:val="0"/>
        </w:rPr>
        <w:t xml:space="preserve"> assays were C&gt;A transversion, which is aloo reflected in the T</w:t>
      </w:r>
      <w:r w:rsidR="003876C3" w:rsidRPr="00CF6FB0">
        <w:rPr>
          <w:snapToGrid w:val="0"/>
        </w:rPr>
        <w:t>ransition/</w:t>
      </w:r>
      <w:proofErr w:type="spellStart"/>
      <w:r w:rsidR="003876C3" w:rsidRPr="00CF6FB0">
        <w:rPr>
          <w:snapToGrid w:val="0"/>
        </w:rPr>
        <w:t>transversion</w:t>
      </w:r>
      <w:proofErr w:type="spellEnd"/>
      <w:r w:rsidR="003876C3" w:rsidRPr="00CF6FB0">
        <w:rPr>
          <w:snapToGrid w:val="0"/>
        </w:rPr>
        <w:t xml:space="preserve"> (Ti/</w:t>
      </w:r>
      <w:proofErr w:type="spellStart"/>
      <w:r w:rsidR="003876C3" w:rsidRPr="00CF6FB0">
        <w:rPr>
          <w:snapToGrid w:val="0"/>
        </w:rPr>
        <w:t>Tv</w:t>
      </w:r>
      <w:proofErr w:type="spellEnd"/>
      <w:r w:rsidR="003876C3" w:rsidRPr="00CF6FB0">
        <w:rPr>
          <w:snapToGrid w:val="0"/>
        </w:rPr>
        <w:t>) ratios</w:t>
      </w:r>
      <w:r w:rsidR="003876C3">
        <w:rPr>
          <w:snapToGrid w:val="0"/>
        </w:rPr>
        <w:t xml:space="preserve"> (u</w:t>
      </w:r>
      <w:r w:rsidR="00A903CB">
        <w:rPr>
          <w:snapToGrid w:val="0"/>
        </w:rPr>
        <w:t>pper right panel</w:t>
      </w:r>
      <w:r w:rsidR="003876C3">
        <w:rPr>
          <w:snapToGrid w:val="0"/>
        </w:rPr>
        <w:t xml:space="preserve">). </w:t>
      </w:r>
      <w:r w:rsidR="00A903CB">
        <w:rPr>
          <w:snapToGrid w:val="0"/>
        </w:rPr>
        <w:t>S</w:t>
      </w:r>
      <w:r w:rsidR="00A903CB" w:rsidRPr="00630CB3">
        <w:rPr>
          <w:snapToGrid w:val="0"/>
        </w:rPr>
        <w:t xml:space="preserve">tacked </w:t>
      </w:r>
      <w:proofErr w:type="spellStart"/>
      <w:r w:rsidR="00A903CB" w:rsidRPr="00630CB3">
        <w:rPr>
          <w:snapToGrid w:val="0"/>
        </w:rPr>
        <w:t>barplot</w:t>
      </w:r>
      <w:r w:rsidR="00A903CB">
        <w:rPr>
          <w:snapToGrid w:val="0"/>
        </w:rPr>
        <w:t>s</w:t>
      </w:r>
      <w:proofErr w:type="spellEnd"/>
      <w:r w:rsidR="00A903CB" w:rsidRPr="00630CB3">
        <w:rPr>
          <w:snapToGrid w:val="0"/>
        </w:rPr>
        <w:t xml:space="preserve"> show </w:t>
      </w:r>
      <w:r w:rsidR="00A903CB">
        <w:rPr>
          <w:snapToGrid w:val="0"/>
        </w:rPr>
        <w:t xml:space="preserve">the </w:t>
      </w:r>
      <w:r w:rsidR="00A903CB" w:rsidRPr="00630CB3">
        <w:rPr>
          <w:snapToGrid w:val="0"/>
        </w:rPr>
        <w:t xml:space="preserve">fraction of conversions </w:t>
      </w:r>
      <w:r w:rsidR="003876C3">
        <w:rPr>
          <w:snapToGrid w:val="0"/>
        </w:rPr>
        <w:t xml:space="preserve">for </w:t>
      </w:r>
      <w:r w:rsidR="00A903CB" w:rsidRPr="00630CB3">
        <w:rPr>
          <w:snapToGrid w:val="0"/>
        </w:rPr>
        <w:t xml:space="preserve">each </w:t>
      </w:r>
      <w:r w:rsidR="00A25CAA">
        <w:rPr>
          <w:snapToGrid w:val="0"/>
        </w:rPr>
        <w:t>reference material</w:t>
      </w:r>
      <w:r w:rsidR="003876C3">
        <w:rPr>
          <w:snapToGrid w:val="0"/>
        </w:rPr>
        <w:t xml:space="preserve"> (lower panel)</w:t>
      </w:r>
      <w:r w:rsidR="00A25CAA">
        <w:t>.</w:t>
      </w:r>
    </w:p>
    <w:p w14:paraId="20DA41E9" w14:textId="77777777" w:rsidR="007F7219" w:rsidRDefault="007F7219" w:rsidP="00E70995">
      <w:pPr>
        <w:adjustRightInd w:val="0"/>
        <w:snapToGrid w:val="0"/>
        <w:jc w:val="both"/>
        <w:rPr>
          <w:rFonts w:ascii="Palatino Linotype" w:eastAsia="Times New Roman" w:hAnsi="Palatino Linotype"/>
          <w:bCs/>
          <w:iCs/>
          <w:snapToGrid w:val="0"/>
          <w:color w:val="000000"/>
          <w:sz w:val="20"/>
          <w:lang w:val="en-US" w:eastAsia="de-DE" w:bidi="en-US"/>
        </w:rPr>
      </w:pPr>
    </w:p>
    <w:p w14:paraId="79C71EF2" w14:textId="77777777" w:rsidR="007F7219" w:rsidRDefault="007F7219" w:rsidP="00E70995">
      <w:pPr>
        <w:adjustRightInd w:val="0"/>
        <w:snapToGrid w:val="0"/>
        <w:jc w:val="both"/>
        <w:rPr>
          <w:rFonts w:ascii="Palatino Linotype" w:eastAsia="Times New Roman" w:hAnsi="Palatino Linotype"/>
          <w:bCs/>
          <w:iCs/>
          <w:snapToGrid w:val="0"/>
          <w:color w:val="000000"/>
          <w:sz w:val="20"/>
          <w:lang w:val="en-US" w:eastAsia="de-DE" w:bidi="en-US"/>
        </w:rPr>
      </w:pPr>
    </w:p>
    <w:p w14:paraId="4D9F863B" w14:textId="77777777" w:rsidR="007F7219" w:rsidRDefault="007F7219" w:rsidP="00E70995">
      <w:pPr>
        <w:adjustRightInd w:val="0"/>
        <w:snapToGrid w:val="0"/>
        <w:jc w:val="both"/>
        <w:rPr>
          <w:rFonts w:ascii="Palatino Linotype" w:eastAsia="Times New Roman" w:hAnsi="Palatino Linotype"/>
          <w:bCs/>
          <w:iCs/>
          <w:snapToGrid w:val="0"/>
          <w:color w:val="000000"/>
          <w:sz w:val="20"/>
          <w:lang w:val="en-US" w:eastAsia="de-DE" w:bidi="en-US"/>
        </w:rPr>
      </w:pPr>
    </w:p>
    <w:p w14:paraId="5B9AFB8A" w14:textId="77777777" w:rsidR="007F7219" w:rsidRDefault="007F7219" w:rsidP="00E70995">
      <w:pPr>
        <w:adjustRightInd w:val="0"/>
        <w:snapToGrid w:val="0"/>
        <w:jc w:val="both"/>
        <w:rPr>
          <w:rFonts w:ascii="Palatino Linotype" w:eastAsia="Times New Roman" w:hAnsi="Palatino Linotype"/>
          <w:bCs/>
          <w:iCs/>
          <w:snapToGrid w:val="0"/>
          <w:color w:val="000000"/>
          <w:sz w:val="20"/>
          <w:lang w:val="en-US" w:eastAsia="de-DE" w:bidi="en-US"/>
        </w:rPr>
      </w:pPr>
    </w:p>
    <w:p w14:paraId="1230C90A" w14:textId="77777777" w:rsidR="007F7219" w:rsidRDefault="007F7219" w:rsidP="00E70995">
      <w:pPr>
        <w:adjustRightInd w:val="0"/>
        <w:snapToGrid w:val="0"/>
        <w:jc w:val="both"/>
        <w:rPr>
          <w:rFonts w:ascii="Palatino Linotype" w:eastAsia="Times New Roman" w:hAnsi="Palatino Linotype"/>
          <w:bCs/>
          <w:iCs/>
          <w:snapToGrid w:val="0"/>
          <w:color w:val="000000"/>
          <w:sz w:val="20"/>
          <w:lang w:val="en-US" w:eastAsia="de-DE" w:bidi="en-US"/>
        </w:rPr>
      </w:pPr>
    </w:p>
    <w:p w14:paraId="4FCBCCD7" w14:textId="77777777" w:rsidR="007F7219" w:rsidRDefault="007F7219" w:rsidP="00E70995">
      <w:pPr>
        <w:adjustRightInd w:val="0"/>
        <w:snapToGrid w:val="0"/>
        <w:jc w:val="both"/>
        <w:rPr>
          <w:rFonts w:ascii="Palatino Linotype" w:eastAsia="Times New Roman" w:hAnsi="Palatino Linotype"/>
          <w:bCs/>
          <w:iCs/>
          <w:snapToGrid w:val="0"/>
          <w:color w:val="000000"/>
          <w:sz w:val="20"/>
          <w:lang w:val="en-US" w:eastAsia="de-DE" w:bidi="en-US"/>
        </w:rPr>
      </w:pPr>
    </w:p>
    <w:p w14:paraId="7EC34B68" w14:textId="6A73DDA5" w:rsidR="007F7219" w:rsidRDefault="00EB797A" w:rsidP="00990567">
      <w:pPr>
        <w:pStyle w:val="MDPI52figure"/>
      </w:pPr>
      <w:r>
        <w:rPr>
          <w:noProof/>
        </w:rPr>
        <w:lastRenderedPageBreak/>
        <w:drawing>
          <wp:inline distT="0" distB="0" distL="0" distR="0" wp14:anchorId="43DD5E07" wp14:editId="7D246CF1">
            <wp:extent cx="5675137" cy="5693143"/>
            <wp:effectExtent l="0" t="0" r="1905" b="317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80452" cy="5698475"/>
                    </a:xfrm>
                    <a:prstGeom prst="rect">
                      <a:avLst/>
                    </a:prstGeom>
                    <a:noFill/>
                  </pic:spPr>
                </pic:pic>
              </a:graphicData>
            </a:graphic>
          </wp:inline>
        </w:drawing>
      </w:r>
    </w:p>
    <w:p w14:paraId="6F70F1BB" w14:textId="4AA41B46" w:rsidR="0076474D" w:rsidRDefault="00990567" w:rsidP="00990567">
      <w:pPr>
        <w:pStyle w:val="MDPI51figurecaption"/>
        <w:rPr>
          <w:snapToGrid w:val="0"/>
        </w:rPr>
      </w:pPr>
      <w:bookmarkStart w:id="14" w:name="_Hlk40450533"/>
      <w:r w:rsidRPr="00990567">
        <w:rPr>
          <w:b/>
          <w:snapToGrid w:val="0"/>
        </w:rPr>
        <w:t xml:space="preserve">Figure </w:t>
      </w:r>
      <w:r>
        <w:rPr>
          <w:b/>
          <w:snapToGrid w:val="0"/>
        </w:rPr>
        <w:t>S</w:t>
      </w:r>
      <w:r w:rsidRPr="00990567">
        <w:rPr>
          <w:b/>
          <w:snapToGrid w:val="0"/>
        </w:rPr>
        <w:t>7</w:t>
      </w:r>
      <w:r w:rsidRPr="00990567">
        <w:rPr>
          <w:snapToGrid w:val="0"/>
        </w:rPr>
        <w:t xml:space="preserve">. </w:t>
      </w:r>
      <w:r w:rsidR="00EB797A" w:rsidRPr="00990567">
        <w:rPr>
          <w:snapToGrid w:val="0"/>
        </w:rPr>
        <w:t xml:space="preserve">Size distribution of </w:t>
      </w:r>
      <w:proofErr w:type="spellStart"/>
      <w:r w:rsidR="00EB797A" w:rsidRPr="00990567">
        <w:rPr>
          <w:snapToGrid w:val="0"/>
        </w:rPr>
        <w:t>cfDNA</w:t>
      </w:r>
      <w:proofErr w:type="spellEnd"/>
      <w:r w:rsidR="00EB797A" w:rsidRPr="00990567">
        <w:rPr>
          <w:snapToGrid w:val="0"/>
        </w:rPr>
        <w:t xml:space="preserve"> extracted from Streck and DLA plasma</w:t>
      </w:r>
      <w:r w:rsidR="007F7219" w:rsidRPr="00990567">
        <w:rPr>
          <w:snapToGrid w:val="0"/>
        </w:rPr>
        <w:t xml:space="preserve">. </w:t>
      </w:r>
      <w:bookmarkEnd w:id="14"/>
      <w:r w:rsidR="0076474D" w:rsidRPr="0076474D">
        <w:rPr>
          <w:snapToGrid w:val="0"/>
        </w:rPr>
        <w:t xml:space="preserve">Shown </w:t>
      </w:r>
      <w:r w:rsidR="0076474D">
        <w:rPr>
          <w:snapToGrid w:val="0"/>
        </w:rPr>
        <w:t>are</w:t>
      </w:r>
      <w:r w:rsidR="0076474D" w:rsidRPr="0076474D">
        <w:rPr>
          <w:snapToGrid w:val="0"/>
        </w:rPr>
        <w:t xml:space="preserve"> a Bioanalyzer trace</w:t>
      </w:r>
      <w:r w:rsidR="0076474D">
        <w:rPr>
          <w:snapToGrid w:val="0"/>
        </w:rPr>
        <w:t>s of (A) DLA samples from two NSCLC patients.</w:t>
      </w:r>
      <w:r w:rsidR="0076474D" w:rsidRPr="0076474D">
        <w:rPr>
          <w:snapToGrid w:val="0"/>
        </w:rPr>
        <w:t xml:space="preserve"> The leftmost and rightmost peaks (labeled 43 and 113) are size markers of 35 bp and 10380 bp, respectivel</w:t>
      </w:r>
      <w:r w:rsidR="0076474D">
        <w:rPr>
          <w:snapToGrid w:val="0"/>
        </w:rPr>
        <w:t>y.</w:t>
      </w:r>
      <w:r w:rsidR="0076474D" w:rsidRPr="0076474D">
        <w:rPr>
          <w:snapToGrid w:val="0"/>
        </w:rPr>
        <w:t xml:space="preserve"> The average length of the </w:t>
      </w:r>
      <w:r w:rsidR="0076474D">
        <w:rPr>
          <w:snapToGrid w:val="0"/>
        </w:rPr>
        <w:t>cf</w:t>
      </w:r>
      <w:r w:rsidR="0076474D" w:rsidRPr="0076474D">
        <w:rPr>
          <w:snapToGrid w:val="0"/>
        </w:rPr>
        <w:t>DNA is calculated to be 1</w:t>
      </w:r>
      <w:r w:rsidR="0076474D">
        <w:rPr>
          <w:snapToGrid w:val="0"/>
        </w:rPr>
        <w:t>6</w:t>
      </w:r>
      <w:r w:rsidR="0076474D" w:rsidRPr="0076474D">
        <w:rPr>
          <w:snapToGrid w:val="0"/>
        </w:rPr>
        <w:t xml:space="preserve">0 </w:t>
      </w:r>
      <w:proofErr w:type="spellStart"/>
      <w:r w:rsidR="0076474D" w:rsidRPr="0076474D">
        <w:rPr>
          <w:snapToGrid w:val="0"/>
        </w:rPr>
        <w:t>bp</w:t>
      </w:r>
      <w:proofErr w:type="spellEnd"/>
      <w:r w:rsidR="0076474D">
        <w:rPr>
          <w:snapToGrid w:val="0"/>
        </w:rPr>
        <w:t xml:space="preserve">, corresponding to </w:t>
      </w:r>
      <w:proofErr w:type="spellStart"/>
      <w:r w:rsidR="0076474D">
        <w:rPr>
          <w:snapToGrid w:val="0"/>
        </w:rPr>
        <w:t>mononucleosomal</w:t>
      </w:r>
      <w:proofErr w:type="spellEnd"/>
      <w:r w:rsidR="0076474D">
        <w:rPr>
          <w:snapToGrid w:val="0"/>
        </w:rPr>
        <w:t xml:space="preserve"> DNA. In addition a minor </w:t>
      </w:r>
      <w:proofErr w:type="spellStart"/>
      <w:r w:rsidR="0076474D">
        <w:rPr>
          <w:snapToGrid w:val="0"/>
        </w:rPr>
        <w:t>dinucleosomal</w:t>
      </w:r>
      <w:proofErr w:type="spellEnd"/>
      <w:r w:rsidR="0076474D">
        <w:rPr>
          <w:snapToGrid w:val="0"/>
        </w:rPr>
        <w:t xml:space="preserve"> peaks at 320bp can be observed. (B), (C) Comparison of cfDNA extracted from Streck and DLA plasma from the same patient. No major difference could be observed with respect to fragment sizes.</w:t>
      </w:r>
    </w:p>
    <w:p w14:paraId="37CA63E0" w14:textId="6BB39D62" w:rsidR="007F7219" w:rsidRPr="00E92996" w:rsidRDefault="007F7219" w:rsidP="00E70995">
      <w:pPr>
        <w:adjustRightInd w:val="0"/>
        <w:snapToGrid w:val="0"/>
        <w:jc w:val="both"/>
        <w:rPr>
          <w:lang w:val="en-US"/>
        </w:rPr>
        <w:sectPr w:rsidR="007F7219" w:rsidRPr="00E92996" w:rsidSect="00E70995">
          <w:headerReference w:type="even" r:id="rId17"/>
          <w:headerReference w:type="default" r:id="rId18"/>
          <w:footerReference w:type="even" r:id="rId19"/>
          <w:footerReference w:type="default" r:id="rId20"/>
          <w:headerReference w:type="first" r:id="rId21"/>
          <w:footerReference w:type="first" r:id="rId22"/>
          <w:type w:val="continuous"/>
          <w:pgSz w:w="11906" w:h="16838"/>
          <w:pgMar w:top="1417" w:right="1531" w:bottom="1077" w:left="1531" w:header="1020" w:footer="850" w:gutter="0"/>
          <w:cols w:space="720"/>
          <w:titlePg/>
          <w:docGrid w:linePitch="299"/>
        </w:sectPr>
      </w:pPr>
    </w:p>
    <w:p w14:paraId="0DF3F478" w14:textId="77777777" w:rsidR="00335201" w:rsidRPr="00A206CE" w:rsidRDefault="00A206CE" w:rsidP="002B0439">
      <w:pPr>
        <w:pStyle w:val="MDPI21heading1"/>
      </w:pPr>
      <w:r w:rsidRPr="00A206CE">
        <w:lastRenderedPageBreak/>
        <w:t>Supplementary References</w:t>
      </w:r>
    </w:p>
    <w:p w14:paraId="1E22D39F" w14:textId="109611C6" w:rsidR="00434356" w:rsidRPr="002B0439" w:rsidRDefault="005945EF" w:rsidP="00E70995">
      <w:pPr>
        <w:pStyle w:val="EndNoteBibliography"/>
        <w:adjustRightInd w:val="0"/>
        <w:snapToGrid w:val="0"/>
        <w:spacing w:after="0"/>
        <w:rPr>
          <w:rFonts w:ascii="Palatino Linotype" w:hAnsi="Palatino Linotype"/>
          <w:sz w:val="18"/>
          <w:szCs w:val="18"/>
          <w:lang w:val="de-AT"/>
        </w:rPr>
      </w:pPr>
      <w:r>
        <w:rPr>
          <w:rFonts w:ascii="Palatino Linotype" w:eastAsia="Times New Roman" w:hAnsi="Palatino Linotype"/>
          <w:iCs/>
          <w:snapToGrid w:val="0"/>
          <w:color w:val="000000"/>
          <w:sz w:val="20"/>
          <w:lang w:eastAsia="de-DE" w:bidi="en-US"/>
        </w:rPr>
        <w:fldChar w:fldCharType="begin"/>
      </w:r>
      <w:r>
        <w:rPr>
          <w:rFonts w:ascii="Palatino Linotype" w:eastAsia="Times New Roman" w:hAnsi="Palatino Linotype"/>
          <w:iCs/>
          <w:snapToGrid w:val="0"/>
          <w:color w:val="000000"/>
          <w:sz w:val="20"/>
          <w:lang w:eastAsia="de-DE" w:bidi="en-US"/>
        </w:rPr>
        <w:instrText xml:space="preserve"> ADDIN EN.REFLIST </w:instrText>
      </w:r>
      <w:r>
        <w:rPr>
          <w:rFonts w:ascii="Palatino Linotype" w:eastAsia="Times New Roman" w:hAnsi="Palatino Linotype"/>
          <w:iCs/>
          <w:snapToGrid w:val="0"/>
          <w:color w:val="000000"/>
          <w:sz w:val="20"/>
          <w:lang w:eastAsia="de-DE" w:bidi="en-US"/>
        </w:rPr>
        <w:fldChar w:fldCharType="separate"/>
      </w:r>
      <w:r w:rsidR="00434356" w:rsidRPr="00434356">
        <w:t>1.</w:t>
      </w:r>
      <w:r w:rsidR="00434356" w:rsidRPr="00434356">
        <w:tab/>
      </w:r>
      <w:r w:rsidR="00434356" w:rsidRPr="002B0439">
        <w:rPr>
          <w:rFonts w:ascii="Palatino Linotype" w:hAnsi="Palatino Linotype"/>
          <w:sz w:val="18"/>
          <w:szCs w:val="18"/>
        </w:rPr>
        <w:t xml:space="preserve">Newman AM, Bratman SV, To J, Wynne JF, Eclov NC, Modlin LA, et al. An ultrasensitive method for quantitating circulating tumor DNA with broad patient coverage. </w:t>
      </w:r>
      <w:r w:rsidR="00434356" w:rsidRPr="002B0439">
        <w:rPr>
          <w:rFonts w:ascii="Palatino Linotype" w:hAnsi="Palatino Linotype"/>
          <w:sz w:val="18"/>
          <w:szCs w:val="18"/>
          <w:lang w:val="de-AT"/>
        </w:rPr>
        <w:t>Nature medicine. 2014;20(5):548-</w:t>
      </w:r>
      <w:r w:rsidR="002B0439">
        <w:rPr>
          <w:rFonts w:ascii="Palatino Linotype" w:hAnsi="Palatino Linotype"/>
          <w:sz w:val="18"/>
          <w:szCs w:val="18"/>
          <w:lang w:val="de-AT"/>
        </w:rPr>
        <w:t>5</w:t>
      </w:r>
      <w:r w:rsidR="00434356" w:rsidRPr="002B0439">
        <w:rPr>
          <w:rFonts w:ascii="Palatino Linotype" w:hAnsi="Palatino Linotype"/>
          <w:sz w:val="18"/>
          <w:szCs w:val="18"/>
          <w:lang w:val="de-AT"/>
        </w:rPr>
        <w:t>54.</w:t>
      </w:r>
    </w:p>
    <w:p w14:paraId="391D2D1D" w14:textId="77777777" w:rsidR="00434356" w:rsidRPr="002B0439" w:rsidRDefault="00434356" w:rsidP="00E70995">
      <w:pPr>
        <w:pStyle w:val="EndNoteBibliography"/>
        <w:adjustRightInd w:val="0"/>
        <w:snapToGrid w:val="0"/>
        <w:spacing w:after="0"/>
        <w:rPr>
          <w:rFonts w:ascii="Palatino Linotype" w:hAnsi="Palatino Linotype"/>
          <w:sz w:val="18"/>
          <w:szCs w:val="18"/>
        </w:rPr>
      </w:pPr>
      <w:r w:rsidRPr="002B0439">
        <w:rPr>
          <w:rFonts w:ascii="Palatino Linotype" w:hAnsi="Palatino Linotype"/>
          <w:sz w:val="18"/>
          <w:szCs w:val="18"/>
          <w:lang w:val="de-AT"/>
        </w:rPr>
        <w:t>2.</w:t>
      </w:r>
      <w:r w:rsidRPr="002B0439">
        <w:rPr>
          <w:rFonts w:ascii="Palatino Linotype" w:hAnsi="Palatino Linotype"/>
          <w:sz w:val="18"/>
          <w:szCs w:val="18"/>
          <w:lang w:val="de-AT"/>
        </w:rPr>
        <w:tab/>
        <w:t xml:space="preserve">Newman AM, Lovejoy AF, Klass DM, Kurtz DM, Chabon JJ, Scherer F, et al. </w:t>
      </w:r>
      <w:r w:rsidRPr="002B0439">
        <w:rPr>
          <w:rFonts w:ascii="Palatino Linotype" w:hAnsi="Palatino Linotype"/>
          <w:sz w:val="18"/>
          <w:szCs w:val="18"/>
        </w:rPr>
        <w:t>Integrated digital error suppression for improved detection of circulating tumor DNA. Nat Biotechnol. 2016;34(5):547-55.</w:t>
      </w:r>
    </w:p>
    <w:p w14:paraId="2F588DC6" w14:textId="77777777" w:rsidR="00434356" w:rsidRPr="002B0439" w:rsidRDefault="00434356" w:rsidP="00E70995">
      <w:pPr>
        <w:pStyle w:val="EndNoteBibliography"/>
        <w:adjustRightInd w:val="0"/>
        <w:snapToGrid w:val="0"/>
        <w:rPr>
          <w:rFonts w:ascii="Palatino Linotype" w:hAnsi="Palatino Linotype"/>
          <w:sz w:val="18"/>
          <w:szCs w:val="18"/>
        </w:rPr>
      </w:pPr>
      <w:r w:rsidRPr="002B0439">
        <w:rPr>
          <w:rFonts w:ascii="Palatino Linotype" w:hAnsi="Palatino Linotype"/>
          <w:sz w:val="18"/>
          <w:szCs w:val="18"/>
        </w:rPr>
        <w:t>3.</w:t>
      </w:r>
      <w:r w:rsidRPr="002B0439">
        <w:rPr>
          <w:rFonts w:ascii="Palatino Linotype" w:hAnsi="Palatino Linotype"/>
          <w:sz w:val="18"/>
          <w:szCs w:val="18"/>
        </w:rPr>
        <w:tab/>
        <w:t>Xu C, Nezami Ranjbar MR, Wu Z, DiCarlo J, Wang Y. Detecting very low allele fraction variants using targeted DNA sequencing and a novel molecular barcode-aware variant caller. BMC genomics. 2017;18(1):5.</w:t>
      </w:r>
    </w:p>
    <w:p w14:paraId="7343AF68" w14:textId="5E208248" w:rsidR="008C262D" w:rsidRPr="008C262D" w:rsidRDefault="005945EF" w:rsidP="00E70995">
      <w:pPr>
        <w:adjustRightInd w:val="0"/>
        <w:snapToGrid w:val="0"/>
        <w:rPr>
          <w:rFonts w:ascii="Palatino Linotype" w:eastAsia="Times New Roman" w:hAnsi="Palatino Linotype"/>
          <w:iCs/>
          <w:snapToGrid w:val="0"/>
          <w:color w:val="000000"/>
          <w:sz w:val="20"/>
          <w:lang w:val="en-US" w:eastAsia="de-DE" w:bidi="en-US"/>
        </w:rPr>
      </w:pPr>
      <w:r>
        <w:rPr>
          <w:rFonts w:ascii="Palatino Linotype" w:eastAsia="Times New Roman" w:hAnsi="Palatino Linotype"/>
          <w:iCs/>
          <w:snapToGrid w:val="0"/>
          <w:color w:val="000000"/>
          <w:sz w:val="20"/>
          <w:lang w:val="en-US" w:eastAsia="de-DE" w:bidi="en-US"/>
        </w:rPr>
        <w:fldChar w:fldCharType="end"/>
      </w:r>
    </w:p>
    <w:sectPr w:rsidR="008C262D" w:rsidRPr="008C262D" w:rsidSect="008D1C89">
      <w:pgSz w:w="11906" w:h="16838"/>
      <w:pgMar w:top="1531" w:right="1417" w:bottom="1531" w:left="1077" w:header="1020" w:footer="85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901C9E8" w14:textId="77777777" w:rsidR="00CA2865" w:rsidRDefault="00CA2865">
      <w:pPr>
        <w:spacing w:after="0" w:line="240" w:lineRule="auto"/>
      </w:pPr>
      <w:r>
        <w:separator/>
      </w:r>
    </w:p>
  </w:endnote>
  <w:endnote w:type="continuationSeparator" w:id="0">
    <w:p w14:paraId="18C5C09E" w14:textId="77777777" w:rsidR="00CA2865" w:rsidRDefault="00CA28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Palatino Linotype">
    <w:panose1 w:val="02040502050505030304"/>
    <w:charset w:val="00"/>
    <w:family w:val="roman"/>
    <w:pitch w:val="variable"/>
    <w:sig w:usb0="E0000287" w:usb1="40000013" w:usb2="00000000" w:usb3="00000000" w:csb0="0000019F" w:csb1="00000000"/>
  </w:font>
  <w:font w:name="Segoe UI">
    <w:panose1 w:val="020B0502040204020203"/>
    <w:charset w:val="00"/>
    <w:family w:val="swiss"/>
    <w:pitch w:val="variable"/>
    <w:sig w:usb0="E10022FF" w:usb1="C000E47F" w:usb2="00000029" w:usb3="00000000" w:csb0="000001DF" w:csb1="00000000"/>
  </w:font>
  <w:font w:name="等线">
    <w:altName w:val="Arial Unicode MS"/>
    <w:charset w:val="86"/>
    <w:family w:val="auto"/>
    <w:pitch w:val="variable"/>
    <w:sig w:usb0="00000000" w:usb1="38CF7CFA" w:usb2="00000016" w:usb3="00000000" w:csb0="0004000F" w:csb1="00000000"/>
  </w:font>
  <w:font w:name="SimSun">
    <w:altName w:val="宋体"/>
    <w:panose1 w:val="02010600030101010101"/>
    <w:charset w:val="86"/>
    <w:family w:val="auto"/>
    <w:pitch w:val="variable"/>
    <w:sig w:usb0="00000003" w:usb1="288F0000" w:usb2="00000016" w:usb3="00000000" w:csb0="00040001" w:csb1="00000000"/>
  </w:font>
  <w:font w:name="AdvOT3c2d9f11">
    <w:altName w:val="Cambria"/>
    <w:panose1 w:val="00000000000000000000"/>
    <w:charset w:val="00"/>
    <w:family w:val="roman"/>
    <w:notTrueType/>
    <w:pitch w:val="default"/>
    <w:sig w:usb0="00000003" w:usb1="00000000" w:usb2="00000000" w:usb3="00000000" w:csb0="00000001" w:csb1="00000000"/>
  </w:font>
  <w:font w:name="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30D27D" w14:textId="77777777" w:rsidR="008D1C89" w:rsidRDefault="008D1C8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F18806" w14:textId="77777777" w:rsidR="008D1C89" w:rsidRDefault="008D1C89">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1C2958" w14:textId="77777777" w:rsidR="008D1C89" w:rsidRDefault="008D1C8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67316EE" w14:textId="77777777" w:rsidR="00CA2865" w:rsidRDefault="00CA2865">
      <w:pPr>
        <w:spacing w:after="0" w:line="240" w:lineRule="auto"/>
      </w:pPr>
      <w:r>
        <w:rPr>
          <w:color w:val="000000"/>
        </w:rPr>
        <w:separator/>
      </w:r>
    </w:p>
  </w:footnote>
  <w:footnote w:type="continuationSeparator" w:id="0">
    <w:p w14:paraId="709FD901" w14:textId="77777777" w:rsidR="00CA2865" w:rsidRDefault="00CA286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2B6545" w14:textId="77777777" w:rsidR="008D1C89" w:rsidRDefault="008D1C89">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lang w:val="en-US"/>
      </w:rPr>
      <w:id w:val="-820804855"/>
      <w:docPartObj>
        <w:docPartGallery w:val="Page Numbers (Top of Page)"/>
        <w:docPartUnique/>
      </w:docPartObj>
    </w:sdtPr>
    <w:sdtEndPr>
      <w:rPr>
        <w:rFonts w:ascii="Palatino Linotype" w:hAnsi="Palatino Linotype"/>
        <w:sz w:val="16"/>
        <w:szCs w:val="16"/>
      </w:rPr>
    </w:sdtEndPr>
    <w:sdtContent>
      <w:p w14:paraId="23938D26" w14:textId="514F0AE2" w:rsidR="00990567" w:rsidRPr="00E70995" w:rsidRDefault="00990567" w:rsidP="00E70995">
        <w:pPr>
          <w:pStyle w:val="Footer"/>
          <w:autoSpaceDN/>
          <w:adjustRightInd w:val="0"/>
          <w:snapToGrid w:val="0"/>
          <w:spacing w:after="240"/>
          <w:jc w:val="both"/>
          <w:textAlignment w:val="auto"/>
          <w:rPr>
            <w:rFonts w:ascii="Palatino Linotype" w:hAnsi="Palatino Linotype"/>
            <w:sz w:val="16"/>
            <w:szCs w:val="16"/>
            <w:lang w:val="en-US"/>
          </w:rPr>
        </w:pPr>
        <w:r w:rsidRPr="00E70995">
          <w:rPr>
            <w:rFonts w:ascii="Palatino Linotype" w:hAnsi="Palatino Linotype"/>
            <w:i/>
            <w:sz w:val="16"/>
            <w:szCs w:val="16"/>
            <w:lang w:val="en-US"/>
          </w:rPr>
          <w:t xml:space="preserve">Cancers </w:t>
        </w:r>
        <w:r w:rsidRPr="00E70995">
          <w:rPr>
            <w:rFonts w:ascii="Palatino Linotype" w:hAnsi="Palatino Linotype"/>
            <w:b/>
            <w:bCs/>
            <w:iCs/>
            <w:sz w:val="16"/>
            <w:szCs w:val="16"/>
            <w:lang w:val="en-US"/>
          </w:rPr>
          <w:t>2020</w:t>
        </w:r>
        <w:r w:rsidRPr="00E70995">
          <w:rPr>
            <w:rFonts w:ascii="Palatino Linotype" w:hAnsi="Palatino Linotype"/>
            <w:bCs/>
            <w:iCs/>
            <w:sz w:val="16"/>
            <w:szCs w:val="16"/>
            <w:lang w:val="en-US"/>
          </w:rPr>
          <w:t xml:space="preserve">, </w:t>
        </w:r>
        <w:r w:rsidRPr="00E70995">
          <w:rPr>
            <w:rFonts w:ascii="Palatino Linotype" w:hAnsi="Palatino Linotype"/>
            <w:bCs/>
            <w:i/>
            <w:iCs/>
            <w:sz w:val="16"/>
            <w:szCs w:val="16"/>
            <w:lang w:val="en-US"/>
          </w:rPr>
          <w:t>12</w:t>
        </w:r>
        <w:r w:rsidRPr="00E70995">
          <w:rPr>
            <w:rFonts w:ascii="Palatino Linotype" w:hAnsi="Palatino Linotype"/>
            <w:bCs/>
            <w:iCs/>
            <w:sz w:val="16"/>
            <w:szCs w:val="16"/>
            <w:lang w:val="en-US"/>
          </w:rPr>
          <w:t>, XXX</w:t>
        </w:r>
        <w:r w:rsidRPr="00E70995">
          <w:rPr>
            <w:rFonts w:ascii="Palatino Linotype" w:hAnsi="Palatino Linotype"/>
            <w:sz w:val="16"/>
            <w:szCs w:val="16"/>
            <w:lang w:val="en-US"/>
          </w:rPr>
          <w:t xml:space="preserve"> </w:t>
        </w:r>
        <w:r w:rsidRPr="00E70995">
          <w:rPr>
            <w:rFonts w:ascii="Palatino Linotype" w:hAnsi="Palatino Linotype"/>
            <w:sz w:val="16"/>
            <w:szCs w:val="16"/>
            <w:lang w:val="en-US"/>
          </w:rPr>
          <w:ptab w:relativeTo="margin" w:alignment="right" w:leader="none"/>
        </w:r>
        <w:sdt>
          <w:sdtPr>
            <w:rPr>
              <w:rFonts w:ascii="Palatino Linotype" w:hAnsi="Palatino Linotype"/>
              <w:sz w:val="16"/>
              <w:szCs w:val="16"/>
              <w:lang w:val="en-US"/>
            </w:rPr>
            <w:id w:val="1889990341"/>
            <w:docPartObj>
              <w:docPartGallery w:val="Page Numbers (Bottom of Page)"/>
              <w:docPartUnique/>
            </w:docPartObj>
          </w:sdtPr>
          <w:sdtEndPr>
            <w:rPr>
              <w:spacing w:val="60"/>
            </w:rPr>
          </w:sdtEndPr>
          <w:sdtContent>
            <w:r w:rsidRPr="00E70995">
              <w:rPr>
                <w:rFonts w:ascii="Palatino Linotype" w:hAnsi="Palatino Linotype"/>
                <w:sz w:val="16"/>
                <w:szCs w:val="16"/>
                <w:lang w:val="en-US"/>
              </w:rPr>
              <w:t>S</w:t>
            </w:r>
            <w:r w:rsidRPr="00E70995">
              <w:rPr>
                <w:rFonts w:ascii="Palatino Linotype" w:hAnsi="Palatino Linotype"/>
                <w:sz w:val="16"/>
                <w:szCs w:val="16"/>
                <w:lang w:val="en-US"/>
              </w:rPr>
              <w:fldChar w:fldCharType="begin"/>
            </w:r>
            <w:r w:rsidRPr="00E70995">
              <w:rPr>
                <w:rFonts w:ascii="Palatino Linotype" w:hAnsi="Palatino Linotype"/>
                <w:sz w:val="16"/>
                <w:szCs w:val="16"/>
                <w:lang w:val="en-US"/>
              </w:rPr>
              <w:instrText xml:space="preserve"> PAGE   \* MERGEFORMAT </w:instrText>
            </w:r>
            <w:r w:rsidRPr="00E70995">
              <w:rPr>
                <w:rFonts w:ascii="Palatino Linotype" w:hAnsi="Palatino Linotype"/>
                <w:sz w:val="16"/>
                <w:szCs w:val="16"/>
                <w:lang w:val="en-US"/>
              </w:rPr>
              <w:fldChar w:fldCharType="separate"/>
            </w:r>
            <w:r w:rsidR="008D1C89">
              <w:rPr>
                <w:rFonts w:ascii="Palatino Linotype" w:hAnsi="Palatino Linotype"/>
                <w:noProof/>
                <w:sz w:val="16"/>
                <w:szCs w:val="16"/>
                <w:lang w:val="en-US"/>
              </w:rPr>
              <w:t>13</w:t>
            </w:r>
            <w:r w:rsidRPr="00E70995">
              <w:rPr>
                <w:rFonts w:ascii="Palatino Linotype" w:hAnsi="Palatino Linotype"/>
                <w:sz w:val="16"/>
                <w:szCs w:val="16"/>
                <w:lang w:val="en-US"/>
              </w:rPr>
              <w:fldChar w:fldCharType="end"/>
            </w:r>
            <w:r w:rsidRPr="00E70995">
              <w:rPr>
                <w:rFonts w:ascii="Palatino Linotype" w:hAnsi="Palatino Linotype"/>
                <w:sz w:val="16"/>
                <w:szCs w:val="16"/>
                <w:lang w:val="en-US"/>
              </w:rPr>
              <w:t>/S</w:t>
            </w:r>
            <w:r w:rsidR="008D1C89">
              <w:rPr>
                <w:rFonts w:ascii="Palatino Linotype" w:hAnsi="Palatino Linotype"/>
                <w:sz w:val="16"/>
                <w:szCs w:val="16"/>
                <w:lang w:val="en-US"/>
              </w:rPr>
              <w:t>13</w:t>
            </w:r>
            <w:bookmarkStart w:id="15" w:name="_GoBack"/>
            <w:bookmarkEnd w:id="15"/>
          </w:sdtContent>
        </w:sdt>
      </w:p>
    </w:sdtContent>
  </w:sdt>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01F22C" w14:textId="77777777" w:rsidR="008D1C89" w:rsidRDefault="008D1C8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1232D77"/>
    <w:multiLevelType w:val="hybridMultilevel"/>
    <w:tmpl w:val="EA6243E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
    <w:nsid w:val="250A245F"/>
    <w:multiLevelType w:val="hybridMultilevel"/>
    <w:tmpl w:val="1C3A3F0C"/>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2805051C"/>
    <w:multiLevelType w:val="hybridMultilevel"/>
    <w:tmpl w:val="857682CE"/>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3">
    <w:nsid w:val="369A6535"/>
    <w:multiLevelType w:val="hybridMultilevel"/>
    <w:tmpl w:val="781408B4"/>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Vancouver&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2srddtf010res8ervzixpef70vrtpetfsww2&quot;&gt;Plattform_comparision&lt;record-ids&gt;&lt;item&gt;71&lt;/item&gt;&lt;item&gt;73&lt;/item&gt;&lt;item&gt;74&lt;/item&gt;&lt;/record-ids&gt;&lt;/item&gt;&lt;/Libraries&gt;"/>
  </w:docVars>
  <w:rsids>
    <w:rsidRoot w:val="000E562D"/>
    <w:rsid w:val="000148A9"/>
    <w:rsid w:val="00066CA6"/>
    <w:rsid w:val="000E562D"/>
    <w:rsid w:val="0011450B"/>
    <w:rsid w:val="00131B2D"/>
    <w:rsid w:val="00137B34"/>
    <w:rsid w:val="001523B5"/>
    <w:rsid w:val="00152874"/>
    <w:rsid w:val="00162D6C"/>
    <w:rsid w:val="001714BD"/>
    <w:rsid w:val="00174318"/>
    <w:rsid w:val="0018311C"/>
    <w:rsid w:val="00187D1C"/>
    <w:rsid w:val="0019705D"/>
    <w:rsid w:val="001A0908"/>
    <w:rsid w:val="001A0D20"/>
    <w:rsid w:val="001A280C"/>
    <w:rsid w:val="001C57C0"/>
    <w:rsid w:val="001C68F8"/>
    <w:rsid w:val="0022379A"/>
    <w:rsid w:val="002342E8"/>
    <w:rsid w:val="00254A18"/>
    <w:rsid w:val="00256932"/>
    <w:rsid w:val="00261122"/>
    <w:rsid w:val="002938A2"/>
    <w:rsid w:val="00294AB2"/>
    <w:rsid w:val="002A2437"/>
    <w:rsid w:val="002B0439"/>
    <w:rsid w:val="002B33F6"/>
    <w:rsid w:val="002C1D45"/>
    <w:rsid w:val="002C45B9"/>
    <w:rsid w:val="002D727B"/>
    <w:rsid w:val="002E19C3"/>
    <w:rsid w:val="003007A7"/>
    <w:rsid w:val="00335201"/>
    <w:rsid w:val="00335F74"/>
    <w:rsid w:val="003419C7"/>
    <w:rsid w:val="00364E5D"/>
    <w:rsid w:val="00385714"/>
    <w:rsid w:val="003876C3"/>
    <w:rsid w:val="003A7453"/>
    <w:rsid w:val="003B5D6E"/>
    <w:rsid w:val="003B7ED8"/>
    <w:rsid w:val="003D5380"/>
    <w:rsid w:val="003E1B2E"/>
    <w:rsid w:val="003F0246"/>
    <w:rsid w:val="003F0D3A"/>
    <w:rsid w:val="003F1CC5"/>
    <w:rsid w:val="003F2C4B"/>
    <w:rsid w:val="00404DF1"/>
    <w:rsid w:val="00413037"/>
    <w:rsid w:val="00414D19"/>
    <w:rsid w:val="004234A9"/>
    <w:rsid w:val="00424ED0"/>
    <w:rsid w:val="00434356"/>
    <w:rsid w:val="00442BCB"/>
    <w:rsid w:val="00465C5E"/>
    <w:rsid w:val="00471F6E"/>
    <w:rsid w:val="00472345"/>
    <w:rsid w:val="00481039"/>
    <w:rsid w:val="00485F27"/>
    <w:rsid w:val="00496D75"/>
    <w:rsid w:val="004A32DD"/>
    <w:rsid w:val="004E364D"/>
    <w:rsid w:val="005018B3"/>
    <w:rsid w:val="00542EDA"/>
    <w:rsid w:val="00547FB0"/>
    <w:rsid w:val="005563F8"/>
    <w:rsid w:val="00564793"/>
    <w:rsid w:val="00572050"/>
    <w:rsid w:val="00590B82"/>
    <w:rsid w:val="005927EF"/>
    <w:rsid w:val="005945EF"/>
    <w:rsid w:val="00596F95"/>
    <w:rsid w:val="005A56CF"/>
    <w:rsid w:val="005A6B3B"/>
    <w:rsid w:val="005E37BC"/>
    <w:rsid w:val="005E730E"/>
    <w:rsid w:val="0060149B"/>
    <w:rsid w:val="00611281"/>
    <w:rsid w:val="00630CB3"/>
    <w:rsid w:val="00634B99"/>
    <w:rsid w:val="00635183"/>
    <w:rsid w:val="00660FB3"/>
    <w:rsid w:val="0067572A"/>
    <w:rsid w:val="006D4FA2"/>
    <w:rsid w:val="006E28FC"/>
    <w:rsid w:val="006E2CB9"/>
    <w:rsid w:val="006E423D"/>
    <w:rsid w:val="007248B1"/>
    <w:rsid w:val="0076233A"/>
    <w:rsid w:val="0076474D"/>
    <w:rsid w:val="00764D3F"/>
    <w:rsid w:val="00765D29"/>
    <w:rsid w:val="00797D93"/>
    <w:rsid w:val="007A4485"/>
    <w:rsid w:val="007E68F0"/>
    <w:rsid w:val="007F3319"/>
    <w:rsid w:val="007F7219"/>
    <w:rsid w:val="00801780"/>
    <w:rsid w:val="0082153B"/>
    <w:rsid w:val="0084082F"/>
    <w:rsid w:val="00846B1E"/>
    <w:rsid w:val="0086025A"/>
    <w:rsid w:val="008746F6"/>
    <w:rsid w:val="00877590"/>
    <w:rsid w:val="008A3A42"/>
    <w:rsid w:val="008C262D"/>
    <w:rsid w:val="008D1C89"/>
    <w:rsid w:val="008D4050"/>
    <w:rsid w:val="008E5263"/>
    <w:rsid w:val="0090112B"/>
    <w:rsid w:val="0090209C"/>
    <w:rsid w:val="00910C75"/>
    <w:rsid w:val="009574FB"/>
    <w:rsid w:val="0096739D"/>
    <w:rsid w:val="00990567"/>
    <w:rsid w:val="00994733"/>
    <w:rsid w:val="009A526E"/>
    <w:rsid w:val="009B082C"/>
    <w:rsid w:val="009D29EE"/>
    <w:rsid w:val="009D3622"/>
    <w:rsid w:val="00A05EAF"/>
    <w:rsid w:val="00A206CE"/>
    <w:rsid w:val="00A25CAA"/>
    <w:rsid w:val="00A31894"/>
    <w:rsid w:val="00A653CD"/>
    <w:rsid w:val="00A85CB9"/>
    <w:rsid w:val="00A903CB"/>
    <w:rsid w:val="00AA7437"/>
    <w:rsid w:val="00AC372A"/>
    <w:rsid w:val="00AC458F"/>
    <w:rsid w:val="00AF0A55"/>
    <w:rsid w:val="00AF5E9B"/>
    <w:rsid w:val="00B26018"/>
    <w:rsid w:val="00B525C2"/>
    <w:rsid w:val="00B71CB5"/>
    <w:rsid w:val="00B94A25"/>
    <w:rsid w:val="00BA5639"/>
    <w:rsid w:val="00BF45BE"/>
    <w:rsid w:val="00C04E4A"/>
    <w:rsid w:val="00C07F3B"/>
    <w:rsid w:val="00C26B7D"/>
    <w:rsid w:val="00C2760D"/>
    <w:rsid w:val="00C4543E"/>
    <w:rsid w:val="00CA2865"/>
    <w:rsid w:val="00CD4BF3"/>
    <w:rsid w:val="00CE704A"/>
    <w:rsid w:val="00CF6FB0"/>
    <w:rsid w:val="00D548F5"/>
    <w:rsid w:val="00D73916"/>
    <w:rsid w:val="00DA625A"/>
    <w:rsid w:val="00DC43A2"/>
    <w:rsid w:val="00DC4735"/>
    <w:rsid w:val="00DD6107"/>
    <w:rsid w:val="00E12A8C"/>
    <w:rsid w:val="00E70995"/>
    <w:rsid w:val="00E92996"/>
    <w:rsid w:val="00EB4F7D"/>
    <w:rsid w:val="00EB797A"/>
    <w:rsid w:val="00EC163E"/>
    <w:rsid w:val="00EC5893"/>
    <w:rsid w:val="00EC5FAA"/>
    <w:rsid w:val="00EC6D1E"/>
    <w:rsid w:val="00ED2F3C"/>
    <w:rsid w:val="00EE0478"/>
    <w:rsid w:val="00EE3202"/>
    <w:rsid w:val="00EF4F69"/>
    <w:rsid w:val="00F276B1"/>
    <w:rsid w:val="00F33A06"/>
    <w:rsid w:val="00F40A6D"/>
    <w:rsid w:val="00F43AD8"/>
    <w:rsid w:val="00F67CB4"/>
    <w:rsid w:val="00F84FB2"/>
    <w:rsid w:val="00F90FD1"/>
    <w:rsid w:val="00FA331B"/>
    <w:rsid w:val="00FB2927"/>
    <w:rsid w:val="00FB4896"/>
    <w:rsid w:val="00FC22FF"/>
    <w:rsid w:val="00FC42A4"/>
    <w:rsid w:val="00FC6376"/>
    <w:rsid w:val="00FD13EA"/>
    <w:rsid w:val="00FD16A8"/>
    <w:rsid w:val="00FE2CB4"/>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D8CE9A1"/>
  <w15:docId w15:val="{4D25E2AE-0512-4490-AD5B-11BBFC568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de-AT" w:eastAsia="en-US" w:bidi="ar-SA"/>
      </w:rPr>
    </w:rPrDefault>
    <w:pPrDefault>
      <w:pPr>
        <w:autoSpaceDN w:val="0"/>
        <w:spacing w:after="160" w:line="256" w:lineRule="auto"/>
        <w:textAlignment w:val="baseline"/>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pPr>
      <w:suppressAutoHyphens/>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31text">
    <w:name w:val="MDPI_3.1_text"/>
    <w:link w:val="MDPI31textZchn"/>
    <w:qFormat/>
    <w:rsid w:val="00E70995"/>
    <w:pPr>
      <w:autoSpaceDN/>
      <w:adjustRightInd w:val="0"/>
      <w:snapToGrid w:val="0"/>
      <w:spacing w:after="0" w:line="260" w:lineRule="atLeast"/>
      <w:ind w:firstLine="425"/>
      <w:jc w:val="both"/>
      <w:textAlignment w:val="auto"/>
    </w:pPr>
    <w:rPr>
      <w:rFonts w:ascii="Palatino Linotype" w:eastAsia="Times New Roman" w:hAnsi="Palatino Linotype"/>
      <w:snapToGrid w:val="0"/>
      <w:color w:val="000000"/>
      <w:sz w:val="20"/>
      <w:lang w:val="en-US" w:eastAsia="de-DE" w:bidi="en-US"/>
    </w:rPr>
  </w:style>
  <w:style w:type="paragraph" w:styleId="BalloonText">
    <w:name w:val="Balloon Text"/>
    <w:basedOn w:val="Normal"/>
    <w:link w:val="BalloonTextChar"/>
    <w:uiPriority w:val="99"/>
    <w:semiHidden/>
    <w:unhideWhenUsed/>
    <w:rsid w:val="00765D2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65D29"/>
    <w:rPr>
      <w:rFonts w:ascii="Segoe UI" w:hAnsi="Segoe UI" w:cs="Segoe UI"/>
      <w:sz w:val="18"/>
      <w:szCs w:val="18"/>
    </w:rPr>
  </w:style>
  <w:style w:type="paragraph" w:styleId="ListParagraph">
    <w:name w:val="List Paragraph"/>
    <w:basedOn w:val="Normal"/>
    <w:uiPriority w:val="34"/>
    <w:qFormat/>
    <w:rsid w:val="0019705D"/>
    <w:pPr>
      <w:suppressAutoHyphens w:val="0"/>
      <w:autoSpaceDN/>
      <w:spacing w:after="0" w:line="340" w:lineRule="atLeast"/>
      <w:ind w:left="720"/>
      <w:contextualSpacing/>
      <w:jc w:val="both"/>
      <w:textAlignment w:val="auto"/>
    </w:pPr>
    <w:rPr>
      <w:rFonts w:ascii="Times New Roman" w:eastAsia="Times New Roman" w:hAnsi="Times New Roman"/>
      <w:color w:val="000000"/>
      <w:sz w:val="24"/>
      <w:szCs w:val="20"/>
      <w:lang w:val="en-US" w:eastAsia="de-DE"/>
    </w:rPr>
  </w:style>
  <w:style w:type="character" w:customStyle="1" w:styleId="normaltextrun">
    <w:name w:val="normaltextrun"/>
    <w:basedOn w:val="DefaultParagraphFont"/>
    <w:rsid w:val="0019705D"/>
  </w:style>
  <w:style w:type="paragraph" w:customStyle="1" w:styleId="EndNoteBibliographyTitle">
    <w:name w:val="EndNote Bibliography Title"/>
    <w:basedOn w:val="Normal"/>
    <w:link w:val="EndNoteBibliographyTitleZchn"/>
    <w:rsid w:val="005945EF"/>
    <w:pPr>
      <w:spacing w:after="0"/>
      <w:jc w:val="center"/>
    </w:pPr>
    <w:rPr>
      <w:rFonts w:cs="Calibri"/>
      <w:noProof/>
      <w:lang w:val="en-US"/>
    </w:rPr>
  </w:style>
  <w:style w:type="character" w:customStyle="1" w:styleId="MDPI31textZchn">
    <w:name w:val="MDPI_3.1_text Zchn"/>
    <w:basedOn w:val="DefaultParagraphFont"/>
    <w:link w:val="MDPI31text"/>
    <w:qFormat/>
    <w:rsid w:val="005945EF"/>
    <w:rPr>
      <w:rFonts w:ascii="Palatino Linotype" w:eastAsia="Times New Roman" w:hAnsi="Palatino Linotype"/>
      <w:snapToGrid w:val="0"/>
      <w:color w:val="000000"/>
      <w:sz w:val="20"/>
      <w:lang w:val="en-US" w:eastAsia="de-DE" w:bidi="en-US"/>
    </w:rPr>
  </w:style>
  <w:style w:type="character" w:customStyle="1" w:styleId="EndNoteBibliographyTitleZchn">
    <w:name w:val="EndNote Bibliography Title Zchn"/>
    <w:basedOn w:val="MDPI31textZchn"/>
    <w:link w:val="EndNoteBibliographyTitle"/>
    <w:rsid w:val="005945EF"/>
    <w:rPr>
      <w:rFonts w:ascii="Palatino Linotype" w:eastAsia="Times New Roman" w:hAnsi="Palatino Linotype" w:cs="Calibri"/>
      <w:noProof/>
      <w:snapToGrid w:val="0"/>
      <w:color w:val="000000"/>
      <w:sz w:val="20"/>
      <w:lang w:val="en-US" w:eastAsia="de-DE" w:bidi="en-US"/>
    </w:rPr>
  </w:style>
  <w:style w:type="paragraph" w:customStyle="1" w:styleId="EndNoteBibliography">
    <w:name w:val="EndNote Bibliography"/>
    <w:basedOn w:val="Normal"/>
    <w:link w:val="EndNoteBibliographyZchn"/>
    <w:rsid w:val="005945EF"/>
    <w:pPr>
      <w:spacing w:line="240" w:lineRule="auto"/>
    </w:pPr>
    <w:rPr>
      <w:rFonts w:cs="Calibri"/>
      <w:noProof/>
      <w:lang w:val="en-US"/>
    </w:rPr>
  </w:style>
  <w:style w:type="character" w:customStyle="1" w:styleId="EndNoteBibliographyZchn">
    <w:name w:val="EndNote Bibliography Zchn"/>
    <w:basedOn w:val="MDPI31textZchn"/>
    <w:link w:val="EndNoteBibliography"/>
    <w:rsid w:val="005945EF"/>
    <w:rPr>
      <w:rFonts w:ascii="Palatino Linotype" w:eastAsia="Times New Roman" w:hAnsi="Palatino Linotype" w:cs="Calibri"/>
      <w:noProof/>
      <w:snapToGrid w:val="0"/>
      <w:color w:val="000000"/>
      <w:sz w:val="20"/>
      <w:lang w:val="en-US" w:eastAsia="de-DE" w:bidi="en-US"/>
    </w:rPr>
  </w:style>
  <w:style w:type="paragraph" w:customStyle="1" w:styleId="paragraph">
    <w:name w:val="paragraph"/>
    <w:basedOn w:val="Normal"/>
    <w:rsid w:val="005945EF"/>
    <w:pPr>
      <w:suppressAutoHyphens w:val="0"/>
      <w:autoSpaceDN/>
      <w:spacing w:before="100" w:beforeAutospacing="1" w:after="100" w:afterAutospacing="1" w:line="240" w:lineRule="auto"/>
      <w:textAlignment w:val="auto"/>
    </w:pPr>
    <w:rPr>
      <w:rFonts w:ascii="Times New Roman" w:eastAsia="Times New Roman" w:hAnsi="Times New Roman"/>
      <w:sz w:val="24"/>
      <w:szCs w:val="24"/>
      <w:lang w:val="en-US"/>
    </w:rPr>
  </w:style>
  <w:style w:type="paragraph" w:styleId="Header">
    <w:name w:val="header"/>
    <w:basedOn w:val="Normal"/>
    <w:link w:val="HeaderChar"/>
    <w:uiPriority w:val="99"/>
    <w:unhideWhenUsed/>
    <w:rsid w:val="00FE2CB4"/>
    <w:pPr>
      <w:tabs>
        <w:tab w:val="center" w:pos="4703"/>
        <w:tab w:val="right" w:pos="9406"/>
      </w:tabs>
      <w:spacing w:after="0" w:line="240" w:lineRule="auto"/>
    </w:pPr>
  </w:style>
  <w:style w:type="character" w:customStyle="1" w:styleId="HeaderChar">
    <w:name w:val="Header Char"/>
    <w:basedOn w:val="DefaultParagraphFont"/>
    <w:link w:val="Header"/>
    <w:uiPriority w:val="99"/>
    <w:rsid w:val="00FE2CB4"/>
  </w:style>
  <w:style w:type="paragraph" w:styleId="Footer">
    <w:name w:val="footer"/>
    <w:basedOn w:val="Normal"/>
    <w:link w:val="FooterChar"/>
    <w:uiPriority w:val="99"/>
    <w:unhideWhenUsed/>
    <w:rsid w:val="00FE2CB4"/>
    <w:pPr>
      <w:tabs>
        <w:tab w:val="center" w:pos="4703"/>
        <w:tab w:val="right" w:pos="9406"/>
      </w:tabs>
      <w:spacing w:after="0" w:line="240" w:lineRule="auto"/>
    </w:pPr>
  </w:style>
  <w:style w:type="character" w:customStyle="1" w:styleId="FooterChar">
    <w:name w:val="Footer Char"/>
    <w:basedOn w:val="DefaultParagraphFont"/>
    <w:link w:val="Footer"/>
    <w:uiPriority w:val="99"/>
    <w:rsid w:val="00FE2CB4"/>
  </w:style>
  <w:style w:type="table" w:styleId="TableGrid">
    <w:name w:val="Table Grid"/>
    <w:basedOn w:val="TableNormal"/>
    <w:uiPriority w:val="39"/>
    <w:rsid w:val="00E9299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DPI61Supplementary">
    <w:name w:val="MDPI_6.1_Supplementary"/>
    <w:qFormat/>
    <w:rsid w:val="00E70995"/>
    <w:pPr>
      <w:autoSpaceDN/>
      <w:spacing w:before="240" w:after="0" w:line="260" w:lineRule="atLeast"/>
      <w:jc w:val="both"/>
      <w:textAlignment w:val="auto"/>
    </w:pPr>
    <w:rPr>
      <w:rFonts w:ascii="Palatino Linotype" w:eastAsia="Times New Roman" w:hAnsi="Palatino Linotype"/>
      <w:snapToGrid w:val="0"/>
      <w:color w:val="000000"/>
      <w:sz w:val="18"/>
      <w:szCs w:val="20"/>
      <w:lang w:val="en-US" w:bidi="en-US"/>
    </w:rPr>
  </w:style>
  <w:style w:type="character" w:customStyle="1" w:styleId="Internetverknpfung">
    <w:name w:val="Internetverknüpfung"/>
    <w:rsid w:val="007A4485"/>
    <w:rPr>
      <w:color w:val="000080"/>
      <w:u w:val="single"/>
    </w:rPr>
  </w:style>
  <w:style w:type="paragraph" w:customStyle="1" w:styleId="MDPI13authornames">
    <w:name w:val="MDPI_1.3_authornames"/>
    <w:next w:val="Normal"/>
    <w:qFormat/>
    <w:rsid w:val="00E70995"/>
    <w:pPr>
      <w:autoSpaceDN/>
      <w:adjustRightInd w:val="0"/>
      <w:snapToGrid w:val="0"/>
      <w:spacing w:after="120" w:line="260" w:lineRule="atLeast"/>
      <w:textAlignment w:val="auto"/>
    </w:pPr>
    <w:rPr>
      <w:rFonts w:ascii="Palatino Linotype" w:eastAsia="Times New Roman" w:hAnsi="Palatino Linotype"/>
      <w:b/>
      <w:color w:val="000000"/>
      <w:sz w:val="20"/>
      <w:lang w:val="en-US" w:eastAsia="de-DE" w:bidi="en-US"/>
    </w:rPr>
  </w:style>
  <w:style w:type="paragraph" w:customStyle="1" w:styleId="MDPI12title">
    <w:name w:val="MDPI_1.2_title"/>
    <w:next w:val="MDPI13authornames"/>
    <w:qFormat/>
    <w:rsid w:val="00E70995"/>
    <w:pPr>
      <w:autoSpaceDN/>
      <w:adjustRightInd w:val="0"/>
      <w:snapToGrid w:val="0"/>
      <w:spacing w:after="240" w:line="240" w:lineRule="atLeast"/>
      <w:textAlignment w:val="auto"/>
    </w:pPr>
    <w:rPr>
      <w:rFonts w:ascii="Palatino Linotype" w:eastAsia="Times New Roman" w:hAnsi="Palatino Linotype"/>
      <w:b/>
      <w:snapToGrid w:val="0"/>
      <w:color w:val="000000"/>
      <w:sz w:val="36"/>
      <w:szCs w:val="20"/>
      <w:lang w:val="en-US" w:eastAsia="de-DE" w:bidi="en-US"/>
    </w:rPr>
  </w:style>
  <w:style w:type="paragraph" w:customStyle="1" w:styleId="MDPI11articletype">
    <w:name w:val="MDPI_1.1_article_type"/>
    <w:next w:val="MDPI12title"/>
    <w:qFormat/>
    <w:rsid w:val="00E70995"/>
    <w:pPr>
      <w:autoSpaceDN/>
      <w:adjustRightInd w:val="0"/>
      <w:snapToGrid w:val="0"/>
      <w:spacing w:before="240" w:after="0" w:line="240" w:lineRule="auto"/>
      <w:textAlignment w:val="auto"/>
    </w:pPr>
    <w:rPr>
      <w:rFonts w:ascii="Palatino Linotype" w:eastAsia="Times New Roman" w:hAnsi="Palatino Linotype"/>
      <w:i/>
      <w:snapToGrid w:val="0"/>
      <w:color w:val="000000"/>
      <w:sz w:val="20"/>
      <w:lang w:val="en-US" w:eastAsia="de-DE" w:bidi="en-US"/>
    </w:rPr>
  </w:style>
  <w:style w:type="paragraph" w:customStyle="1" w:styleId="MDPI14history">
    <w:name w:val="MDPI_1.4_history"/>
    <w:basedOn w:val="Normal"/>
    <w:next w:val="Normal"/>
    <w:qFormat/>
    <w:rsid w:val="00E70995"/>
    <w:pPr>
      <w:suppressAutoHyphens w:val="0"/>
      <w:autoSpaceDN/>
      <w:adjustRightInd w:val="0"/>
      <w:snapToGrid w:val="0"/>
      <w:spacing w:before="120" w:after="0" w:line="200" w:lineRule="atLeast"/>
      <w:ind w:left="113"/>
      <w:textAlignment w:val="auto"/>
    </w:pPr>
    <w:rPr>
      <w:rFonts w:ascii="Palatino Linotype" w:eastAsia="Times New Roman" w:hAnsi="Palatino Linotype"/>
      <w:color w:val="000000"/>
      <w:sz w:val="18"/>
      <w:szCs w:val="20"/>
      <w:lang w:val="en-US" w:eastAsia="de-DE" w:bidi="en-US"/>
    </w:rPr>
  </w:style>
  <w:style w:type="paragraph" w:customStyle="1" w:styleId="MDPI15academiceditor">
    <w:name w:val="MDPI_1.5_academic_editor"/>
    <w:qFormat/>
    <w:rsid w:val="00E70995"/>
    <w:pPr>
      <w:autoSpaceDN/>
      <w:adjustRightInd w:val="0"/>
      <w:snapToGrid w:val="0"/>
      <w:spacing w:after="0" w:line="260" w:lineRule="atLeast"/>
      <w:ind w:left="113"/>
      <w:textAlignment w:val="auto"/>
    </w:pPr>
    <w:rPr>
      <w:rFonts w:ascii="Palatino Linotype" w:eastAsia="Times New Roman" w:hAnsi="Palatino Linotype"/>
      <w:color w:val="000000"/>
      <w:sz w:val="18"/>
      <w:lang w:val="en-US" w:eastAsia="de-DE" w:bidi="en-US"/>
    </w:rPr>
  </w:style>
  <w:style w:type="paragraph" w:customStyle="1" w:styleId="MDPI16affiliation">
    <w:name w:val="MDPI_1.6_affiliation"/>
    <w:qFormat/>
    <w:rsid w:val="00E70995"/>
    <w:pPr>
      <w:autoSpaceDN/>
      <w:adjustRightInd w:val="0"/>
      <w:snapToGrid w:val="0"/>
      <w:spacing w:after="0" w:line="260" w:lineRule="atLeast"/>
      <w:ind w:left="311" w:hanging="198"/>
      <w:textAlignment w:val="auto"/>
    </w:pPr>
    <w:rPr>
      <w:rFonts w:ascii="Palatino Linotype" w:eastAsia="Times New Roman" w:hAnsi="Palatino Linotype"/>
      <w:color w:val="000000"/>
      <w:sz w:val="18"/>
      <w:szCs w:val="18"/>
      <w:lang w:val="en-US" w:eastAsia="de-DE" w:bidi="en-US"/>
    </w:rPr>
  </w:style>
  <w:style w:type="paragraph" w:customStyle="1" w:styleId="MDPI17abstract">
    <w:name w:val="MDPI_1.7_abstract"/>
    <w:next w:val="Normal"/>
    <w:qFormat/>
    <w:rsid w:val="00E70995"/>
    <w:pPr>
      <w:autoSpaceDN/>
      <w:adjustRightInd w:val="0"/>
      <w:snapToGrid w:val="0"/>
      <w:spacing w:before="240" w:after="0" w:line="260" w:lineRule="atLeast"/>
      <w:ind w:left="113"/>
      <w:jc w:val="both"/>
      <w:textAlignment w:val="auto"/>
    </w:pPr>
    <w:rPr>
      <w:rFonts w:ascii="Palatino Linotype" w:eastAsia="Times New Roman" w:hAnsi="Palatino Linotype"/>
      <w:color w:val="000000"/>
      <w:sz w:val="20"/>
      <w:lang w:val="en-US" w:eastAsia="de-DE" w:bidi="en-US"/>
    </w:rPr>
  </w:style>
  <w:style w:type="paragraph" w:customStyle="1" w:styleId="MDPI18keywords">
    <w:name w:val="MDPI_1.8_keywords"/>
    <w:next w:val="Normal"/>
    <w:qFormat/>
    <w:rsid w:val="00E70995"/>
    <w:pPr>
      <w:autoSpaceDN/>
      <w:adjustRightInd w:val="0"/>
      <w:snapToGrid w:val="0"/>
      <w:spacing w:before="240" w:after="0" w:line="260" w:lineRule="atLeast"/>
      <w:ind w:left="113"/>
      <w:jc w:val="both"/>
      <w:textAlignment w:val="auto"/>
    </w:pPr>
    <w:rPr>
      <w:rFonts w:ascii="Palatino Linotype" w:eastAsia="Times New Roman" w:hAnsi="Palatino Linotype"/>
      <w:snapToGrid w:val="0"/>
      <w:color w:val="000000"/>
      <w:sz w:val="20"/>
      <w:lang w:val="en-US" w:eastAsia="de-DE" w:bidi="en-US"/>
    </w:rPr>
  </w:style>
  <w:style w:type="paragraph" w:customStyle="1" w:styleId="MDPI19classification">
    <w:name w:val="MDPI_1.9_classification"/>
    <w:qFormat/>
    <w:rsid w:val="00E70995"/>
    <w:pPr>
      <w:autoSpaceDN/>
      <w:spacing w:before="240" w:after="0" w:line="260" w:lineRule="atLeast"/>
      <w:ind w:left="113"/>
      <w:jc w:val="both"/>
      <w:textAlignment w:val="auto"/>
    </w:pPr>
    <w:rPr>
      <w:rFonts w:ascii="Palatino Linotype" w:eastAsia="Times New Roman" w:hAnsi="Palatino Linotype"/>
      <w:b/>
      <w:color w:val="000000"/>
      <w:sz w:val="20"/>
      <w:lang w:val="en-US" w:eastAsia="de-DE" w:bidi="en-US"/>
    </w:rPr>
  </w:style>
  <w:style w:type="paragraph" w:customStyle="1" w:styleId="MDPI19line">
    <w:name w:val="MDPI_1.9_line"/>
    <w:qFormat/>
    <w:rsid w:val="00E70995"/>
    <w:pPr>
      <w:pBdr>
        <w:bottom w:val="single" w:sz="6" w:space="1" w:color="auto"/>
      </w:pBdr>
      <w:autoSpaceDN/>
      <w:spacing w:after="0" w:line="260" w:lineRule="atLeast"/>
      <w:jc w:val="both"/>
      <w:textAlignment w:val="auto"/>
    </w:pPr>
    <w:rPr>
      <w:rFonts w:ascii="Palatino Linotype" w:eastAsia="Times New Roman" w:hAnsi="Palatino Linotype" w:cstheme="minorBidi"/>
      <w:color w:val="000000"/>
      <w:sz w:val="20"/>
      <w:szCs w:val="24"/>
      <w:lang w:val="en-US" w:eastAsia="de-DE" w:bidi="en-US"/>
    </w:rPr>
  </w:style>
  <w:style w:type="paragraph" w:customStyle="1" w:styleId="MDPI21heading1">
    <w:name w:val="MDPI_2.1_heading1"/>
    <w:qFormat/>
    <w:rsid w:val="00E70995"/>
    <w:pPr>
      <w:autoSpaceDN/>
      <w:adjustRightInd w:val="0"/>
      <w:snapToGrid w:val="0"/>
      <w:spacing w:before="240" w:after="120" w:line="260" w:lineRule="atLeast"/>
      <w:jc w:val="both"/>
      <w:textAlignment w:val="auto"/>
      <w:outlineLvl w:val="0"/>
    </w:pPr>
    <w:rPr>
      <w:rFonts w:ascii="Palatino Linotype" w:eastAsia="Times New Roman" w:hAnsi="Palatino Linotype"/>
      <w:b/>
      <w:snapToGrid w:val="0"/>
      <w:color w:val="000000"/>
      <w:sz w:val="20"/>
      <w:lang w:val="en-US" w:eastAsia="de-DE" w:bidi="en-US"/>
    </w:rPr>
  </w:style>
  <w:style w:type="paragraph" w:customStyle="1" w:styleId="MDPI22heading2">
    <w:name w:val="MDPI_2.2_heading2"/>
    <w:qFormat/>
    <w:rsid w:val="00E70995"/>
    <w:pPr>
      <w:autoSpaceDN/>
      <w:adjustRightInd w:val="0"/>
      <w:snapToGrid w:val="0"/>
      <w:spacing w:before="240" w:after="120" w:line="260" w:lineRule="atLeast"/>
      <w:textAlignment w:val="auto"/>
      <w:outlineLvl w:val="1"/>
    </w:pPr>
    <w:rPr>
      <w:rFonts w:ascii="Palatino Linotype" w:eastAsia="Times New Roman" w:hAnsi="Palatino Linotype"/>
      <w:i/>
      <w:noProof/>
      <w:snapToGrid w:val="0"/>
      <w:color w:val="000000"/>
      <w:sz w:val="20"/>
      <w:lang w:val="en-US" w:eastAsia="de-DE" w:bidi="en-US"/>
    </w:rPr>
  </w:style>
  <w:style w:type="paragraph" w:customStyle="1" w:styleId="MDPI23heading3">
    <w:name w:val="MDPI_2.3_heading3"/>
    <w:qFormat/>
    <w:rsid w:val="00E70995"/>
    <w:pPr>
      <w:autoSpaceDN/>
      <w:adjustRightInd w:val="0"/>
      <w:snapToGrid w:val="0"/>
      <w:spacing w:before="240" w:after="120" w:line="260" w:lineRule="atLeast"/>
      <w:textAlignment w:val="auto"/>
      <w:outlineLvl w:val="2"/>
    </w:pPr>
    <w:rPr>
      <w:rFonts w:ascii="Palatino Linotype" w:eastAsia="Times New Roman" w:hAnsi="Palatino Linotype"/>
      <w:snapToGrid w:val="0"/>
      <w:color w:val="000000"/>
      <w:sz w:val="20"/>
      <w:lang w:val="en-US" w:eastAsia="de-DE" w:bidi="en-US"/>
    </w:rPr>
  </w:style>
  <w:style w:type="paragraph" w:customStyle="1" w:styleId="MDPI32textnoindent">
    <w:name w:val="MDPI_3.2_text_no_indent"/>
    <w:qFormat/>
    <w:rsid w:val="00E70995"/>
    <w:pPr>
      <w:autoSpaceDN/>
      <w:adjustRightInd w:val="0"/>
      <w:snapToGrid w:val="0"/>
      <w:spacing w:after="0" w:line="260" w:lineRule="atLeast"/>
      <w:jc w:val="both"/>
      <w:textAlignment w:val="auto"/>
    </w:pPr>
    <w:rPr>
      <w:rFonts w:ascii="Palatino Linotype" w:eastAsia="Times New Roman" w:hAnsi="Palatino Linotype"/>
      <w:snapToGrid w:val="0"/>
      <w:color w:val="000000"/>
      <w:sz w:val="20"/>
      <w:lang w:val="en-US" w:eastAsia="de-DE" w:bidi="en-US"/>
    </w:rPr>
  </w:style>
  <w:style w:type="paragraph" w:customStyle="1" w:styleId="MDPI33textspaceafter">
    <w:name w:val="MDPI_3.3_text_space_after"/>
    <w:qFormat/>
    <w:rsid w:val="00E70995"/>
    <w:pPr>
      <w:autoSpaceDN/>
      <w:spacing w:after="240" w:line="260" w:lineRule="atLeast"/>
      <w:jc w:val="both"/>
      <w:textAlignment w:val="auto"/>
    </w:pPr>
    <w:rPr>
      <w:rFonts w:ascii="Palatino Linotype" w:eastAsia="Times New Roman" w:hAnsi="Palatino Linotype"/>
      <w:snapToGrid w:val="0"/>
      <w:color w:val="000000"/>
      <w:sz w:val="20"/>
      <w:lang w:val="en-US" w:eastAsia="de-DE" w:bidi="en-US"/>
    </w:rPr>
  </w:style>
  <w:style w:type="paragraph" w:customStyle="1" w:styleId="MDPI34textspacebefore">
    <w:name w:val="MDPI_3.4_text_space_before"/>
    <w:qFormat/>
    <w:rsid w:val="00E70995"/>
    <w:pPr>
      <w:autoSpaceDN/>
      <w:spacing w:before="240" w:after="0" w:line="260" w:lineRule="atLeast"/>
      <w:jc w:val="both"/>
      <w:textAlignment w:val="auto"/>
    </w:pPr>
    <w:rPr>
      <w:rFonts w:ascii="Palatino Linotype" w:eastAsia="Times New Roman" w:hAnsi="Palatino Linotype"/>
      <w:snapToGrid w:val="0"/>
      <w:color w:val="000000"/>
      <w:sz w:val="20"/>
      <w:lang w:val="en-US" w:eastAsia="de-DE" w:bidi="en-US"/>
    </w:rPr>
  </w:style>
  <w:style w:type="paragraph" w:customStyle="1" w:styleId="MDPI35textbeforelist">
    <w:name w:val="MDPI_3.5_text_before_list"/>
    <w:qFormat/>
    <w:rsid w:val="00E70995"/>
    <w:pPr>
      <w:autoSpaceDN/>
      <w:spacing w:after="120" w:line="260" w:lineRule="atLeast"/>
      <w:jc w:val="both"/>
      <w:textAlignment w:val="auto"/>
    </w:pPr>
    <w:rPr>
      <w:rFonts w:ascii="Palatino Linotype" w:eastAsia="Times New Roman" w:hAnsi="Palatino Linotype"/>
      <w:snapToGrid w:val="0"/>
      <w:color w:val="000000"/>
      <w:sz w:val="20"/>
      <w:lang w:val="en-US" w:eastAsia="de-DE" w:bidi="en-US"/>
    </w:rPr>
  </w:style>
  <w:style w:type="paragraph" w:customStyle="1" w:styleId="MDPI36textafterlist">
    <w:name w:val="MDPI_3.6_text_after_list"/>
    <w:qFormat/>
    <w:rsid w:val="00E70995"/>
    <w:pPr>
      <w:autoSpaceDN/>
      <w:spacing w:before="120" w:after="0" w:line="260" w:lineRule="atLeast"/>
      <w:jc w:val="both"/>
      <w:textAlignment w:val="auto"/>
    </w:pPr>
    <w:rPr>
      <w:rFonts w:ascii="Palatino Linotype" w:eastAsia="Times New Roman" w:hAnsi="Palatino Linotype"/>
      <w:snapToGrid w:val="0"/>
      <w:color w:val="000000"/>
      <w:sz w:val="20"/>
      <w:lang w:val="en-US" w:eastAsia="de-DE" w:bidi="en-US"/>
    </w:rPr>
  </w:style>
  <w:style w:type="paragraph" w:customStyle="1" w:styleId="MDPI37itemize">
    <w:name w:val="MDPI_3.7_itemize"/>
    <w:qFormat/>
    <w:rsid w:val="00E70995"/>
    <w:pPr>
      <w:numPr>
        <w:numId w:val="2"/>
      </w:numPr>
      <w:autoSpaceDN/>
      <w:spacing w:after="0" w:line="260" w:lineRule="atLeast"/>
      <w:jc w:val="both"/>
      <w:textAlignment w:val="auto"/>
    </w:pPr>
    <w:rPr>
      <w:rFonts w:ascii="Palatino Linotype" w:eastAsia="Times New Roman" w:hAnsi="Palatino Linotype"/>
      <w:snapToGrid w:val="0"/>
      <w:color w:val="000000"/>
      <w:sz w:val="20"/>
      <w:lang w:val="en-US" w:eastAsia="de-DE" w:bidi="en-US"/>
    </w:rPr>
  </w:style>
  <w:style w:type="paragraph" w:customStyle="1" w:styleId="MDPI38bullet">
    <w:name w:val="MDPI_3.8_bullet"/>
    <w:qFormat/>
    <w:rsid w:val="00E70995"/>
    <w:pPr>
      <w:numPr>
        <w:numId w:val="3"/>
      </w:numPr>
      <w:autoSpaceDN/>
      <w:adjustRightInd w:val="0"/>
      <w:snapToGrid w:val="0"/>
      <w:spacing w:after="0" w:line="260" w:lineRule="atLeast"/>
      <w:jc w:val="both"/>
      <w:textAlignment w:val="auto"/>
    </w:pPr>
    <w:rPr>
      <w:rFonts w:ascii="Palatino Linotype" w:eastAsia="Times New Roman" w:hAnsi="Palatino Linotype"/>
      <w:snapToGrid w:val="0"/>
      <w:color w:val="000000"/>
      <w:sz w:val="20"/>
      <w:lang w:val="en-US" w:eastAsia="de-DE" w:bidi="en-US"/>
    </w:rPr>
  </w:style>
  <w:style w:type="paragraph" w:customStyle="1" w:styleId="MDPI39equation">
    <w:name w:val="MDPI_3.9_equation"/>
    <w:qFormat/>
    <w:rsid w:val="00E70995"/>
    <w:pPr>
      <w:autoSpaceDN/>
      <w:adjustRightInd w:val="0"/>
      <w:snapToGrid w:val="0"/>
      <w:spacing w:before="120" w:after="120" w:line="260" w:lineRule="atLeast"/>
      <w:ind w:left="709"/>
      <w:jc w:val="center"/>
      <w:textAlignment w:val="auto"/>
    </w:pPr>
    <w:rPr>
      <w:rFonts w:ascii="Palatino Linotype" w:eastAsia="Times New Roman" w:hAnsi="Palatino Linotype"/>
      <w:snapToGrid w:val="0"/>
      <w:color w:val="000000"/>
      <w:sz w:val="20"/>
      <w:lang w:val="en-US" w:eastAsia="de-DE" w:bidi="en-US"/>
    </w:rPr>
  </w:style>
  <w:style w:type="paragraph" w:customStyle="1" w:styleId="MDPI3aequationnumber">
    <w:name w:val="MDPI_3.a_equation_number"/>
    <w:qFormat/>
    <w:rsid w:val="00E70995"/>
    <w:pPr>
      <w:autoSpaceDN/>
      <w:spacing w:before="120" w:after="120" w:line="240" w:lineRule="auto"/>
      <w:jc w:val="right"/>
      <w:textAlignment w:val="auto"/>
    </w:pPr>
    <w:rPr>
      <w:rFonts w:ascii="Palatino Linotype" w:eastAsia="Times New Roman" w:hAnsi="Palatino Linotype"/>
      <w:snapToGrid w:val="0"/>
      <w:color w:val="000000"/>
      <w:sz w:val="20"/>
      <w:lang w:val="en-US" w:eastAsia="de-DE" w:bidi="en-US"/>
    </w:rPr>
  </w:style>
  <w:style w:type="paragraph" w:customStyle="1" w:styleId="MDPI411onetablecaption">
    <w:name w:val="MDPI_4.1.1_one_table_caption"/>
    <w:qFormat/>
    <w:rsid w:val="00E70995"/>
    <w:pPr>
      <w:autoSpaceDN/>
      <w:adjustRightInd w:val="0"/>
      <w:snapToGrid w:val="0"/>
      <w:spacing w:before="240" w:after="120" w:line="260" w:lineRule="atLeast"/>
      <w:jc w:val="center"/>
      <w:textAlignment w:val="auto"/>
    </w:pPr>
    <w:rPr>
      <w:rFonts w:ascii="Palatino Linotype" w:eastAsiaTheme="minorEastAsia" w:hAnsi="Palatino Linotype" w:cstheme="minorBidi"/>
      <w:noProof/>
      <w:color w:val="000000"/>
      <w:sz w:val="18"/>
      <w:lang w:val="en-US" w:eastAsia="zh-CN" w:bidi="en-US"/>
    </w:rPr>
  </w:style>
  <w:style w:type="paragraph" w:customStyle="1" w:styleId="MDPI41tablecaption">
    <w:name w:val="MDPI_4.1_table_caption"/>
    <w:qFormat/>
    <w:rsid w:val="00E70995"/>
    <w:pPr>
      <w:autoSpaceDN/>
      <w:adjustRightInd w:val="0"/>
      <w:snapToGrid w:val="0"/>
      <w:spacing w:before="240" w:after="120" w:line="260" w:lineRule="atLeast"/>
      <w:ind w:left="425" w:right="425"/>
      <w:jc w:val="both"/>
      <w:textAlignment w:val="auto"/>
    </w:pPr>
    <w:rPr>
      <w:rFonts w:ascii="Palatino Linotype" w:eastAsia="Times New Roman" w:hAnsi="Palatino Linotype" w:cstheme="minorBidi"/>
      <w:color w:val="000000"/>
      <w:sz w:val="18"/>
      <w:lang w:val="en-US" w:eastAsia="de-DE" w:bidi="en-US"/>
    </w:rPr>
  </w:style>
  <w:style w:type="table" w:customStyle="1" w:styleId="MDPI41threelinetable">
    <w:name w:val="MDPI_4.1_three_line_table"/>
    <w:basedOn w:val="TableNormal"/>
    <w:uiPriority w:val="99"/>
    <w:rsid w:val="00E70995"/>
    <w:pPr>
      <w:autoSpaceDN/>
      <w:adjustRightInd w:val="0"/>
      <w:snapToGrid w:val="0"/>
      <w:spacing w:after="0" w:line="240" w:lineRule="auto"/>
      <w:jc w:val="center"/>
      <w:textAlignment w:val="auto"/>
    </w:pPr>
    <w:rPr>
      <w:rFonts w:ascii="Palatino Linotype" w:eastAsiaTheme="minorEastAsia" w:hAnsi="Palatino Linotype"/>
      <w:color w:val="000000"/>
      <w:sz w:val="20"/>
      <w:szCs w:val="20"/>
      <w:lang w:val="en-US" w:eastAsia="zh-CN"/>
    </w:rPr>
    <w:tblPr>
      <w:jc w:val="center"/>
      <w:tblInd w:w="0" w:type="dxa"/>
      <w:tblBorders>
        <w:top w:val="single" w:sz="8" w:space="0" w:color="auto"/>
        <w:bottom w:val="single" w:sz="8" w:space="0" w:color="auto"/>
      </w:tblBorders>
      <w:tblCellMar>
        <w:top w:w="0" w:type="dxa"/>
        <w:left w:w="108" w:type="dxa"/>
        <w:bottom w:w="0" w:type="dxa"/>
        <w:right w:w="108" w:type="dxa"/>
      </w:tblCellMar>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paragraph" w:customStyle="1" w:styleId="MDPI43tablefooter">
    <w:name w:val="MDPI_4.3_table_footer"/>
    <w:next w:val="MDPI31text"/>
    <w:qFormat/>
    <w:rsid w:val="00E70995"/>
    <w:pPr>
      <w:autoSpaceDN/>
      <w:adjustRightInd w:val="0"/>
      <w:snapToGrid w:val="0"/>
      <w:spacing w:after="240" w:line="260" w:lineRule="atLeast"/>
      <w:jc w:val="both"/>
      <w:textAlignment w:val="auto"/>
    </w:pPr>
    <w:rPr>
      <w:rFonts w:ascii="Palatino Linotype" w:eastAsia="Times New Roman" w:hAnsi="Palatino Linotype" w:cstheme="minorBidi"/>
      <w:color w:val="000000"/>
      <w:sz w:val="18"/>
      <w:lang w:val="en-US" w:eastAsia="de-DE" w:bidi="en-US"/>
    </w:rPr>
  </w:style>
  <w:style w:type="paragraph" w:customStyle="1" w:styleId="MDPI511onefigurecaption">
    <w:name w:val="MDPI_5.1.1_one_figure_caption"/>
    <w:qFormat/>
    <w:rsid w:val="00E70995"/>
    <w:pPr>
      <w:autoSpaceDN/>
      <w:adjustRightInd w:val="0"/>
      <w:snapToGrid w:val="0"/>
      <w:spacing w:before="240" w:after="120" w:line="260" w:lineRule="atLeast"/>
      <w:jc w:val="center"/>
      <w:textAlignment w:val="auto"/>
    </w:pPr>
    <w:rPr>
      <w:rFonts w:ascii="Palatino Linotype" w:eastAsiaTheme="minorEastAsia" w:hAnsi="Palatino Linotype"/>
      <w:noProof/>
      <w:color w:val="000000"/>
      <w:sz w:val="18"/>
      <w:szCs w:val="20"/>
      <w:lang w:val="en-US" w:eastAsia="zh-CN" w:bidi="en-US"/>
    </w:rPr>
  </w:style>
  <w:style w:type="paragraph" w:customStyle="1" w:styleId="MDPI51figurecaption">
    <w:name w:val="MDPI_5.1_figure_caption"/>
    <w:qFormat/>
    <w:rsid w:val="00E70995"/>
    <w:pPr>
      <w:autoSpaceDN/>
      <w:adjustRightInd w:val="0"/>
      <w:snapToGrid w:val="0"/>
      <w:spacing w:before="120" w:after="240" w:line="260" w:lineRule="atLeast"/>
      <w:ind w:left="425" w:right="425"/>
      <w:jc w:val="both"/>
      <w:textAlignment w:val="auto"/>
    </w:pPr>
    <w:rPr>
      <w:rFonts w:ascii="Palatino Linotype" w:eastAsia="Times New Roman" w:hAnsi="Palatino Linotype"/>
      <w:color w:val="000000"/>
      <w:sz w:val="18"/>
      <w:szCs w:val="20"/>
      <w:lang w:val="en-US" w:eastAsia="de-DE" w:bidi="en-US"/>
    </w:rPr>
  </w:style>
  <w:style w:type="paragraph" w:customStyle="1" w:styleId="MDPI52figure">
    <w:name w:val="MDPI_5.2_figure"/>
    <w:qFormat/>
    <w:rsid w:val="00E70995"/>
    <w:pPr>
      <w:autoSpaceDN/>
      <w:adjustRightInd w:val="0"/>
      <w:snapToGrid w:val="0"/>
      <w:spacing w:before="240" w:after="120" w:line="260" w:lineRule="atLeast"/>
      <w:jc w:val="center"/>
      <w:textAlignment w:val="auto"/>
    </w:pPr>
    <w:rPr>
      <w:rFonts w:ascii="Palatino Linotype" w:eastAsia="Times New Roman" w:hAnsi="Palatino Linotype"/>
      <w:snapToGrid w:val="0"/>
      <w:color w:val="000000"/>
      <w:sz w:val="20"/>
      <w:szCs w:val="20"/>
      <w:lang w:val="en-US" w:eastAsia="de-DE" w:bidi="en-US"/>
    </w:rPr>
  </w:style>
  <w:style w:type="paragraph" w:customStyle="1" w:styleId="MDPI62Acknowledgments">
    <w:name w:val="MDPI_6.2_Acknowledgments"/>
    <w:qFormat/>
    <w:rsid w:val="00E70995"/>
    <w:pPr>
      <w:autoSpaceDN/>
      <w:adjustRightInd w:val="0"/>
      <w:snapToGrid w:val="0"/>
      <w:spacing w:before="120" w:after="0" w:line="200" w:lineRule="atLeast"/>
      <w:jc w:val="both"/>
      <w:textAlignment w:val="auto"/>
    </w:pPr>
    <w:rPr>
      <w:rFonts w:ascii="Palatino Linotype" w:eastAsia="Times New Roman" w:hAnsi="Palatino Linotype"/>
      <w:snapToGrid w:val="0"/>
      <w:color w:val="000000"/>
      <w:sz w:val="18"/>
      <w:szCs w:val="20"/>
      <w:lang w:val="en-US" w:eastAsia="de-DE" w:bidi="en-US"/>
    </w:rPr>
  </w:style>
  <w:style w:type="paragraph" w:customStyle="1" w:styleId="MDPI63AuthorContributions">
    <w:name w:val="MDPI_6.3_AuthorContributions"/>
    <w:qFormat/>
    <w:rsid w:val="00E70995"/>
    <w:pPr>
      <w:autoSpaceDN/>
      <w:spacing w:after="0" w:line="260" w:lineRule="atLeast"/>
      <w:jc w:val="both"/>
      <w:textAlignment w:val="auto"/>
    </w:pPr>
    <w:rPr>
      <w:rFonts w:ascii="Palatino Linotype" w:eastAsia="SimSun" w:hAnsi="Palatino Linotype"/>
      <w:snapToGrid w:val="0"/>
      <w:sz w:val="18"/>
      <w:szCs w:val="20"/>
      <w:lang w:val="en-US" w:bidi="en-US"/>
    </w:rPr>
  </w:style>
  <w:style w:type="paragraph" w:customStyle="1" w:styleId="MDPI64CoI">
    <w:name w:val="MDPI_6.4_CoI"/>
    <w:qFormat/>
    <w:rsid w:val="00E70995"/>
    <w:pPr>
      <w:autoSpaceDN/>
      <w:adjustRightInd w:val="0"/>
      <w:snapToGrid w:val="0"/>
      <w:spacing w:before="120" w:after="120" w:line="260" w:lineRule="atLeast"/>
      <w:jc w:val="both"/>
      <w:textAlignment w:val="auto"/>
    </w:pPr>
    <w:rPr>
      <w:rFonts w:ascii="Palatino Linotype" w:eastAsia="Times New Roman" w:hAnsi="Palatino Linotype"/>
      <w:snapToGrid w:val="0"/>
      <w:color w:val="000000"/>
      <w:sz w:val="18"/>
      <w:szCs w:val="20"/>
      <w:lang w:val="en-US" w:eastAsia="de-DE" w:bidi="en-US"/>
    </w:rPr>
  </w:style>
  <w:style w:type="paragraph" w:customStyle="1" w:styleId="MDPI71References">
    <w:name w:val="MDPI_7.1_References"/>
    <w:qFormat/>
    <w:rsid w:val="00E70995"/>
    <w:pPr>
      <w:numPr>
        <w:numId w:val="4"/>
      </w:numPr>
      <w:autoSpaceDN/>
      <w:spacing w:after="0" w:line="260" w:lineRule="atLeast"/>
      <w:jc w:val="both"/>
      <w:textAlignment w:val="auto"/>
    </w:pPr>
    <w:rPr>
      <w:rFonts w:ascii="Palatino Linotype" w:eastAsia="Times New Roman" w:hAnsi="Palatino Linotype"/>
      <w:snapToGrid w:val="0"/>
      <w:color w:val="000000"/>
      <w:sz w:val="18"/>
      <w:szCs w:val="20"/>
      <w:lang w:val="en-US" w:eastAsia="de-DE" w:bidi="en-US"/>
    </w:rPr>
  </w:style>
  <w:style w:type="paragraph" w:customStyle="1" w:styleId="MDPI72Copyright">
    <w:name w:val="MDPI_7.2_Copyright"/>
    <w:qFormat/>
    <w:rsid w:val="00E70995"/>
    <w:pPr>
      <w:autoSpaceDN/>
      <w:adjustRightInd w:val="0"/>
      <w:snapToGrid w:val="0"/>
      <w:spacing w:before="400" w:after="0" w:line="260" w:lineRule="atLeast"/>
      <w:jc w:val="both"/>
      <w:textAlignment w:val="auto"/>
    </w:pPr>
    <w:rPr>
      <w:rFonts w:ascii="Palatino Linotype" w:eastAsia="Times New Roman" w:hAnsi="Palatino Linotype"/>
      <w:noProof/>
      <w:snapToGrid w:val="0"/>
      <w:color w:val="000000"/>
      <w:spacing w:val="-2"/>
      <w:sz w:val="18"/>
      <w:szCs w:val="20"/>
      <w:lang w:val="en-GB" w:eastAsia="en-GB"/>
    </w:rPr>
  </w:style>
  <w:style w:type="paragraph" w:customStyle="1" w:styleId="MDPI73CopyrightImage">
    <w:name w:val="MDPI_7.3_CopyrightImage"/>
    <w:rsid w:val="00E70995"/>
    <w:pPr>
      <w:autoSpaceDN/>
      <w:adjustRightInd w:val="0"/>
      <w:snapToGrid w:val="0"/>
      <w:spacing w:after="100" w:line="260" w:lineRule="atLeast"/>
      <w:jc w:val="right"/>
      <w:textAlignment w:val="auto"/>
    </w:pPr>
    <w:rPr>
      <w:rFonts w:ascii="Palatino Linotype" w:eastAsia="Times New Roman" w:hAnsi="Palatino Linotype"/>
      <w:color w:val="000000"/>
      <w:sz w:val="20"/>
      <w:szCs w:val="20"/>
      <w:lang w:val="en-US" w:eastAsia="de-CH"/>
    </w:rPr>
  </w:style>
  <w:style w:type="paragraph" w:customStyle="1" w:styleId="MDPI81theorem">
    <w:name w:val="MDPI_8.1_theorem"/>
    <w:qFormat/>
    <w:rsid w:val="00E70995"/>
    <w:pPr>
      <w:autoSpaceDN/>
      <w:spacing w:after="0" w:line="260" w:lineRule="atLeast"/>
      <w:jc w:val="both"/>
      <w:textAlignment w:val="auto"/>
    </w:pPr>
    <w:rPr>
      <w:rFonts w:ascii="Palatino Linotype" w:eastAsia="Times New Roman" w:hAnsi="Palatino Linotype"/>
      <w:i/>
      <w:snapToGrid w:val="0"/>
      <w:color w:val="000000"/>
      <w:sz w:val="20"/>
      <w:lang w:val="en-US" w:eastAsia="de-DE" w:bidi="en-US"/>
    </w:rPr>
  </w:style>
  <w:style w:type="paragraph" w:customStyle="1" w:styleId="MDPI82proof">
    <w:name w:val="MDPI_8.2_proof"/>
    <w:qFormat/>
    <w:rsid w:val="00E70995"/>
    <w:pPr>
      <w:autoSpaceDN/>
      <w:spacing w:after="0" w:line="260" w:lineRule="atLeast"/>
      <w:jc w:val="both"/>
      <w:textAlignment w:val="auto"/>
    </w:pPr>
    <w:rPr>
      <w:rFonts w:ascii="Palatino Linotype" w:eastAsia="Times New Roman" w:hAnsi="Palatino Linotype"/>
      <w:snapToGrid w:val="0"/>
      <w:color w:val="000000"/>
      <w:sz w:val="20"/>
      <w:lang w:val="en-US" w:eastAsia="de-DE" w:bidi="en-US"/>
    </w:rPr>
  </w:style>
  <w:style w:type="paragraph" w:customStyle="1" w:styleId="MDPIequationFram">
    <w:name w:val="MDPI_equationFram"/>
    <w:qFormat/>
    <w:rsid w:val="00E70995"/>
    <w:pPr>
      <w:autoSpaceDN/>
      <w:adjustRightInd w:val="0"/>
      <w:snapToGrid w:val="0"/>
      <w:spacing w:before="120" w:after="120" w:line="240" w:lineRule="auto"/>
      <w:jc w:val="center"/>
      <w:textAlignment w:val="auto"/>
    </w:pPr>
    <w:rPr>
      <w:rFonts w:ascii="Palatino Linotype" w:eastAsia="Times New Roman" w:hAnsi="Palatino Linotype"/>
      <w:snapToGrid w:val="0"/>
      <w:color w:val="000000"/>
      <w:sz w:val="20"/>
      <w:lang w:val="en-US" w:eastAsia="de-DE" w:bidi="en-US"/>
    </w:rPr>
  </w:style>
  <w:style w:type="paragraph" w:customStyle="1" w:styleId="MDPIfooter">
    <w:name w:val="MDPI_footer"/>
    <w:qFormat/>
    <w:rsid w:val="00E70995"/>
    <w:pPr>
      <w:autoSpaceDN/>
      <w:adjustRightInd w:val="0"/>
      <w:snapToGrid w:val="0"/>
      <w:spacing w:before="120" w:after="0" w:line="260" w:lineRule="atLeast"/>
      <w:jc w:val="center"/>
      <w:textAlignment w:val="auto"/>
    </w:pPr>
    <w:rPr>
      <w:rFonts w:ascii="Palatino Linotype" w:eastAsia="Times New Roman" w:hAnsi="Palatino Linotype"/>
      <w:color w:val="000000"/>
      <w:sz w:val="20"/>
      <w:szCs w:val="20"/>
      <w:lang w:val="en-US" w:eastAsia="de-DE"/>
    </w:rPr>
  </w:style>
  <w:style w:type="paragraph" w:customStyle="1" w:styleId="MDPIfooterfirstpage">
    <w:name w:val="MDPI_footer_firstpage"/>
    <w:qFormat/>
    <w:rsid w:val="00E70995"/>
    <w:pPr>
      <w:tabs>
        <w:tab w:val="right" w:pos="8845"/>
      </w:tabs>
      <w:autoSpaceDN/>
      <w:spacing w:after="0" w:line="160" w:lineRule="exact"/>
      <w:textAlignment w:val="auto"/>
    </w:pPr>
    <w:rPr>
      <w:rFonts w:ascii="Palatino Linotype" w:eastAsia="Times New Roman" w:hAnsi="Palatino Linotype"/>
      <w:color w:val="000000"/>
      <w:sz w:val="16"/>
      <w:szCs w:val="20"/>
      <w:lang w:val="en-US" w:eastAsia="de-DE"/>
    </w:rPr>
  </w:style>
  <w:style w:type="paragraph" w:customStyle="1" w:styleId="MDPIheader">
    <w:name w:val="MDPI_header"/>
    <w:qFormat/>
    <w:rsid w:val="00E70995"/>
    <w:pPr>
      <w:autoSpaceDN/>
      <w:adjustRightInd w:val="0"/>
      <w:snapToGrid w:val="0"/>
      <w:spacing w:after="240" w:line="260" w:lineRule="atLeast"/>
      <w:jc w:val="both"/>
      <w:textAlignment w:val="auto"/>
    </w:pPr>
    <w:rPr>
      <w:rFonts w:ascii="Palatino Linotype" w:eastAsia="Times New Roman" w:hAnsi="Palatino Linotype"/>
      <w:iCs/>
      <w:color w:val="000000"/>
      <w:sz w:val="16"/>
      <w:szCs w:val="20"/>
      <w:lang w:val="en-US" w:eastAsia="de-DE"/>
    </w:rPr>
  </w:style>
  <w:style w:type="paragraph" w:customStyle="1" w:styleId="MDPIheadercitation">
    <w:name w:val="MDPI_header_citation"/>
    <w:rsid w:val="00E70995"/>
    <w:pPr>
      <w:autoSpaceDN/>
      <w:spacing w:after="240" w:line="240" w:lineRule="auto"/>
      <w:textAlignment w:val="auto"/>
    </w:pPr>
    <w:rPr>
      <w:rFonts w:ascii="Palatino Linotype" w:eastAsia="Times New Roman" w:hAnsi="Palatino Linotype"/>
      <w:snapToGrid w:val="0"/>
      <w:color w:val="000000"/>
      <w:sz w:val="18"/>
      <w:szCs w:val="20"/>
      <w:lang w:val="en-US" w:eastAsia="de-DE" w:bidi="en-US"/>
    </w:rPr>
  </w:style>
  <w:style w:type="paragraph" w:customStyle="1" w:styleId="MDPIheaderjournallogo">
    <w:name w:val="MDPI_header_journal_logo"/>
    <w:qFormat/>
    <w:rsid w:val="00E70995"/>
    <w:pPr>
      <w:autoSpaceDN/>
      <w:adjustRightInd w:val="0"/>
      <w:snapToGrid w:val="0"/>
      <w:spacing w:after="0" w:line="260" w:lineRule="atLeast"/>
      <w:jc w:val="both"/>
      <w:textAlignment w:val="auto"/>
    </w:pPr>
    <w:rPr>
      <w:rFonts w:ascii="Palatino Linotype" w:eastAsia="Times New Roman" w:hAnsi="Palatino Linotype"/>
      <w:i/>
      <w:color w:val="000000"/>
      <w:sz w:val="24"/>
      <w:lang w:val="en-US" w:eastAsia="de-CH"/>
    </w:rPr>
  </w:style>
  <w:style w:type="paragraph" w:customStyle="1" w:styleId="MDPIheadermdpilogo">
    <w:name w:val="MDPI_header_mdpi_logo"/>
    <w:qFormat/>
    <w:rsid w:val="00E70995"/>
    <w:pPr>
      <w:autoSpaceDN/>
      <w:adjustRightInd w:val="0"/>
      <w:snapToGrid w:val="0"/>
      <w:spacing w:after="0" w:line="260" w:lineRule="atLeast"/>
      <w:jc w:val="right"/>
      <w:textAlignment w:val="auto"/>
    </w:pPr>
    <w:rPr>
      <w:rFonts w:ascii="Palatino Linotype" w:eastAsia="Times New Roman" w:hAnsi="Palatino Linotype"/>
      <w:color w:val="000000"/>
      <w:sz w:val="24"/>
      <w:lang w:val="en-US" w:eastAsia="de-CH"/>
    </w:rPr>
  </w:style>
  <w:style w:type="paragraph" w:customStyle="1" w:styleId="MDPItext">
    <w:name w:val="MDPI_text"/>
    <w:qFormat/>
    <w:rsid w:val="00E70995"/>
    <w:pPr>
      <w:autoSpaceDN/>
      <w:spacing w:after="0" w:line="260" w:lineRule="atLeast"/>
      <w:ind w:left="425" w:right="425" w:firstLine="284"/>
      <w:jc w:val="both"/>
      <w:textAlignment w:val="auto"/>
    </w:pPr>
    <w:rPr>
      <w:rFonts w:ascii="Times New Roman" w:eastAsia="Times New Roman" w:hAnsi="Times New Roman"/>
      <w:noProof/>
      <w:snapToGrid w:val="0"/>
      <w:color w:val="000000"/>
      <w:lang w:val="en-US" w:eastAsia="de-DE" w:bidi="en-US"/>
    </w:rPr>
  </w:style>
  <w:style w:type="paragraph" w:customStyle="1" w:styleId="MDPItitle">
    <w:name w:val="MDPI_title"/>
    <w:qFormat/>
    <w:rsid w:val="00E70995"/>
    <w:pPr>
      <w:autoSpaceDN/>
      <w:adjustRightInd w:val="0"/>
      <w:snapToGrid w:val="0"/>
      <w:spacing w:after="240" w:line="260" w:lineRule="atLeast"/>
      <w:jc w:val="both"/>
      <w:textAlignment w:val="auto"/>
    </w:pPr>
    <w:rPr>
      <w:rFonts w:ascii="Palatino Linotype" w:eastAsia="Times New Roman" w:hAnsi="Palatino Linotype"/>
      <w:b/>
      <w:snapToGrid w:val="0"/>
      <w:color w:val="000000"/>
      <w:sz w:val="36"/>
      <w:szCs w:val="20"/>
      <w:lang w:val="en-US" w:eastAsia="de-DE"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6835561">
      <w:bodyDiv w:val="1"/>
      <w:marLeft w:val="0"/>
      <w:marRight w:val="0"/>
      <w:marTop w:val="0"/>
      <w:marBottom w:val="0"/>
      <w:divBdr>
        <w:top w:val="none" w:sz="0" w:space="0" w:color="auto"/>
        <w:left w:val="none" w:sz="0" w:space="0" w:color="auto"/>
        <w:bottom w:val="none" w:sz="0" w:space="0" w:color="auto"/>
        <w:right w:val="none" w:sz="0" w:space="0" w:color="auto"/>
      </w:divBdr>
    </w:div>
    <w:div w:id="465008301">
      <w:bodyDiv w:val="1"/>
      <w:marLeft w:val="0"/>
      <w:marRight w:val="0"/>
      <w:marTop w:val="0"/>
      <w:marBottom w:val="0"/>
      <w:divBdr>
        <w:top w:val="none" w:sz="0" w:space="0" w:color="auto"/>
        <w:left w:val="none" w:sz="0" w:space="0" w:color="auto"/>
        <w:bottom w:val="none" w:sz="0" w:space="0" w:color="auto"/>
        <w:right w:val="none" w:sz="0" w:space="0" w:color="auto"/>
      </w:divBdr>
    </w:div>
    <w:div w:id="487596648">
      <w:bodyDiv w:val="1"/>
      <w:marLeft w:val="0"/>
      <w:marRight w:val="0"/>
      <w:marTop w:val="0"/>
      <w:marBottom w:val="0"/>
      <w:divBdr>
        <w:top w:val="none" w:sz="0" w:space="0" w:color="auto"/>
        <w:left w:val="none" w:sz="0" w:space="0" w:color="auto"/>
        <w:bottom w:val="none" w:sz="0" w:space="0" w:color="auto"/>
        <w:right w:val="none" w:sz="0" w:space="0" w:color="auto"/>
      </w:divBdr>
    </w:div>
    <w:div w:id="695423015">
      <w:bodyDiv w:val="1"/>
      <w:marLeft w:val="0"/>
      <w:marRight w:val="0"/>
      <w:marTop w:val="0"/>
      <w:marBottom w:val="0"/>
      <w:divBdr>
        <w:top w:val="none" w:sz="0" w:space="0" w:color="auto"/>
        <w:left w:val="none" w:sz="0" w:space="0" w:color="auto"/>
        <w:bottom w:val="none" w:sz="0" w:space="0" w:color="auto"/>
        <w:right w:val="none" w:sz="0" w:space="0" w:color="auto"/>
      </w:divBdr>
    </w:div>
    <w:div w:id="862979124">
      <w:bodyDiv w:val="1"/>
      <w:marLeft w:val="0"/>
      <w:marRight w:val="0"/>
      <w:marTop w:val="0"/>
      <w:marBottom w:val="0"/>
      <w:divBdr>
        <w:top w:val="none" w:sz="0" w:space="0" w:color="auto"/>
        <w:left w:val="none" w:sz="0" w:space="0" w:color="auto"/>
        <w:bottom w:val="none" w:sz="0" w:space="0" w:color="auto"/>
        <w:right w:val="none" w:sz="0" w:space="0" w:color="auto"/>
      </w:divBdr>
    </w:div>
    <w:div w:id="1060907191">
      <w:bodyDiv w:val="1"/>
      <w:marLeft w:val="0"/>
      <w:marRight w:val="0"/>
      <w:marTop w:val="0"/>
      <w:marBottom w:val="0"/>
      <w:divBdr>
        <w:top w:val="none" w:sz="0" w:space="0" w:color="auto"/>
        <w:left w:val="none" w:sz="0" w:space="0" w:color="auto"/>
        <w:bottom w:val="none" w:sz="0" w:space="0" w:color="auto"/>
        <w:right w:val="none" w:sz="0" w:space="0" w:color="auto"/>
      </w:divBdr>
    </w:div>
    <w:div w:id="1140197795">
      <w:bodyDiv w:val="1"/>
      <w:marLeft w:val="0"/>
      <w:marRight w:val="0"/>
      <w:marTop w:val="0"/>
      <w:marBottom w:val="0"/>
      <w:divBdr>
        <w:top w:val="none" w:sz="0" w:space="0" w:color="auto"/>
        <w:left w:val="none" w:sz="0" w:space="0" w:color="auto"/>
        <w:bottom w:val="none" w:sz="0" w:space="0" w:color="auto"/>
        <w:right w:val="none" w:sz="0" w:space="0" w:color="auto"/>
      </w:divBdr>
    </w:div>
    <w:div w:id="1157571643">
      <w:bodyDiv w:val="1"/>
      <w:marLeft w:val="0"/>
      <w:marRight w:val="0"/>
      <w:marTop w:val="0"/>
      <w:marBottom w:val="0"/>
      <w:divBdr>
        <w:top w:val="none" w:sz="0" w:space="0" w:color="auto"/>
        <w:left w:val="none" w:sz="0" w:space="0" w:color="auto"/>
        <w:bottom w:val="none" w:sz="0" w:space="0" w:color="auto"/>
        <w:right w:val="none" w:sz="0" w:space="0" w:color="auto"/>
      </w:divBdr>
    </w:div>
    <w:div w:id="1233270904">
      <w:bodyDiv w:val="1"/>
      <w:marLeft w:val="0"/>
      <w:marRight w:val="0"/>
      <w:marTop w:val="0"/>
      <w:marBottom w:val="0"/>
      <w:divBdr>
        <w:top w:val="none" w:sz="0" w:space="0" w:color="auto"/>
        <w:left w:val="none" w:sz="0" w:space="0" w:color="auto"/>
        <w:bottom w:val="none" w:sz="0" w:space="0" w:color="auto"/>
        <w:right w:val="none" w:sz="0" w:space="0" w:color="auto"/>
      </w:divBdr>
    </w:div>
    <w:div w:id="1275677493">
      <w:bodyDiv w:val="1"/>
      <w:marLeft w:val="0"/>
      <w:marRight w:val="0"/>
      <w:marTop w:val="0"/>
      <w:marBottom w:val="0"/>
      <w:divBdr>
        <w:top w:val="none" w:sz="0" w:space="0" w:color="auto"/>
        <w:left w:val="none" w:sz="0" w:space="0" w:color="auto"/>
        <w:bottom w:val="none" w:sz="0" w:space="0" w:color="auto"/>
        <w:right w:val="none" w:sz="0" w:space="0" w:color="auto"/>
      </w:divBdr>
    </w:div>
    <w:div w:id="1705475492">
      <w:bodyDiv w:val="1"/>
      <w:marLeft w:val="0"/>
      <w:marRight w:val="0"/>
      <w:marTop w:val="0"/>
      <w:marBottom w:val="0"/>
      <w:divBdr>
        <w:top w:val="none" w:sz="0" w:space="0" w:color="auto"/>
        <w:left w:val="none" w:sz="0" w:space="0" w:color="auto"/>
        <w:bottom w:val="none" w:sz="0" w:space="0" w:color="auto"/>
        <w:right w:val="none" w:sz="0" w:space="0" w:color="auto"/>
      </w:divBdr>
    </w:div>
    <w:div w:id="1836604546">
      <w:bodyDiv w:val="1"/>
      <w:marLeft w:val="0"/>
      <w:marRight w:val="0"/>
      <w:marTop w:val="0"/>
      <w:marBottom w:val="0"/>
      <w:divBdr>
        <w:top w:val="none" w:sz="0" w:space="0" w:color="auto"/>
        <w:left w:val="none" w:sz="0" w:space="0" w:color="auto"/>
        <w:bottom w:val="none" w:sz="0" w:space="0" w:color="auto"/>
        <w:right w:val="none" w:sz="0" w:space="0" w:color="auto"/>
      </w:divBdr>
    </w:div>
    <w:div w:id="194506514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software.broadinstitute.org/cancer/cga/mutect" TargetMode="External"/><Relationship Id="rId13" Type="http://schemas.openxmlformats.org/officeDocument/2006/relationships/image" Target="media/image4.png"/><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header" Target="header3.xml"/><Relationship Id="rId7" Type="http://schemas.openxmlformats.org/officeDocument/2006/relationships/hyperlink" Target="https://fulcrumgenomics.github.io/fgbio/" TargetMode="External"/><Relationship Id="rId12" Type="http://schemas.openxmlformats.org/officeDocument/2006/relationships/image" Target="media/image3.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s://github.com/iontorrent/TS" TargetMode="External"/><Relationship Id="rId14" Type="http://schemas.openxmlformats.org/officeDocument/2006/relationships/image" Target="media/image5.png"/><Relationship Id="rId22" Type="http://schemas.openxmlformats.org/officeDocument/2006/relationships/footer" Target="footer3.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TotalTime>
  <Pages>13</Pages>
  <Words>3365</Words>
  <Characters>19383</Characters>
  <Application>Microsoft Office Word</Application>
  <DocSecurity>0</DocSecurity>
  <Lines>293</Lines>
  <Paragraphs>87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Cancers </vt:lpstr>
      <vt:lpstr/>
    </vt:vector>
  </TitlesOfParts>
  <Company>Medizinische Universität Graz</Company>
  <LinksUpToDate>false</LinksUpToDate>
  <CharactersWithSpaces>22661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Cancers</dc:title>
  <dc:subject/>
  <dc:creator>MDPI</dc:creator>
  <dc:description/>
  <cp:lastModifiedBy>mdpi</cp:lastModifiedBy>
  <cp:revision>3</cp:revision>
  <cp:lastPrinted>2020-03-29T12:55:00Z</cp:lastPrinted>
  <dcterms:created xsi:type="dcterms:W3CDTF">2020-06-16T03:06:00Z</dcterms:created>
  <dcterms:modified xsi:type="dcterms:W3CDTF">2020-06-16T03:29:00Z</dcterms:modified>
</cp:coreProperties>
</file>