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26B821" w14:textId="4766FE47" w:rsidR="00103D18" w:rsidRPr="00103D18" w:rsidRDefault="00103D18" w:rsidP="00103D18">
      <w:pPr>
        <w:pStyle w:val="MDPI11articletype"/>
      </w:pPr>
      <w:r w:rsidRPr="00103D18">
        <w:t>Supplementary Materials</w:t>
      </w:r>
    </w:p>
    <w:p w14:paraId="6A95BBD5" w14:textId="0D53C7DA" w:rsidR="00103D18" w:rsidRPr="00103D18" w:rsidRDefault="00103D18" w:rsidP="00103D18">
      <w:pPr>
        <w:pStyle w:val="MDPI12title"/>
      </w:pPr>
      <w:r w:rsidRPr="00103D18">
        <w:t>Human Plasma-Derived 3D Cultures Model Breast Cancer Treatment Responses and Predict Clinically Effective Drug Treatment Concentrations</w:t>
      </w:r>
    </w:p>
    <w:p w14:paraId="79AECE77" w14:textId="459F3016" w:rsidR="003D526B" w:rsidRDefault="00F70D8B" w:rsidP="00103D18">
      <w:pPr>
        <w:pStyle w:val="MDPI52figure"/>
      </w:pPr>
      <w:r w:rsidRPr="00103D18">
        <w:rPr>
          <w:noProof/>
        </w:rPr>
        <w:drawing>
          <wp:inline distT="0" distB="0" distL="0" distR="0" wp14:anchorId="779AC0F9" wp14:editId="6480171A">
            <wp:extent cx="5930418" cy="71894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" t="4552"/>
                    <a:stretch/>
                  </pic:blipFill>
                  <pic:spPr bwMode="auto">
                    <a:xfrm>
                      <a:off x="0" y="0"/>
                      <a:ext cx="5930899" cy="7190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048C9E" w14:textId="0DCBA3EC" w:rsidR="00103D18" w:rsidRPr="00103D18" w:rsidRDefault="00103D18" w:rsidP="00103D18">
      <w:pPr>
        <w:pStyle w:val="MDPI51figurecaption"/>
      </w:pPr>
      <w:r w:rsidRPr="00103D18">
        <w:rPr>
          <w:b/>
        </w:rPr>
        <w:lastRenderedPageBreak/>
        <w:t xml:space="preserve">Figure </w:t>
      </w:r>
      <w:r>
        <w:rPr>
          <w:b/>
        </w:rPr>
        <w:t>S</w:t>
      </w:r>
      <w:r w:rsidRPr="00103D18">
        <w:rPr>
          <w:b/>
        </w:rPr>
        <w:t xml:space="preserve">1. </w:t>
      </w:r>
      <w:r w:rsidRPr="00BF15BB">
        <w:t>(</w:t>
      </w:r>
      <w:r w:rsidRPr="00103D18">
        <w:rPr>
          <w:b/>
          <w:bCs/>
        </w:rPr>
        <w:t>a</w:t>
      </w:r>
      <w:r w:rsidRPr="00BF15BB">
        <w:t xml:space="preserve">) Cell proliferation data of each of the independent </w:t>
      </w:r>
      <w:proofErr w:type="spellStart"/>
      <w:r w:rsidRPr="00BF15BB">
        <w:t>BCa</w:t>
      </w:r>
      <w:proofErr w:type="spellEnd"/>
      <w:r w:rsidRPr="00BF15BB">
        <w:t xml:space="preserve"> cell lines. (</w:t>
      </w:r>
      <w:r w:rsidRPr="00103D18">
        <w:rPr>
          <w:b/>
          <w:bCs/>
        </w:rPr>
        <w:t>b</w:t>
      </w:r>
      <w:r w:rsidRPr="00BF15BB">
        <w:t>) Quantification of confocal microscopy images. Quantified number of MDA-MB-231 cells detected growing within HuP3D cultures after 3 and 7 days and representative confocal images reflecting the selection pane used via binary editor (</w:t>
      </w:r>
      <w:proofErr w:type="spellStart"/>
      <w:r w:rsidRPr="00BF15BB">
        <w:t>DiO</w:t>
      </w:r>
      <w:proofErr w:type="spellEnd"/>
      <w:r w:rsidRPr="00BF15BB">
        <w:t xml:space="preserve"> tagged green cancer cells are highlighted red when selected for counting considerations). (</w:t>
      </w:r>
      <w:r w:rsidRPr="00103D18">
        <w:rPr>
          <w:b/>
          <w:bCs/>
        </w:rPr>
        <w:t>c</w:t>
      </w:r>
      <w:r w:rsidRPr="00BF15BB">
        <w:t xml:space="preserve">) Quantified number of MDA-MB-231 cell clusters only in scanned z-stack within HuP3D cultures after 3 and 7 days and representative confocal images reflecting the selection pane used via binary editor for counting MDA-MB-231 cell clusters (clusters of </w:t>
      </w:r>
      <w:proofErr w:type="spellStart"/>
      <w:r w:rsidRPr="00BF15BB">
        <w:t>DiO</w:t>
      </w:r>
      <w:proofErr w:type="spellEnd"/>
      <w:r w:rsidRPr="00BF15BB">
        <w:t xml:space="preserve"> tagged green cancer cells are highlighted red when selected for counting considerations), (*) </w:t>
      </w:r>
      <w:r w:rsidRPr="00BF15BB">
        <w:rPr>
          <w:i/>
        </w:rPr>
        <w:t xml:space="preserve">p </w:t>
      </w:r>
      <w:r w:rsidRPr="00BF15BB">
        <w:t>&lt;</w:t>
      </w:r>
      <w:r w:rsidRPr="00BF15BB">
        <w:rPr>
          <w:i/>
        </w:rPr>
        <w:t xml:space="preserve"> </w:t>
      </w:r>
      <w:r w:rsidRPr="00BF15BB">
        <w:t>0.05</w:t>
      </w:r>
      <w:r w:rsidR="009D4DD1">
        <w:t>.</w:t>
      </w:r>
    </w:p>
    <w:p w14:paraId="051F2EC0" w14:textId="77777777" w:rsidR="00F70D8B" w:rsidRPr="00103D18" w:rsidRDefault="00F70D8B" w:rsidP="00CE221C">
      <w:pPr>
        <w:pStyle w:val="MDPI52figure"/>
      </w:pPr>
      <w:r w:rsidRPr="00103D18">
        <w:rPr>
          <w:noProof/>
        </w:rPr>
        <w:drawing>
          <wp:inline distT="0" distB="0" distL="0" distR="0" wp14:anchorId="5AA26B2E" wp14:editId="42438EE0">
            <wp:extent cx="5955353" cy="5009515"/>
            <wp:effectExtent l="0" t="0" r="762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14" t="19902"/>
                    <a:stretch/>
                  </pic:blipFill>
                  <pic:spPr bwMode="auto">
                    <a:xfrm>
                      <a:off x="0" y="0"/>
                      <a:ext cx="5956302" cy="5010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5134C6" w14:textId="20984CEB" w:rsidR="00F70D8B" w:rsidRPr="00103D18" w:rsidRDefault="00CE221C" w:rsidP="00CE221C">
      <w:pPr>
        <w:pStyle w:val="MDPI51figurecaption"/>
      </w:pPr>
      <w:r w:rsidRPr="00CE221C">
        <w:rPr>
          <w:b/>
        </w:rPr>
        <w:t xml:space="preserve">Figure </w:t>
      </w:r>
      <w:r>
        <w:rPr>
          <w:b/>
        </w:rPr>
        <w:t>S</w:t>
      </w:r>
      <w:r w:rsidRPr="00CE221C">
        <w:rPr>
          <w:b/>
        </w:rPr>
        <w:t xml:space="preserve">2. </w:t>
      </w:r>
      <w:r w:rsidRPr="00BF15BB">
        <w:t xml:space="preserve">Micrographs of the 5 </w:t>
      </w:r>
      <w:proofErr w:type="spellStart"/>
      <w:r w:rsidRPr="00BF15BB">
        <w:t>BCa</w:t>
      </w:r>
      <w:proofErr w:type="spellEnd"/>
      <w:r w:rsidRPr="00BF15BB">
        <w:t xml:space="preserve"> cell lines and primary cells (single cells and organoids) growing in HuP3D cultures at day 3. Scale Bar = 100 µm</w:t>
      </w:r>
      <w:r w:rsidR="009D4DD1">
        <w:t>.</w:t>
      </w:r>
    </w:p>
    <w:p w14:paraId="7768AF54" w14:textId="77777777" w:rsidR="00F70D8B" w:rsidRPr="00103D18" w:rsidRDefault="00F70D8B" w:rsidP="009D4DD1">
      <w:pPr>
        <w:pStyle w:val="MDPI52figure"/>
      </w:pPr>
      <w:r w:rsidRPr="00103D18">
        <w:rPr>
          <w:noProof/>
        </w:rPr>
        <w:lastRenderedPageBreak/>
        <w:drawing>
          <wp:inline distT="0" distB="0" distL="0" distR="0" wp14:anchorId="4915043A" wp14:editId="68769F4F">
            <wp:extent cx="6141875" cy="355536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289" r="19474" b="927"/>
                    <a:stretch/>
                  </pic:blipFill>
                  <pic:spPr bwMode="auto">
                    <a:xfrm>
                      <a:off x="0" y="0"/>
                      <a:ext cx="6146778" cy="3558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5C5253" w14:textId="44A7D85B" w:rsidR="009D4DD1" w:rsidRDefault="009D4DD1" w:rsidP="009D4DD1">
      <w:pPr>
        <w:pStyle w:val="MDPI51figurecaption"/>
      </w:pPr>
      <w:r w:rsidRPr="009D4DD1">
        <w:rPr>
          <w:b/>
        </w:rPr>
        <w:t xml:space="preserve">Figure </w:t>
      </w:r>
      <w:r>
        <w:rPr>
          <w:b/>
        </w:rPr>
        <w:t>S</w:t>
      </w:r>
      <w:r w:rsidRPr="009D4DD1">
        <w:rPr>
          <w:b/>
        </w:rPr>
        <w:t xml:space="preserve">3. </w:t>
      </w:r>
      <w:r w:rsidRPr="00BF15BB">
        <w:t>HuP3D high-throughput drug screening. (</w:t>
      </w:r>
      <w:r w:rsidRPr="009D4DD1">
        <w:rPr>
          <w:b/>
          <w:bCs/>
        </w:rPr>
        <w:t>a</w:t>
      </w:r>
      <w:r w:rsidRPr="00BF15BB">
        <w:t xml:space="preserve">) </w:t>
      </w:r>
      <w:proofErr w:type="spellStart"/>
      <w:r w:rsidRPr="00BF15BB">
        <w:t>BCa</w:t>
      </w:r>
      <w:proofErr w:type="spellEnd"/>
      <w:r w:rsidRPr="00BF15BB">
        <w:t xml:space="preserve"> cell lines were previously labeled with </w:t>
      </w:r>
      <w:proofErr w:type="spellStart"/>
      <w:r w:rsidRPr="00BF15BB">
        <w:t>DiD</w:t>
      </w:r>
      <w:proofErr w:type="spellEnd"/>
      <w:r w:rsidRPr="00BF15BB">
        <w:t xml:space="preserve"> and incorporated in HuP3D cultures. After matrix stabilization, cells were treated with a DMSO control (</w:t>
      </w:r>
      <w:proofErr w:type="spellStart"/>
      <w:r w:rsidRPr="00BF15BB">
        <w:t>γ</w:t>
      </w:r>
      <w:r w:rsidRPr="00BF15BB">
        <w:rPr>
          <w:vertAlign w:val="subscript"/>
        </w:rPr>
        <w:t>Ctrl</w:t>
      </w:r>
      <w:proofErr w:type="spellEnd"/>
      <w:r w:rsidRPr="00BF15BB">
        <w:t xml:space="preserve">) and increasing concentrations 0.1 </w:t>
      </w:r>
      <w:proofErr w:type="spellStart"/>
      <w:r w:rsidRPr="00BF15BB">
        <w:t>nM</w:t>
      </w:r>
      <w:proofErr w:type="spellEnd"/>
      <w:r w:rsidRPr="00BF15BB">
        <w:t>–300 µM of seven standard-of-care chemotherapeutic drugs. Media was refreshed at day 4, and HuP3D cultures were enzymatically digested to be analyzed using flow cytometry at day 0 (γ</w:t>
      </w:r>
      <w:r w:rsidRPr="00BF15BB">
        <w:rPr>
          <w:vertAlign w:val="subscript"/>
        </w:rPr>
        <w:t>0</w:t>
      </w:r>
      <w:r w:rsidRPr="00BF15BB">
        <w:t>) and day 7. Data was analyzed utilizing the GR calculator to determine 10 drug response metrics. (</w:t>
      </w:r>
      <w:r w:rsidRPr="00CE221C">
        <w:rPr>
          <w:b/>
          <w:bCs/>
        </w:rPr>
        <w:t>b</w:t>
      </w:r>
      <w:r w:rsidRPr="00BF15BB">
        <w:t>) Cytotoxic and cytostatic effects of HuP3D drug treatments depicting the HuP3D culture drug metrics from the relative cell count curve including the half maximum inhibitory concentration (IC</w:t>
      </w:r>
      <w:r w:rsidRPr="00BF15BB">
        <w:rPr>
          <w:vertAlign w:val="subscript"/>
        </w:rPr>
        <w:t>50</w:t>
      </w:r>
      <w:r w:rsidRPr="00BF15BB">
        <w:t>), maximal measured efficacy (</w:t>
      </w:r>
      <w:proofErr w:type="spellStart"/>
      <w:r w:rsidRPr="00BF15BB">
        <w:t>E</w:t>
      </w:r>
      <w:r w:rsidRPr="00BF15BB">
        <w:rPr>
          <w:vertAlign w:val="subscript"/>
        </w:rPr>
        <w:t>max</w:t>
      </w:r>
      <w:proofErr w:type="spellEnd"/>
      <w:r w:rsidRPr="00BF15BB">
        <w:t>), area under the curve (AUC), half maximal response concentration (EC</w:t>
      </w:r>
      <w:r w:rsidRPr="00BF15BB">
        <w:rPr>
          <w:vertAlign w:val="subscript"/>
        </w:rPr>
        <w:t>50</w:t>
      </w:r>
      <w:r w:rsidRPr="00BF15BB">
        <w:t>), and the effect of the drug concentration at infinite concentration (</w:t>
      </w:r>
      <w:proofErr w:type="spellStart"/>
      <w:r w:rsidRPr="00BF15BB">
        <w:t>E</w:t>
      </w:r>
      <w:r w:rsidRPr="00BF15BB">
        <w:rPr>
          <w:vertAlign w:val="subscript"/>
        </w:rPr>
        <w:t>inf</w:t>
      </w:r>
      <w:proofErr w:type="spellEnd"/>
      <w:r w:rsidRPr="00BF15BB">
        <w:t>), as well as from the GR curve including the half maximum growth rate inhibition concentration (GR</w:t>
      </w:r>
      <w:r w:rsidRPr="00BF15BB">
        <w:rPr>
          <w:vertAlign w:val="subscript"/>
        </w:rPr>
        <w:t>50</w:t>
      </w:r>
      <w:r w:rsidRPr="00BF15BB">
        <w:t>), the maximum effect of the drug at the highest tested concentration (</w:t>
      </w:r>
      <w:proofErr w:type="spellStart"/>
      <w:r w:rsidRPr="00BF15BB">
        <w:t>GR</w:t>
      </w:r>
      <w:r w:rsidRPr="00BF15BB">
        <w:rPr>
          <w:vertAlign w:val="subscript"/>
        </w:rPr>
        <w:t>max</w:t>
      </w:r>
      <w:proofErr w:type="spellEnd"/>
      <w:r w:rsidRPr="00BF15BB">
        <w:t>), area over the curve (GR</w:t>
      </w:r>
      <w:r w:rsidRPr="00BF15BB">
        <w:rPr>
          <w:vertAlign w:val="subscript"/>
        </w:rPr>
        <w:t>AOC</w:t>
      </w:r>
      <w:r w:rsidRPr="00BF15BB">
        <w:t>), the half maximal growth rate inhibition response concentration (GEC</w:t>
      </w:r>
      <w:r w:rsidRPr="00BF15BB">
        <w:rPr>
          <w:vertAlign w:val="subscript"/>
        </w:rPr>
        <w:t>50</w:t>
      </w:r>
      <w:r w:rsidRPr="00BF15BB">
        <w:t>), and the effect of the drug at infinite concentration (</w:t>
      </w:r>
      <w:proofErr w:type="spellStart"/>
      <w:r w:rsidRPr="00BF15BB">
        <w:t>E</w:t>
      </w:r>
      <w:r w:rsidRPr="00BF15BB">
        <w:rPr>
          <w:vertAlign w:val="subscript"/>
        </w:rPr>
        <w:t>inf</w:t>
      </w:r>
      <w:proofErr w:type="spellEnd"/>
      <w:r w:rsidRPr="00BF15BB">
        <w:t>)</w:t>
      </w:r>
      <w:r>
        <w:t>.</w:t>
      </w:r>
    </w:p>
    <w:p w14:paraId="762406A7" w14:textId="67183774" w:rsidR="005C7C0C" w:rsidRPr="00103D18" w:rsidRDefault="005C7C0C" w:rsidP="005C7C0C">
      <w:pPr>
        <w:pStyle w:val="MDPI21heading1"/>
      </w:pPr>
      <w:r>
        <w:t>Western Blot</w:t>
      </w:r>
    </w:p>
    <w:p w14:paraId="0EF2119F" w14:textId="240C31C0" w:rsidR="00F70D8B" w:rsidRDefault="001F006C" w:rsidP="001F006C">
      <w:pPr>
        <w:pStyle w:val="MDPI52figure"/>
      </w:pPr>
      <w:r w:rsidRPr="001F006C">
        <w:rPr>
          <w:noProof/>
        </w:rPr>
        <w:drawing>
          <wp:inline distT="0" distB="0" distL="0" distR="0" wp14:anchorId="7DBE82B8" wp14:editId="62BA66F2">
            <wp:extent cx="1866900" cy="210458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82052" cy="2121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5F511" w14:textId="510EE481" w:rsidR="007758CF" w:rsidRPr="00103D18" w:rsidRDefault="007758CF" w:rsidP="005C7C0C">
      <w:pPr>
        <w:pStyle w:val="MDPI52figure"/>
      </w:pPr>
      <w:bookmarkStart w:id="0" w:name="_GoBack"/>
      <w:r w:rsidRPr="007758CF">
        <w:rPr>
          <w:noProof/>
        </w:rPr>
        <w:lastRenderedPageBreak/>
        <w:drawing>
          <wp:inline distT="0" distB="0" distL="0" distR="0" wp14:anchorId="6DA8F8A2" wp14:editId="65714EE5">
            <wp:extent cx="5064981" cy="2585085"/>
            <wp:effectExtent l="0" t="0" r="254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1680" r="9829"/>
                    <a:stretch/>
                  </pic:blipFill>
                  <pic:spPr bwMode="auto">
                    <a:xfrm>
                      <a:off x="0" y="0"/>
                      <a:ext cx="5065684" cy="2585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758CF" w:rsidRPr="00103D18" w:rsidSect="00103D18">
      <w:headerReference w:type="first" r:id="rId12"/>
      <w:type w:val="continuous"/>
      <w:pgSz w:w="11909" w:h="16834"/>
      <w:pgMar w:top="1417" w:right="1531" w:bottom="1077" w:left="1531" w:header="1020" w:footer="85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229213" w14:textId="77777777" w:rsidR="001B112D" w:rsidRDefault="001B112D" w:rsidP="00103D18">
      <w:pPr>
        <w:spacing w:after="0" w:line="240" w:lineRule="auto"/>
      </w:pPr>
      <w:r>
        <w:separator/>
      </w:r>
    </w:p>
  </w:endnote>
  <w:endnote w:type="continuationSeparator" w:id="0">
    <w:p w14:paraId="7D61DB47" w14:textId="77777777" w:rsidR="001B112D" w:rsidRDefault="001B112D" w:rsidP="00103D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B2F329" w14:textId="77777777" w:rsidR="001B112D" w:rsidRDefault="001B112D" w:rsidP="00103D18">
      <w:pPr>
        <w:spacing w:after="0" w:line="240" w:lineRule="auto"/>
      </w:pPr>
      <w:r>
        <w:separator/>
      </w:r>
    </w:p>
  </w:footnote>
  <w:footnote w:type="continuationSeparator" w:id="0">
    <w:p w14:paraId="44025026" w14:textId="77777777" w:rsidR="001B112D" w:rsidRDefault="001B112D" w:rsidP="00103D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C9B095" w14:textId="77777777" w:rsidR="00103D18" w:rsidRDefault="00103D18" w:rsidP="00103D18">
    <w:pPr>
      <w:pStyle w:val="MDPIheaderjournallogo"/>
    </w:pPr>
    <w:r w:rsidRPr="00A04686">
      <w:rPr>
        <w:noProof/>
        <w:lang w:eastAsia="en-US"/>
      </w:rPr>
      <w:drawing>
        <wp:inline distT="0" distB="0" distL="0" distR="0" wp14:anchorId="60883C16" wp14:editId="657610D9">
          <wp:extent cx="1688465" cy="427990"/>
          <wp:effectExtent l="0" t="0" r="0" b="0"/>
          <wp:docPr id="5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8465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751C4">
      <w:rPr>
        <w:i w:val="0"/>
        <w:noProof/>
        <w:szCs w:val="16"/>
        <w:lang w:eastAsia="en-US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7D715482" wp14:editId="7FC3ECD8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EB2850" w14:textId="77777777" w:rsidR="00103D18" w:rsidRDefault="00103D18" w:rsidP="00103D18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3A55A8">
                            <w:rPr>
                              <w:i w:val="0"/>
                              <w:noProof/>
                              <w:szCs w:val="16"/>
                              <w:lang w:eastAsia="en-US"/>
                            </w:rPr>
                            <w:drawing>
                              <wp:inline distT="0" distB="0" distL="0" distR="0" wp14:anchorId="3261F958" wp14:editId="73A785EC">
                                <wp:extent cx="538480" cy="353695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8480" cy="35369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D71548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5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75EB2850" w14:textId="77777777" w:rsidR="00103D18" w:rsidRDefault="00103D18" w:rsidP="00103D18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3A55A8">
                      <w:rPr>
                        <w:i w:val="0"/>
                        <w:noProof/>
                        <w:szCs w:val="16"/>
                        <w:lang w:eastAsia="en-US"/>
                      </w:rPr>
                      <w:drawing>
                        <wp:inline distT="0" distB="0" distL="0" distR="0" wp14:anchorId="3261F958" wp14:editId="73A785EC">
                          <wp:extent cx="538480" cy="353695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8480" cy="3536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0D8B"/>
    <w:rsid w:val="000C2B8F"/>
    <w:rsid w:val="00103D18"/>
    <w:rsid w:val="001B112D"/>
    <w:rsid w:val="001F006C"/>
    <w:rsid w:val="003F014D"/>
    <w:rsid w:val="004D3016"/>
    <w:rsid w:val="005C7C0C"/>
    <w:rsid w:val="00680131"/>
    <w:rsid w:val="006A14B7"/>
    <w:rsid w:val="007758CF"/>
    <w:rsid w:val="008E2315"/>
    <w:rsid w:val="009D4DD1"/>
    <w:rsid w:val="00BE2971"/>
    <w:rsid w:val="00CE221C"/>
    <w:rsid w:val="00D46DFB"/>
    <w:rsid w:val="00D679DF"/>
    <w:rsid w:val="00F70D8B"/>
    <w:rsid w:val="00FE0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289E57"/>
  <w15:chartTrackingRefBased/>
  <w15:docId w15:val="{5F76DE59-DBCD-436B-B5BE-5A332078FF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宋体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3D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3D18"/>
    <w:rPr>
      <w:rFonts w:ascii="Segoe UI" w:hAnsi="Segoe UI" w:cs="Segoe UI"/>
      <w:sz w:val="18"/>
      <w:szCs w:val="18"/>
    </w:rPr>
  </w:style>
  <w:style w:type="paragraph" w:customStyle="1" w:styleId="MDPI12title">
    <w:name w:val="MDPI_1.2_title"/>
    <w:next w:val="Normal"/>
    <w:qFormat/>
    <w:rsid w:val="00103D18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styleId="Header">
    <w:name w:val="header"/>
    <w:basedOn w:val="Normal"/>
    <w:link w:val="HeaderChar"/>
    <w:uiPriority w:val="99"/>
    <w:unhideWhenUsed/>
    <w:rsid w:val="00103D1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3D18"/>
  </w:style>
  <w:style w:type="paragraph" w:styleId="Footer">
    <w:name w:val="footer"/>
    <w:basedOn w:val="Normal"/>
    <w:link w:val="FooterChar"/>
    <w:uiPriority w:val="99"/>
    <w:unhideWhenUsed/>
    <w:rsid w:val="00103D1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3D18"/>
  </w:style>
  <w:style w:type="paragraph" w:customStyle="1" w:styleId="MDPI11articletype">
    <w:name w:val="MDPI_1.1_article_type"/>
    <w:next w:val="MDPI12title"/>
    <w:qFormat/>
    <w:rsid w:val="00103D18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13authornames">
    <w:name w:val="MDPI_1.3_authornames"/>
    <w:next w:val="Normal"/>
    <w:qFormat/>
    <w:rsid w:val="00103D18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103D18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15academiceditor">
    <w:name w:val="MDPI_1.5_academic_editor"/>
    <w:qFormat/>
    <w:rsid w:val="00103D18"/>
    <w:pPr>
      <w:adjustRightInd w:val="0"/>
      <w:snapToGrid w:val="0"/>
      <w:spacing w:after="0"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lang w:eastAsia="de-DE" w:bidi="en-US"/>
    </w:rPr>
  </w:style>
  <w:style w:type="paragraph" w:customStyle="1" w:styleId="MDPI16affiliation">
    <w:name w:val="MDPI_1.6_affiliation"/>
    <w:qFormat/>
    <w:rsid w:val="00103D18"/>
    <w:pPr>
      <w:adjustRightInd w:val="0"/>
      <w:snapToGrid w:val="0"/>
      <w:spacing w:after="0"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03D18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lang w:eastAsia="de-DE" w:bidi="en-US"/>
    </w:rPr>
  </w:style>
  <w:style w:type="paragraph" w:customStyle="1" w:styleId="MDPI18keywords">
    <w:name w:val="MDPI_1.8_keywords"/>
    <w:next w:val="Normal"/>
    <w:qFormat/>
    <w:rsid w:val="00103D18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19classification">
    <w:name w:val="MDPI_1.9_classification"/>
    <w:qFormat/>
    <w:rsid w:val="00103D18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9line">
    <w:name w:val="MDPI_1.9_line"/>
    <w:qFormat/>
    <w:rsid w:val="00103D18"/>
    <w:pPr>
      <w:pBdr>
        <w:bottom w:val="single" w:sz="6" w:space="1" w:color="auto"/>
      </w:pBdr>
      <w:spacing w:after="0" w:line="260" w:lineRule="atLeast"/>
      <w:jc w:val="both"/>
    </w:pPr>
    <w:rPr>
      <w:rFonts w:ascii="Palatino Linotype" w:eastAsia="Times New Roman" w:hAnsi="Palatino Linotype"/>
      <w:color w:val="000000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103D18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eastAsia="de-DE" w:bidi="en-US"/>
    </w:rPr>
  </w:style>
  <w:style w:type="paragraph" w:customStyle="1" w:styleId="MDPI22heading2">
    <w:name w:val="MDPI_2.2_heading2"/>
    <w:qFormat/>
    <w:rsid w:val="00103D18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eastAsia="de-DE" w:bidi="en-US"/>
    </w:rPr>
  </w:style>
  <w:style w:type="paragraph" w:customStyle="1" w:styleId="MDPI23heading3">
    <w:name w:val="MDPI_2.3_heading3"/>
    <w:qFormat/>
    <w:rsid w:val="00103D18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1text">
    <w:name w:val="MDPI_3.1_text"/>
    <w:qFormat/>
    <w:rsid w:val="00103D18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2textnoindent">
    <w:name w:val="MDPI_3.2_text_no_indent"/>
    <w:qFormat/>
    <w:rsid w:val="00103D18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3textspaceafter">
    <w:name w:val="MDPI_3.3_text_space_after"/>
    <w:qFormat/>
    <w:rsid w:val="00103D18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4textspacebefore">
    <w:name w:val="MDPI_3.4_text_space_before"/>
    <w:qFormat/>
    <w:rsid w:val="00103D18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5textbeforelist">
    <w:name w:val="MDPI_3.5_text_before_list"/>
    <w:qFormat/>
    <w:rsid w:val="00103D18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6textafterlist">
    <w:name w:val="MDPI_3.6_text_after_list"/>
    <w:qFormat/>
    <w:rsid w:val="00103D18"/>
    <w:pPr>
      <w:spacing w:before="12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7itemize">
    <w:name w:val="MDPI_3.7_itemize"/>
    <w:qFormat/>
    <w:rsid w:val="00103D18"/>
    <w:pPr>
      <w:numPr>
        <w:numId w:val="1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8bullet">
    <w:name w:val="MDPI_3.8_bullet"/>
    <w:qFormat/>
    <w:rsid w:val="00103D18"/>
    <w:pPr>
      <w:numPr>
        <w:numId w:val="2"/>
      </w:num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9equation">
    <w:name w:val="MDPI_3.9_equation"/>
    <w:qFormat/>
    <w:rsid w:val="00103D18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aequationnumber">
    <w:name w:val="MDPI_3.a_equation_number"/>
    <w:qFormat/>
    <w:rsid w:val="00103D18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411onetablecaption">
    <w:name w:val="MDPI_4.1.1_one_table_caption"/>
    <w:qFormat/>
    <w:rsid w:val="00103D18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eastAsia="zh-CN" w:bidi="en-US"/>
    </w:rPr>
  </w:style>
  <w:style w:type="paragraph" w:customStyle="1" w:styleId="MDPI41tablecaption">
    <w:name w:val="MDPI_4.1_table_caption"/>
    <w:qFormat/>
    <w:rsid w:val="00103D18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103D18"/>
    <w:pPr>
      <w:adjustRightInd w:val="0"/>
      <w:snapToGrid w:val="0"/>
      <w:spacing w:after="0" w:line="240" w:lineRule="auto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103D18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103D18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103D18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103D18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61Supplementary">
    <w:name w:val="MDPI_6.1_Supplementary"/>
    <w:qFormat/>
    <w:rsid w:val="00103D18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  <w:style w:type="paragraph" w:customStyle="1" w:styleId="MDPI62Acknowledgments">
    <w:name w:val="MDPI_6.2_Acknowledgments"/>
    <w:qFormat/>
    <w:rsid w:val="00103D18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63AuthorContributions">
    <w:name w:val="MDPI_6.3_AuthorContributions"/>
    <w:qFormat/>
    <w:rsid w:val="00103D18"/>
    <w:pPr>
      <w:spacing w:after="0" w:line="260" w:lineRule="atLeast"/>
      <w:jc w:val="both"/>
    </w:pPr>
    <w:rPr>
      <w:rFonts w:ascii="Palatino Linotype" w:hAnsi="Palatino Linotype" w:cs="Times New Roman"/>
      <w:snapToGrid w:val="0"/>
      <w:sz w:val="18"/>
      <w:szCs w:val="20"/>
      <w:lang w:bidi="en-US"/>
    </w:rPr>
  </w:style>
  <w:style w:type="paragraph" w:customStyle="1" w:styleId="MDPI64CoI">
    <w:name w:val="MDPI_6.4_CoI"/>
    <w:qFormat/>
    <w:rsid w:val="00103D18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1References">
    <w:name w:val="MDPI_7.1_References"/>
    <w:qFormat/>
    <w:rsid w:val="00103D18"/>
    <w:pPr>
      <w:numPr>
        <w:numId w:val="3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103D18"/>
    <w:pPr>
      <w:adjustRightInd w:val="0"/>
      <w:snapToGrid w:val="0"/>
      <w:spacing w:before="400" w:after="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103D18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eastAsia="de-CH"/>
    </w:rPr>
  </w:style>
  <w:style w:type="paragraph" w:customStyle="1" w:styleId="MDPI81theorem">
    <w:name w:val="MDPI_8.1_theorem"/>
    <w:qFormat/>
    <w:rsid w:val="00103D18"/>
    <w:pPr>
      <w:spacing w:after="0"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82proof">
    <w:name w:val="MDPI_8.2_proof"/>
    <w:qFormat/>
    <w:rsid w:val="00103D18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equationFram">
    <w:name w:val="MDPI_equationFram"/>
    <w:qFormat/>
    <w:rsid w:val="00103D18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footer">
    <w:name w:val="MDPI_footer"/>
    <w:qFormat/>
    <w:rsid w:val="00103D18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103D18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eastAsia="de-DE"/>
    </w:rPr>
  </w:style>
  <w:style w:type="paragraph" w:customStyle="1" w:styleId="MDPIheader">
    <w:name w:val="MDPI_header"/>
    <w:qFormat/>
    <w:rsid w:val="00103D18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eastAsia="de-DE"/>
    </w:rPr>
  </w:style>
  <w:style w:type="paragraph" w:customStyle="1" w:styleId="MDPIheadercitation">
    <w:name w:val="MDPI_header_citation"/>
    <w:rsid w:val="00103D18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103D18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eastAsia="de-CH"/>
    </w:rPr>
  </w:style>
  <w:style w:type="paragraph" w:customStyle="1" w:styleId="MDPIheadermdpilogo">
    <w:name w:val="MDPI_header_mdpi_logo"/>
    <w:qFormat/>
    <w:rsid w:val="00103D18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eastAsia="de-CH"/>
    </w:rPr>
  </w:style>
  <w:style w:type="paragraph" w:customStyle="1" w:styleId="MDPItext">
    <w:name w:val="MDPI_text"/>
    <w:qFormat/>
    <w:rsid w:val="00103D18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eastAsia="de-DE" w:bidi="en-US"/>
    </w:rPr>
  </w:style>
  <w:style w:type="paragraph" w:customStyle="1" w:styleId="MDPItitle">
    <w:name w:val="MDPI_title"/>
    <w:qFormat/>
    <w:rsid w:val="00103D18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D301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301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301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D301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D301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4</Pages>
  <Words>349</Words>
  <Characters>1995</Characters>
  <Application>Microsoft Office Word</Application>
  <DocSecurity>0</DocSecurity>
  <Lines>33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Sanford Health</Company>
  <LinksUpToDate>false</LinksUpToDate>
  <CharactersWithSpaces>2337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</cp:lastModifiedBy>
  <cp:revision>11</cp:revision>
  <dcterms:created xsi:type="dcterms:W3CDTF">2020-06-25T02:29:00Z</dcterms:created>
  <dcterms:modified xsi:type="dcterms:W3CDTF">2020-06-29T06:25:00Z</dcterms:modified>
</cp:coreProperties>
</file>