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1A9C6" w14:textId="77777777" w:rsidR="00007CEA" w:rsidRPr="00007CEA" w:rsidRDefault="00007CEA" w:rsidP="00007CEA">
      <w:pPr>
        <w:pStyle w:val="MDPI11articletype"/>
        <w:rPr>
          <w:rFonts w:eastAsia="DFKai-SB"/>
        </w:rPr>
      </w:pPr>
      <w:r w:rsidRPr="00007CEA">
        <w:rPr>
          <w:rFonts w:eastAsia="DFKai-SB"/>
        </w:rPr>
        <w:t>Article</w:t>
      </w:r>
    </w:p>
    <w:p w14:paraId="42AB0DFC" w14:textId="77777777" w:rsidR="00007CEA" w:rsidRPr="00007CEA" w:rsidRDefault="00007CEA" w:rsidP="00007CEA">
      <w:pPr>
        <w:pStyle w:val="MDPI12title"/>
        <w:rPr>
          <w:rFonts w:eastAsia="DFKai-SB"/>
        </w:rPr>
      </w:pPr>
      <w:r w:rsidRPr="00007CEA">
        <w:rPr>
          <w:rFonts w:eastAsia="DFKai-SB"/>
        </w:rPr>
        <w:t>Identification of the Novel Oncogenic Role of SAAL1 and Its Therapeutic Potential in Hepatocellular Carcinoma</w:t>
      </w:r>
    </w:p>
    <w:p w14:paraId="37445C75" w14:textId="40ED3759" w:rsidR="00007CEA" w:rsidRPr="00007CEA" w:rsidRDefault="00007CEA" w:rsidP="00007CEA">
      <w:pPr>
        <w:pStyle w:val="MDPI13authornames"/>
        <w:rPr>
          <w:rFonts w:eastAsia="DFKai-SB"/>
          <w:spacing w:val="-4"/>
          <w:shd w:val="clear" w:color="auto" w:fill="FFFFFF"/>
        </w:rPr>
      </w:pPr>
      <w:r w:rsidRPr="00007CEA">
        <w:rPr>
          <w:spacing w:val="-4"/>
        </w:rPr>
        <w:t xml:space="preserve">Pei-Yi Chu, </w:t>
      </w:r>
      <w:r w:rsidRPr="00007CEA">
        <w:rPr>
          <w:rFonts w:eastAsia="DFKai-SB"/>
          <w:spacing w:val="-4"/>
          <w:shd w:val="clear" w:color="auto" w:fill="FFFFFF"/>
        </w:rPr>
        <w:t xml:space="preserve">Shiao-Lin Tung, </w:t>
      </w:r>
      <w:r w:rsidRPr="00007CEA">
        <w:rPr>
          <w:spacing w:val="-4"/>
        </w:rPr>
        <w:t>Kuo-Wang Tsai</w:t>
      </w:r>
      <w:r w:rsidRPr="00007CEA">
        <w:rPr>
          <w:rFonts w:eastAsia="DFKai-SB"/>
          <w:spacing w:val="-4"/>
          <w:shd w:val="clear" w:color="auto" w:fill="FFFFFF"/>
        </w:rPr>
        <w:t xml:space="preserve">, Fang-Ping Shen and </w:t>
      </w:r>
      <w:r w:rsidRPr="00007CEA">
        <w:rPr>
          <w:spacing w:val="-4"/>
        </w:rPr>
        <w:t>Shih-Hsuan Chan</w:t>
      </w:r>
    </w:p>
    <w:p w14:paraId="3CEDD618" w14:textId="02701823" w:rsidR="00007CEA" w:rsidRPr="00007CEA" w:rsidRDefault="00007CEA" w:rsidP="00007CEA">
      <w:pPr>
        <w:pStyle w:val="MDPI21heading1"/>
      </w:pPr>
      <w:r w:rsidRPr="00007CEA">
        <w:t>Supplementary Materials</w:t>
      </w:r>
    </w:p>
    <w:p w14:paraId="5A72B9A7" w14:textId="77777777" w:rsidR="00E87AFF" w:rsidRPr="00007CEA" w:rsidRDefault="00E87AFF" w:rsidP="00007CEA">
      <w:pPr>
        <w:pStyle w:val="MDPI52figure"/>
      </w:pPr>
      <w:r w:rsidRPr="00007CEA">
        <w:rPr>
          <w:noProof/>
          <w:lang w:eastAsia="zh-CN" w:bidi="ar-SA"/>
        </w:rPr>
        <w:drawing>
          <wp:inline distT="0" distB="0" distL="0" distR="0" wp14:anchorId="3289606F" wp14:editId="5B4540F7">
            <wp:extent cx="5244684" cy="216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684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492936" w14:textId="3C3ABAA2" w:rsidR="00E87AFF" w:rsidRPr="00007CEA" w:rsidRDefault="00E87AFF" w:rsidP="00007CEA">
      <w:pPr>
        <w:pStyle w:val="MDPI51figurecaption"/>
      </w:pPr>
      <w:r w:rsidRPr="00007CEA">
        <w:rPr>
          <w:rFonts w:hint="eastAsia"/>
          <w:b/>
        </w:rPr>
        <w:t>S</w:t>
      </w:r>
      <w:r w:rsidRPr="00007CEA">
        <w:rPr>
          <w:b/>
        </w:rPr>
        <w:t xml:space="preserve">upplementary Figure S1. </w:t>
      </w:r>
      <w:r w:rsidRPr="00007CEA">
        <w:t xml:space="preserve">qRT-PCR analysis of SAAL1 siRNA Knockdown efficiency in three HCC cancer cell lines. SAAL1 mRNA expressions were normalized to Actin mRNA expressions. </w:t>
      </w:r>
      <w:r w:rsidRPr="00007CEA">
        <w:rPr>
          <w:highlight w:val="white"/>
        </w:rPr>
        <w:t>Data are means ± SEM (</w:t>
      </w:r>
      <w:r w:rsidRPr="00007CEA">
        <w:rPr>
          <w:i/>
          <w:highlight w:val="white"/>
        </w:rPr>
        <w:t>n</w:t>
      </w:r>
      <w:r w:rsidR="00007CEA">
        <w:rPr>
          <w:highlight w:val="white"/>
        </w:rPr>
        <w:t xml:space="preserve"> </w:t>
      </w:r>
      <w:r w:rsidRPr="00007CEA">
        <w:rPr>
          <w:highlight w:val="white"/>
        </w:rPr>
        <w:t>=</w:t>
      </w:r>
      <w:r w:rsidR="00007CEA">
        <w:rPr>
          <w:highlight w:val="white"/>
        </w:rPr>
        <w:t xml:space="preserve"> </w:t>
      </w:r>
      <w:r w:rsidRPr="00007CEA">
        <w:rPr>
          <w:highlight w:val="white"/>
        </w:rPr>
        <w:t>3)</w:t>
      </w:r>
      <w:r w:rsidRPr="00007CEA">
        <w:t xml:space="preserve">. * </w:t>
      </w:r>
      <w:r w:rsidR="00007CEA" w:rsidRPr="00007CEA">
        <w:rPr>
          <w:i/>
          <w:iCs/>
        </w:rPr>
        <w:t>p</w:t>
      </w:r>
      <w:r w:rsidRPr="00007CEA">
        <w:rPr>
          <w:i/>
          <w:iCs/>
        </w:rPr>
        <w:t xml:space="preserve"> </w:t>
      </w:r>
      <w:r w:rsidRPr="00007CEA">
        <w:t>&lt; 0.05.</w:t>
      </w:r>
    </w:p>
    <w:p w14:paraId="23C986DA" w14:textId="77777777" w:rsidR="00E87AFF" w:rsidRPr="00007CEA" w:rsidRDefault="00E87AFF" w:rsidP="00007CEA">
      <w:pPr>
        <w:pStyle w:val="MDPI52figure"/>
      </w:pPr>
      <w:r w:rsidRPr="00007CEA">
        <w:rPr>
          <w:noProof/>
          <w:lang w:eastAsia="zh-CN" w:bidi="ar-SA"/>
        </w:rPr>
        <w:drawing>
          <wp:inline distT="0" distB="0" distL="0" distR="0" wp14:anchorId="0ADA17E1" wp14:editId="33E8033E">
            <wp:extent cx="4699000" cy="248285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30" b="1462"/>
                    <a:stretch/>
                  </pic:blipFill>
                  <pic:spPr bwMode="auto">
                    <a:xfrm>
                      <a:off x="0" y="0"/>
                      <a:ext cx="4699597" cy="248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471CDC" w14:textId="77777777" w:rsidR="00E87AFF" w:rsidRPr="00007CEA" w:rsidRDefault="00E87AFF" w:rsidP="00007CEA">
      <w:pPr>
        <w:pStyle w:val="MDPI51figurecaption"/>
      </w:pPr>
      <w:r w:rsidRPr="00007CEA">
        <w:rPr>
          <w:rFonts w:hint="eastAsia"/>
          <w:b/>
          <w:bCs/>
        </w:rPr>
        <w:t>S</w:t>
      </w:r>
      <w:r w:rsidRPr="00007CEA">
        <w:rPr>
          <w:b/>
          <w:bCs/>
        </w:rPr>
        <w:t>upplementary Figure S2.</w:t>
      </w:r>
      <w:r w:rsidRPr="00007CEA">
        <w:rPr>
          <w:b/>
        </w:rPr>
        <w:t xml:space="preserve"> </w:t>
      </w:r>
      <w:r w:rsidRPr="00007CEA">
        <w:rPr>
          <w:bCs/>
        </w:rPr>
        <w:t xml:space="preserve">Flow cytometry analysis of annexin V expression in SAAL1-depleted SK-Hep1 cells. </w:t>
      </w:r>
      <w:r w:rsidRPr="00007CEA">
        <w:t>The SK-Hep1 cells were transfected with the control and SAAL1 siRNA respectively for 48 hours followed by annexin V-FITC staining. The representative figures were shown.</w:t>
      </w:r>
    </w:p>
    <w:p w14:paraId="0B5C7D28" w14:textId="5E5F477F" w:rsidR="00E87AFF" w:rsidRPr="00007CEA" w:rsidRDefault="001802DC" w:rsidP="00007CEA">
      <w:pPr>
        <w:pStyle w:val="MDPI52figure"/>
      </w:pPr>
      <w:r>
        <w:rPr>
          <w:noProof/>
        </w:rPr>
        <w:lastRenderedPageBreak/>
        <w:t xml:space="preserve"> </w:t>
      </w:r>
      <w:r>
        <w:rPr>
          <w:noProof/>
          <w:lang w:eastAsia="zh-CN" w:bidi="ar-SA"/>
        </w:rPr>
        <w:drawing>
          <wp:inline distT="0" distB="0" distL="0" distR="0" wp14:anchorId="21373A0F" wp14:editId="5F626F93">
            <wp:extent cx="5661192" cy="2880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192" cy="28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3A293E" w14:textId="0611940E" w:rsidR="00E87AFF" w:rsidRPr="00007CEA" w:rsidRDefault="00E87AFF" w:rsidP="00007CEA">
      <w:pPr>
        <w:pStyle w:val="MDPI51figurecaption"/>
      </w:pPr>
      <w:r w:rsidRPr="00007CEA">
        <w:rPr>
          <w:rFonts w:hint="eastAsia"/>
          <w:b/>
        </w:rPr>
        <w:t>S</w:t>
      </w:r>
      <w:r w:rsidRPr="00007CEA">
        <w:rPr>
          <w:b/>
        </w:rPr>
        <w:t xml:space="preserve">upplementary Figure S3. </w:t>
      </w:r>
      <w:r w:rsidRPr="00007CEA">
        <w:t xml:space="preserve">SAAL1 depletion significantly abolishes HGF-induced Osteopontin (OPN) expression. Knockdown efficiency of SAAL1 siRNA and HGF-induced OPN expression were measured by qRT-PCR. </w:t>
      </w:r>
      <w:r w:rsidRPr="00007CEA">
        <w:rPr>
          <w:highlight w:val="white"/>
        </w:rPr>
        <w:t>Data are means ± SEM (</w:t>
      </w:r>
      <w:r w:rsidRPr="00007CEA">
        <w:rPr>
          <w:i/>
          <w:highlight w:val="white"/>
        </w:rPr>
        <w:t>n</w:t>
      </w:r>
      <w:r w:rsidR="00007CEA">
        <w:rPr>
          <w:highlight w:val="white"/>
        </w:rPr>
        <w:t xml:space="preserve"> </w:t>
      </w:r>
      <w:r w:rsidRPr="00007CEA">
        <w:rPr>
          <w:highlight w:val="white"/>
        </w:rPr>
        <w:t>=</w:t>
      </w:r>
      <w:r w:rsidR="00007CEA">
        <w:rPr>
          <w:highlight w:val="white"/>
        </w:rPr>
        <w:t xml:space="preserve"> </w:t>
      </w:r>
      <w:r w:rsidRPr="00007CEA">
        <w:rPr>
          <w:highlight w:val="white"/>
        </w:rPr>
        <w:t>3)</w:t>
      </w:r>
      <w:r w:rsidRPr="00007CEA">
        <w:t xml:space="preserve">. * </w:t>
      </w:r>
      <w:r w:rsidR="00007CEA" w:rsidRPr="00007CEA">
        <w:rPr>
          <w:i/>
          <w:iCs/>
        </w:rPr>
        <w:t>p</w:t>
      </w:r>
      <w:r w:rsidRPr="00007CEA">
        <w:rPr>
          <w:i/>
          <w:iCs/>
        </w:rPr>
        <w:t xml:space="preserve"> </w:t>
      </w:r>
      <w:r w:rsidRPr="00007CEA">
        <w:t>&lt; 0.05.</w:t>
      </w:r>
    </w:p>
    <w:p w14:paraId="4FA9B316" w14:textId="55BC5B8B" w:rsidR="00DB05F6" w:rsidRPr="00007CEA" w:rsidRDefault="00CB22D8" w:rsidP="00007CEA">
      <w:pPr>
        <w:pStyle w:val="MDPI41tablecaption"/>
      </w:pPr>
      <w:r w:rsidRPr="00007CEA">
        <w:rPr>
          <w:b/>
          <w:iCs/>
          <w:lang w:eastAsia="zh-CN" w:bidi="ar"/>
        </w:rPr>
        <w:t>Supplemen</w:t>
      </w:r>
      <w:r w:rsidR="00AC513A" w:rsidRPr="00007CEA">
        <w:rPr>
          <w:b/>
          <w:iCs/>
          <w:lang w:eastAsia="zh-CN" w:bidi="ar"/>
        </w:rPr>
        <w:t>t</w:t>
      </w:r>
      <w:r w:rsidRPr="00007CEA">
        <w:rPr>
          <w:b/>
          <w:iCs/>
          <w:lang w:eastAsia="zh-CN" w:bidi="ar"/>
        </w:rPr>
        <w:t>ary Table S1.</w:t>
      </w:r>
      <w:r w:rsidR="000D5FF1" w:rsidRPr="00007CEA">
        <w:rPr>
          <w:b/>
          <w:iCs/>
          <w:lang w:eastAsia="zh-CN" w:bidi="ar"/>
        </w:rPr>
        <w:t xml:space="preserve"> </w:t>
      </w:r>
      <w:r w:rsidR="00DB05F6" w:rsidRPr="00007CEA">
        <w:t>Correlation between expression levels of SAAL1 and clinicopathologic features of HCC patients</w:t>
      </w:r>
      <w:r w:rsidR="00007CEA">
        <w:t>.</w:t>
      </w:r>
    </w:p>
    <w:tbl>
      <w:tblPr>
        <w:tblW w:w="4893" w:type="pct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2415"/>
        <w:gridCol w:w="2112"/>
        <w:gridCol w:w="1411"/>
      </w:tblGrid>
      <w:tr w:rsidR="00007CEA" w:rsidRPr="00007CEA" w14:paraId="5CBEF7C1" w14:textId="77777777" w:rsidTr="00007CEA">
        <w:trPr>
          <w:cantSplit/>
          <w:jc w:val="center"/>
        </w:trPr>
        <w:tc>
          <w:tcPr>
            <w:tcW w:w="271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C973" w14:textId="7EF9F4AC" w:rsidR="00DB05F6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  <w:bookmarkStart w:id="1" w:name="_Hlk39050149"/>
            <w:r w:rsidRPr="00007CEA">
              <w:rPr>
                <w:rFonts w:ascii="Palatino Linotype" w:hAnsi="Palatino Linotype" w:hint="eastAsia"/>
                <w:b/>
                <w:sz w:val="18"/>
                <w:szCs w:val="16"/>
              </w:rPr>
              <w:t>V</w:t>
            </w:r>
            <w:r w:rsidRPr="00007CEA">
              <w:rPr>
                <w:rFonts w:ascii="Palatino Linotype" w:hAnsi="Palatino Linotype"/>
                <w:b/>
                <w:sz w:val="18"/>
                <w:szCs w:val="16"/>
              </w:rPr>
              <w:t>ariables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836B95" w14:textId="0C31BEF1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23"/>
              </w:rPr>
              <w:t>SAAL1 high</w:t>
            </w:r>
            <w:r w:rsidR="00007CEA">
              <w:rPr>
                <w:rFonts w:ascii="Palatino Linotype" w:hAnsi="Palatino Linotype"/>
                <w:sz w:val="18"/>
                <w:szCs w:val="23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(</w:t>
            </w:r>
            <w:r w:rsidRPr="00007CEA">
              <w:rPr>
                <w:rFonts w:ascii="Palatino Linotype" w:hAnsi="Palatino Linotype"/>
                <w:i/>
                <w:sz w:val="18"/>
                <w:szCs w:val="16"/>
              </w:rPr>
              <w:t>n</w:t>
            </w:r>
            <w:r w:rsidR="00007CEA" w:rsidRPr="00007CEA">
              <w:rPr>
                <w:rFonts w:ascii="Palatino Linotype" w:hAnsi="Palatino Linotype"/>
                <w:sz w:val="18"/>
                <w:szCs w:val="16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=</w:t>
            </w:r>
            <w:r w:rsidR="00007CEA" w:rsidRPr="00007CEA">
              <w:rPr>
                <w:rFonts w:ascii="Palatino Linotype" w:hAnsi="Palatino Linotype"/>
                <w:sz w:val="18"/>
                <w:szCs w:val="16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151)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F1F0F6B" w14:textId="7FA918D2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23"/>
              </w:rPr>
              <w:t>SAAL1 low</w:t>
            </w:r>
            <w:r w:rsidR="00007CEA">
              <w:rPr>
                <w:rFonts w:ascii="Palatino Linotype" w:hAnsi="Palatino Linotype"/>
                <w:sz w:val="18"/>
                <w:szCs w:val="23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23"/>
              </w:rPr>
              <w:t>(</w:t>
            </w:r>
            <w:r w:rsidRPr="00007CEA">
              <w:rPr>
                <w:rFonts w:ascii="Palatino Linotype" w:hAnsi="Palatino Linotype"/>
                <w:i/>
                <w:sz w:val="18"/>
                <w:szCs w:val="23"/>
              </w:rPr>
              <w:t>n</w:t>
            </w:r>
            <w:r w:rsidR="00007CEA" w:rsidRPr="00007CEA">
              <w:rPr>
                <w:rFonts w:ascii="Palatino Linotype" w:hAnsi="Palatino Linotype"/>
                <w:sz w:val="18"/>
                <w:szCs w:val="23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23"/>
              </w:rPr>
              <w:t>=</w:t>
            </w:r>
            <w:r w:rsidR="00007CEA" w:rsidRPr="00007CEA">
              <w:rPr>
                <w:rFonts w:ascii="Palatino Linotype" w:hAnsi="Palatino Linotype"/>
                <w:sz w:val="18"/>
                <w:szCs w:val="23"/>
              </w:rPr>
              <w:t xml:space="preserve"> </w:t>
            </w:r>
            <w:r w:rsidRPr="00007CEA">
              <w:rPr>
                <w:rFonts w:ascii="Palatino Linotype" w:hAnsi="Palatino Linotype"/>
                <w:sz w:val="18"/>
                <w:szCs w:val="23"/>
              </w:rPr>
              <w:t>195)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59F564F" w14:textId="24B744A3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23"/>
              </w:rPr>
            </w:pPr>
            <w:r w:rsidRPr="00007CEA">
              <w:rPr>
                <w:rFonts w:ascii="Palatino Linotype" w:hAnsi="Palatino Linotype"/>
                <w:i/>
                <w:iCs/>
                <w:sz w:val="18"/>
                <w:szCs w:val="20"/>
              </w:rPr>
              <w:t>p-</w:t>
            </w:r>
            <w:r w:rsidRPr="00007CEA">
              <w:rPr>
                <w:rFonts w:ascii="Palatino Linotype" w:hAnsi="Palatino Linotype"/>
                <w:iCs/>
                <w:sz w:val="18"/>
                <w:szCs w:val="20"/>
              </w:rPr>
              <w:t>value</w:t>
            </w:r>
            <w:r w:rsidR="00007CEA" w:rsidRPr="00007CEA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r w:rsidRPr="00007CEA">
              <w:rPr>
                <w:rFonts w:ascii="Palatino Linotype" w:hAnsi="Palatino Linotype"/>
                <w:iCs/>
                <w:sz w:val="18"/>
                <w:szCs w:val="20"/>
                <w:vertAlign w:val="superscript"/>
              </w:rPr>
              <w:t>a</w:t>
            </w:r>
          </w:p>
        </w:tc>
      </w:tr>
      <w:tr w:rsidR="00007CEA" w:rsidRPr="00007CEA" w14:paraId="663A4867" w14:textId="77777777" w:rsidTr="00007CEA">
        <w:trPr>
          <w:cantSplit/>
          <w:jc w:val="center"/>
        </w:trPr>
        <w:tc>
          <w:tcPr>
            <w:tcW w:w="271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385E6" w14:textId="77777777" w:rsidR="00DB05F6" w:rsidRPr="00007CEA" w:rsidRDefault="00DB05F6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499C7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23"/>
              </w:rPr>
            </w:pPr>
            <w:r w:rsidRPr="00007CEA">
              <w:rPr>
                <w:rFonts w:ascii="Palatino Linotype" w:hAnsi="Palatino Linotype" w:hint="eastAsia"/>
                <w:sz w:val="18"/>
                <w:szCs w:val="23"/>
              </w:rPr>
              <w:t>N</w:t>
            </w:r>
            <w:r w:rsidRPr="00007CEA">
              <w:rPr>
                <w:rFonts w:ascii="Palatino Linotype" w:hAnsi="Palatino Linotype"/>
                <w:sz w:val="18"/>
                <w:szCs w:val="23"/>
              </w:rPr>
              <w:t>umber (%)</w:t>
            </w: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3D3C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23"/>
              </w:rPr>
            </w:pPr>
            <w:r w:rsidRPr="00007CEA">
              <w:rPr>
                <w:rFonts w:ascii="Palatino Linotype" w:hAnsi="Palatino Linotype" w:hint="eastAsia"/>
                <w:sz w:val="18"/>
                <w:szCs w:val="23"/>
              </w:rPr>
              <w:t>N</w:t>
            </w:r>
            <w:r w:rsidRPr="00007CEA">
              <w:rPr>
                <w:rFonts w:ascii="Palatino Linotype" w:hAnsi="Palatino Linotype"/>
                <w:sz w:val="18"/>
                <w:szCs w:val="23"/>
              </w:rPr>
              <w:t>umber (%)</w:t>
            </w:r>
          </w:p>
        </w:tc>
        <w:tc>
          <w:tcPr>
            <w:tcW w:w="141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B60DBF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i/>
                <w:iCs/>
                <w:sz w:val="18"/>
                <w:szCs w:val="20"/>
              </w:rPr>
            </w:pPr>
          </w:p>
        </w:tc>
      </w:tr>
      <w:tr w:rsidR="00007CEA" w:rsidRPr="00007CEA" w14:paraId="51C86901" w14:textId="77777777" w:rsidTr="00007CEA">
        <w:trPr>
          <w:cantSplit/>
          <w:jc w:val="center"/>
        </w:trPr>
        <w:tc>
          <w:tcPr>
            <w:tcW w:w="27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F88676" w14:textId="77777777" w:rsidR="00DB05F6" w:rsidRPr="00007CEA" w:rsidRDefault="00DB05F6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b/>
                <w:sz w:val="18"/>
                <w:szCs w:val="16"/>
              </w:rPr>
              <w:t>AJCC Pathological stage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B3E0D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842C1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5AB45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313F8B2F" w14:textId="77777777" w:rsidTr="00CE3462">
        <w:trPr>
          <w:jc w:val="center"/>
        </w:trPr>
        <w:tc>
          <w:tcPr>
            <w:tcW w:w="27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713DC8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I, II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BE324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108 (71.5)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5D2D7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148 (75.9)</w:t>
            </w: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16581F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 w:hint="eastAsia"/>
                <w:sz w:val="18"/>
                <w:szCs w:val="16"/>
              </w:rPr>
              <w:t>0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.388</w:t>
            </w:r>
          </w:p>
        </w:tc>
      </w:tr>
      <w:tr w:rsidR="00007CEA" w:rsidRPr="00007CEA" w14:paraId="5794C4E4" w14:textId="77777777" w:rsidTr="003B2972">
        <w:trPr>
          <w:cantSplit/>
          <w:jc w:val="center"/>
        </w:trPr>
        <w:tc>
          <w:tcPr>
            <w:tcW w:w="27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B4F75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III, IV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41CFD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43 (28.5)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8D586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43 (24.1)</w:t>
            </w:r>
          </w:p>
        </w:tc>
        <w:tc>
          <w:tcPr>
            <w:tcW w:w="141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457B0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71B17948" w14:textId="77777777" w:rsidTr="003B2972">
        <w:trPr>
          <w:cantSplit/>
          <w:jc w:val="center"/>
        </w:trPr>
        <w:tc>
          <w:tcPr>
            <w:tcW w:w="27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524363" w14:textId="77777777" w:rsidR="00DB05F6" w:rsidRPr="00007CEA" w:rsidRDefault="00DB05F6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b/>
                <w:sz w:val="18"/>
                <w:szCs w:val="16"/>
              </w:rPr>
              <w:t>pT stage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FD74D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37080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FC767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45493845" w14:textId="77777777" w:rsidTr="00EF6BB1">
        <w:trPr>
          <w:cantSplit/>
          <w:jc w:val="center"/>
        </w:trPr>
        <w:tc>
          <w:tcPr>
            <w:tcW w:w="27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86A835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T1, T2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FC635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111 (73.5)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3A7A2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149 (76.4)</w:t>
            </w: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92DD86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 w:hint="eastAsia"/>
                <w:sz w:val="18"/>
                <w:szCs w:val="16"/>
              </w:rPr>
              <w:t>0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.616</w:t>
            </w:r>
          </w:p>
        </w:tc>
      </w:tr>
      <w:tr w:rsidR="00007CEA" w:rsidRPr="00007CEA" w14:paraId="1C4EA433" w14:textId="77777777" w:rsidTr="003B2972">
        <w:trPr>
          <w:cantSplit/>
          <w:jc w:val="center"/>
        </w:trPr>
        <w:tc>
          <w:tcPr>
            <w:tcW w:w="27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079B2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T3, T4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97835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40 (26.5)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955B3B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46 (23.6)</w:t>
            </w:r>
          </w:p>
        </w:tc>
        <w:tc>
          <w:tcPr>
            <w:tcW w:w="141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98EF9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5957C973" w14:textId="77777777" w:rsidTr="003B2972">
        <w:trPr>
          <w:cantSplit/>
          <w:jc w:val="center"/>
        </w:trPr>
        <w:tc>
          <w:tcPr>
            <w:tcW w:w="27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FE05C8" w14:textId="77777777" w:rsidR="00DB05F6" w:rsidRPr="00007CEA" w:rsidRDefault="00DB05F6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b/>
                <w:sz w:val="18"/>
                <w:szCs w:val="16"/>
              </w:rPr>
              <w:t xml:space="preserve">pN stage 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0878D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CE10D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26560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4E60ECB4" w14:textId="77777777" w:rsidTr="009652E1">
        <w:trPr>
          <w:cantSplit/>
          <w:jc w:val="center"/>
        </w:trPr>
        <w:tc>
          <w:tcPr>
            <w:tcW w:w="27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7D815C0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N0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7197A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148 (98.0)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9360A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194 (99.5)</w:t>
            </w: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0AD382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 w:hint="eastAsia"/>
                <w:sz w:val="18"/>
                <w:szCs w:val="16"/>
              </w:rPr>
              <w:t>0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.321</w:t>
            </w:r>
          </w:p>
        </w:tc>
      </w:tr>
      <w:tr w:rsidR="00007CEA" w:rsidRPr="00007CEA" w14:paraId="50EC38EC" w14:textId="77777777" w:rsidTr="003B2972">
        <w:trPr>
          <w:cantSplit/>
          <w:jc w:val="center"/>
        </w:trPr>
        <w:tc>
          <w:tcPr>
            <w:tcW w:w="27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5A45B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N1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37A4" w14:textId="06228D9F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3 (2.0)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E6365E" w14:textId="769FB0B9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 (0.5)</w:t>
            </w:r>
          </w:p>
        </w:tc>
        <w:tc>
          <w:tcPr>
            <w:tcW w:w="141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078EE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054961EC" w14:textId="77777777" w:rsidTr="003B2972">
        <w:trPr>
          <w:cantSplit/>
          <w:jc w:val="center"/>
        </w:trPr>
        <w:tc>
          <w:tcPr>
            <w:tcW w:w="27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509652" w14:textId="77777777" w:rsidR="00DB05F6" w:rsidRPr="00007CEA" w:rsidRDefault="00DB05F6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b/>
                <w:sz w:val="18"/>
                <w:szCs w:val="16"/>
              </w:rPr>
              <w:t>pM stage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3806F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30874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13B7" w14:textId="77777777" w:rsidR="00DB05F6" w:rsidRPr="00007CEA" w:rsidRDefault="00DB05F6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  <w:tr w:rsidR="00007CEA" w:rsidRPr="00007CEA" w14:paraId="2E2B719C" w14:textId="77777777" w:rsidTr="00102F70">
        <w:trPr>
          <w:cantSplit/>
          <w:jc w:val="center"/>
        </w:trPr>
        <w:tc>
          <w:tcPr>
            <w:tcW w:w="27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3E59BF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M0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5EB5F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148 (98.0)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3866F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194 (99.5)</w:t>
            </w: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E931E2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 w:hint="eastAsia"/>
                <w:sz w:val="18"/>
                <w:szCs w:val="16"/>
              </w:rPr>
              <w:t>0</w:t>
            </w:r>
            <w:r w:rsidRPr="00007CEA">
              <w:rPr>
                <w:rFonts w:ascii="Palatino Linotype" w:hAnsi="Palatino Linotype"/>
                <w:sz w:val="18"/>
                <w:szCs w:val="16"/>
              </w:rPr>
              <w:t>.321</w:t>
            </w:r>
          </w:p>
        </w:tc>
      </w:tr>
      <w:tr w:rsidR="00007CEA" w:rsidRPr="00007CEA" w14:paraId="270B5600" w14:textId="77777777" w:rsidTr="00102F70">
        <w:trPr>
          <w:cantSplit/>
          <w:jc w:val="center"/>
        </w:trPr>
        <w:tc>
          <w:tcPr>
            <w:tcW w:w="271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B24496" w14:textId="77777777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M1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8FE234D" w14:textId="48D09CF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3 (2.0)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9D47FE" w14:textId="6B76D4DA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007CEA">
              <w:rPr>
                <w:rFonts w:ascii="Palatino Linotype" w:hAnsi="Palatino Linotype"/>
                <w:sz w:val="18"/>
                <w:szCs w:val="16"/>
              </w:rPr>
              <w:t>1 (0.5)</w:t>
            </w:r>
          </w:p>
        </w:tc>
        <w:tc>
          <w:tcPr>
            <w:tcW w:w="1411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DFC166" w14:textId="77777777" w:rsidR="00007CEA" w:rsidRPr="00007CEA" w:rsidRDefault="00007CEA" w:rsidP="00007CEA">
            <w:pPr>
              <w:widowControl/>
              <w:tabs>
                <w:tab w:val="left" w:pos="1044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6"/>
              </w:rPr>
            </w:pPr>
          </w:p>
        </w:tc>
      </w:tr>
    </w:tbl>
    <w:bookmarkEnd w:id="1"/>
    <w:p w14:paraId="6C4378CE" w14:textId="737E5C83" w:rsidR="00007CEA" w:rsidRPr="00007CEA" w:rsidRDefault="00007CEA" w:rsidP="00007CEA">
      <w:pPr>
        <w:pStyle w:val="MDPI43tablefooter"/>
        <w:jc w:val="center"/>
      </w:pPr>
      <w:r w:rsidRPr="00007CEA">
        <w:rPr>
          <w:vertAlign w:val="superscript"/>
        </w:rPr>
        <w:t>a</w:t>
      </w:r>
      <w:r w:rsidRPr="00007CEA">
        <w:t xml:space="preserve"> </w:t>
      </w:r>
      <w:r w:rsidRPr="00007CEA">
        <w:rPr>
          <w:i/>
          <w:iCs/>
        </w:rPr>
        <w:t>p-</w:t>
      </w:r>
      <w:r w:rsidRPr="00007CEA">
        <w:rPr>
          <w:iCs/>
        </w:rPr>
        <w:t>value</w:t>
      </w:r>
      <w:r w:rsidRPr="00007CEA">
        <w:t xml:space="preserve"> is estimated by</w:t>
      </w:r>
      <w:r w:rsidRPr="00007CEA">
        <w:rPr>
          <w:rStyle w:val="15"/>
          <w:rFonts w:ascii="Palatino Linotype" w:hAnsi="Palatino Linotype"/>
          <w:i w:val="0"/>
          <w:iCs w:val="0"/>
        </w:rPr>
        <w:t xml:space="preserve"> </w:t>
      </w:r>
      <w:r w:rsidRPr="00007CEA">
        <w:rPr>
          <w:rStyle w:val="15"/>
          <w:rFonts w:ascii="Palatino Linotype" w:hAnsi="Palatino Linotype"/>
          <w:i w:val="0"/>
          <w:iCs w:val="0"/>
          <w:szCs w:val="20"/>
        </w:rPr>
        <w:t>Fisher’s exact test</w:t>
      </w:r>
      <w:r>
        <w:rPr>
          <w:rStyle w:val="15"/>
          <w:rFonts w:ascii="Palatino Linotype" w:hAnsi="Palatino Linotype"/>
          <w:i w:val="0"/>
          <w:iCs w:val="0"/>
          <w:szCs w:val="20"/>
        </w:rPr>
        <w:t>.</w:t>
      </w:r>
    </w:p>
    <w:p w14:paraId="2702DC3C" w14:textId="77777777" w:rsidR="003B2972" w:rsidRDefault="003B2972">
      <w:pPr>
        <w:widowControl/>
        <w:rPr>
          <w:rFonts w:ascii="Palatino Linotype" w:eastAsia="Times New Roman" w:hAnsi="Palatino Linotype" w:cstheme="minorBidi"/>
          <w:b/>
          <w:bCs/>
          <w:color w:val="000000"/>
          <w:kern w:val="0"/>
          <w:sz w:val="18"/>
          <w:szCs w:val="22"/>
          <w:lang w:eastAsia="de-DE" w:bidi="en-US"/>
        </w:rPr>
      </w:pPr>
      <w:r>
        <w:rPr>
          <w:b/>
          <w:bCs/>
        </w:rPr>
        <w:br w:type="page"/>
      </w:r>
    </w:p>
    <w:p w14:paraId="54C3C620" w14:textId="2AEB7C0E" w:rsidR="006F518C" w:rsidRPr="00007CEA" w:rsidRDefault="00CB22D8" w:rsidP="00007CEA">
      <w:pPr>
        <w:pStyle w:val="MDPI41tablecaption"/>
        <w:jc w:val="center"/>
      </w:pPr>
      <w:r w:rsidRPr="00007CEA">
        <w:rPr>
          <w:b/>
          <w:bCs/>
        </w:rPr>
        <w:lastRenderedPageBreak/>
        <w:t xml:space="preserve">Supplementary </w:t>
      </w:r>
      <w:r w:rsidRPr="00007CEA">
        <w:rPr>
          <w:rFonts w:hint="eastAsia"/>
          <w:b/>
          <w:bCs/>
        </w:rPr>
        <w:t>T</w:t>
      </w:r>
      <w:r w:rsidRPr="00007CEA">
        <w:rPr>
          <w:b/>
          <w:bCs/>
        </w:rPr>
        <w:t>able S</w:t>
      </w:r>
      <w:r w:rsidR="00DB05F6" w:rsidRPr="00007CEA">
        <w:rPr>
          <w:b/>
          <w:bCs/>
        </w:rPr>
        <w:t>2</w:t>
      </w:r>
      <w:r w:rsidRPr="00007CEA">
        <w:rPr>
          <w:b/>
        </w:rPr>
        <w:t xml:space="preserve">. </w:t>
      </w:r>
      <w:r w:rsidRPr="00007CEA">
        <w:t>The detailed information of antibodies, reagents,</w:t>
      </w:r>
      <w:r w:rsidR="00007CEA">
        <w:t xml:space="preserve"> </w:t>
      </w:r>
      <w:r w:rsidRPr="00007CEA">
        <w:t>chemicals and small interference RNA (siRNA) used in this study.</w:t>
      </w:r>
    </w:p>
    <w:tbl>
      <w:tblPr>
        <w:tblStyle w:val="TableGrid"/>
        <w:tblW w:w="8296" w:type="dxa"/>
        <w:jc w:val="center"/>
        <w:tblLook w:val="04A0" w:firstRow="1" w:lastRow="0" w:firstColumn="1" w:lastColumn="0" w:noHBand="0" w:noVBand="1"/>
      </w:tblPr>
      <w:tblGrid>
        <w:gridCol w:w="2539"/>
        <w:gridCol w:w="4143"/>
        <w:gridCol w:w="1614"/>
      </w:tblGrid>
      <w:tr w:rsidR="00007CEA" w:rsidRPr="00007CEA" w14:paraId="5F715355" w14:textId="77777777" w:rsidTr="00646664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0510DC" w14:textId="3F9225B2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Antibodies and Reagents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564B730" w14:textId="4A9ABAD3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Vendor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5949050" w14:textId="61D2FC51" w:rsidR="00007CEA" w:rsidRPr="00007CEA" w:rsidRDefault="00007CEA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Catalog Number</w:t>
            </w:r>
          </w:p>
        </w:tc>
      </w:tr>
      <w:tr w:rsidR="00007CEA" w:rsidRPr="00007CEA" w14:paraId="654EE41A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6D0E7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Anti-Met antibody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8EC68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23E5B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8198S</w:t>
            </w:r>
          </w:p>
        </w:tc>
      </w:tr>
      <w:tr w:rsidR="00007CEA" w:rsidRPr="00007CEA" w14:paraId="323702F2" w14:textId="77777777" w:rsidTr="00007CE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D4216" w14:textId="0D841CEB" w:rsidR="00BA5B24" w:rsidRPr="00007CEA" w:rsidRDefault="00BA5B24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Anti-SAAL1 antibody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D0C1F" w14:textId="5A5722A5" w:rsidR="00BA5B24" w:rsidRPr="00007CEA" w:rsidRDefault="00C953A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Bethyl Laboratory</w:t>
            </w:r>
            <w:r w:rsidR="00FF7219"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Inc.</w:t>
            </w: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Montgomery, TX</w:t>
            </w:r>
            <w:r w:rsidR="00FF7219"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</w:t>
            </w: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70210" w14:textId="30158D47" w:rsidR="00BA5B24" w:rsidRPr="00007CEA" w:rsidRDefault="00C953A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A304-966A</w:t>
            </w:r>
          </w:p>
        </w:tc>
      </w:tr>
      <w:tr w:rsidR="00007CEA" w:rsidRPr="00007CEA" w14:paraId="5B8671D0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19862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Anti-p-Met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FA065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Cell Signaling Technology, Danvers, MA, 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936C1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3077S</w:t>
            </w:r>
          </w:p>
        </w:tc>
      </w:tr>
      <w:tr w:rsidR="00007CEA" w:rsidRPr="00007CEA" w14:paraId="0DFEB83E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92163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Anti-Akt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2B139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5C4E0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4691S</w:t>
            </w:r>
          </w:p>
        </w:tc>
      </w:tr>
      <w:tr w:rsidR="00007CEA" w:rsidRPr="00007CEA" w14:paraId="4F7F48B7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EE774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Anti-p-Akt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2518B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EF37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9271S</w:t>
            </w:r>
          </w:p>
        </w:tc>
      </w:tr>
      <w:tr w:rsidR="00007CEA" w:rsidRPr="00007CEA" w14:paraId="263C6166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57390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Anti-mTOR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F4869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9A99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#2983</w:t>
            </w:r>
          </w:p>
        </w:tc>
      </w:tr>
      <w:tr w:rsidR="00007CEA" w:rsidRPr="00007CEA" w14:paraId="45A530E6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1419F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Anti-p-mTOR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F5A1D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0CCFF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#2974</w:t>
            </w:r>
          </w:p>
        </w:tc>
      </w:tr>
      <w:tr w:rsidR="00007CEA" w:rsidRPr="00007CEA" w14:paraId="34645725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1AE5C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</w:t>
            </w: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sym w:font="Symbol" w:char="F062"/>
            </w: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-actin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AF236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Santa Cruz Biotechnology, Santa Cruz, CA, 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AE5F2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sc-47778</w:t>
            </w:r>
          </w:p>
        </w:tc>
      </w:tr>
      <w:tr w:rsidR="00007CEA" w:rsidRPr="00007CEA" w14:paraId="78E67A97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0054E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Anti-α-Tubulin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332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Santa Cruz Biotechnology, Santa Cruz, CA, 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FA415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sc-5286</w:t>
            </w:r>
          </w:p>
        </w:tc>
      </w:tr>
      <w:tr w:rsidR="00007CEA" w:rsidRPr="00007CEA" w14:paraId="48DD80F1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9DF34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Anti-NA.K ATPase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49A8B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Cell Signaling Technology, Danvers, MA,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9995E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23565</w:t>
            </w:r>
          </w:p>
        </w:tc>
      </w:tr>
      <w:tr w:rsidR="00007CEA" w:rsidRPr="00007CEA" w14:paraId="2DE51E45" w14:textId="77777777" w:rsidTr="00007CE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87690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Anti-Lamin B2 antibody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96A6B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Abcam, San Francisco, CA, USA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491AB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Ab151735</w:t>
            </w:r>
          </w:p>
        </w:tc>
      </w:tr>
      <w:tr w:rsidR="00007CEA" w:rsidRPr="00007CEA" w14:paraId="33F480BB" w14:textId="77777777" w:rsidTr="00007CE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70C0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HGF recombinant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5C6B4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</w:t>
            </w: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＆</w:t>
            </w: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 systems, MN, USA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4D6E2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294-HG</w:t>
            </w:r>
          </w:p>
        </w:tc>
      </w:tr>
      <w:tr w:rsidR="00007CEA" w:rsidRPr="00007CEA" w14:paraId="6F75B496" w14:textId="77777777" w:rsidTr="00007CE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FB5D9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i/>
                <w:iCs/>
                <w:color w:val="000000" w:themeColor="text1"/>
                <w:sz w:val="18"/>
                <w:szCs w:val="18"/>
              </w:rPr>
              <w:t>Trans</w:t>
            </w: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IT-X2® System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2A45A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Mirus, Madison, WI, USA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A7EE82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MIR6000</w:t>
            </w:r>
          </w:p>
        </w:tc>
      </w:tr>
      <w:tr w:rsidR="00007CEA" w:rsidRPr="00007CEA" w14:paraId="4EFE8E6E" w14:textId="77777777" w:rsidTr="00007CE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7EC1B" w14:textId="463D4889" w:rsidR="008D465F" w:rsidRPr="00007CEA" w:rsidRDefault="003C0377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FITC annexin 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98A33" w14:textId="1BEDB1F0" w:rsidR="008D465F" w:rsidRPr="00007CEA" w:rsidRDefault="008D465F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BD Biosciences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77775" w14:textId="2E571B2E" w:rsidR="008D465F" w:rsidRPr="00007CEA" w:rsidRDefault="008D465F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51-65874X</w:t>
            </w:r>
          </w:p>
        </w:tc>
      </w:tr>
      <w:tr w:rsidR="00007CEA" w:rsidRPr="00007CEA" w14:paraId="5234B1DF" w14:textId="77777777" w:rsidTr="00007CE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9C11C" w14:textId="79E652C5" w:rsidR="008D465F" w:rsidRPr="00007CEA" w:rsidRDefault="008D465F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i/>
                <w:i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propidium iodide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23D17" w14:textId="59D032AA" w:rsidR="008D465F" w:rsidRPr="00007CEA" w:rsidRDefault="008D465F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Sigma-Aldrich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1E872D" w14:textId="27E05FB7" w:rsidR="008D465F" w:rsidRPr="00007CEA" w:rsidRDefault="003C0377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P4170</w:t>
            </w:r>
          </w:p>
        </w:tc>
      </w:tr>
      <w:tr w:rsidR="00007CEA" w:rsidRPr="00007CEA" w14:paraId="13DF67F6" w14:textId="77777777" w:rsidTr="00007CEA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DC3A6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eastAsia="TimesNewRomanPSMT" w:hAnsi="Palatino Linotype"/>
                <w:b/>
                <w:color w:val="000000" w:themeColor="text1"/>
                <w:kern w:val="0"/>
                <w:sz w:val="18"/>
                <w:szCs w:val="18"/>
              </w:rPr>
              <w:t>siRNA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67732C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NewRomanPSMT" w:hAnsi="Palatino Linotype"/>
                <w:b/>
                <w:color w:val="000000" w:themeColor="text1"/>
                <w:kern w:val="0"/>
                <w:sz w:val="18"/>
                <w:szCs w:val="18"/>
              </w:rPr>
            </w:pPr>
            <w:r w:rsidRPr="00007CEA">
              <w:rPr>
                <w:rFonts w:ascii="Palatino Linotype" w:eastAsia="TimesNewRomanPSMT" w:hAnsi="Palatino Linotype"/>
                <w:b/>
                <w:color w:val="000000" w:themeColor="text1"/>
                <w:kern w:val="0"/>
                <w:sz w:val="18"/>
                <w:szCs w:val="18"/>
              </w:rPr>
              <w:t>Oligonucleotide sequences used for siRNA</w:t>
            </w:r>
          </w:p>
          <w:p w14:paraId="57BA3DD8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Transfection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35FD0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Vendor</w:t>
            </w:r>
          </w:p>
        </w:tc>
      </w:tr>
      <w:tr w:rsidR="00007CEA" w:rsidRPr="00007CEA" w14:paraId="7C07D502" w14:textId="77777777" w:rsidTr="00007CEA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40116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kern w:val="0"/>
                <w:sz w:val="18"/>
                <w:szCs w:val="18"/>
              </w:rPr>
              <w:t>Control siRNA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CA9617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CCTAAGGTTAAGTCGCCCTCG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ECB5D1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MDBIO, Taiwan</w:t>
            </w:r>
          </w:p>
        </w:tc>
      </w:tr>
      <w:tr w:rsidR="00007CEA" w:rsidRPr="00007CEA" w14:paraId="26AB30A2" w14:textId="77777777" w:rsidTr="00007CEA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83B5DF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kern w:val="0"/>
                <w:sz w:val="18"/>
                <w:szCs w:val="18"/>
              </w:rPr>
              <w:t>SAAL1 siRNA-1(448-467)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E5077F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222222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222222"/>
                <w:sz w:val="18"/>
                <w:szCs w:val="18"/>
              </w:rPr>
              <w:t>CCACCUACUCUGCUGGAAATT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5D8B06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MDBIO, Taiwan</w:t>
            </w:r>
          </w:p>
        </w:tc>
      </w:tr>
      <w:tr w:rsidR="00007CEA" w:rsidRPr="00007CEA" w14:paraId="7AFC3DEE" w14:textId="77777777" w:rsidTr="00007CEA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0758D52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kern w:val="0"/>
                <w:sz w:val="18"/>
                <w:szCs w:val="18"/>
              </w:rPr>
              <w:t>SAAL1 siRNA-2(615-634)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BB4DCC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222222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color w:val="222222"/>
                <w:sz w:val="18"/>
                <w:szCs w:val="18"/>
              </w:rPr>
              <w:t>GGUUGUGGACAAGCUCUUUTT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4A437C5" w14:textId="77777777" w:rsidR="006F518C" w:rsidRPr="00007CEA" w:rsidRDefault="00CB22D8" w:rsidP="00007CE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007CEA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MDBIO, Taiwan</w:t>
            </w:r>
          </w:p>
        </w:tc>
      </w:tr>
    </w:tbl>
    <w:p w14:paraId="39E0CA99" w14:textId="77777777" w:rsidR="006F518C" w:rsidRDefault="006F518C" w:rsidP="00007CEA">
      <w:pPr>
        <w:adjustRightInd w:val="0"/>
        <w:snapToGrid w:val="0"/>
      </w:pPr>
    </w:p>
    <w:tbl>
      <w:tblPr>
        <w:tblStyle w:val="PlainTable4"/>
        <w:tblW w:w="8868" w:type="dxa"/>
        <w:jc w:val="center"/>
        <w:tblLook w:val="04A0" w:firstRow="1" w:lastRow="0" w:firstColumn="1" w:lastColumn="0" w:noHBand="0" w:noVBand="1"/>
      </w:tblPr>
      <w:tblGrid>
        <w:gridCol w:w="1719"/>
        <w:gridCol w:w="7149"/>
      </w:tblGrid>
      <w:tr w:rsidR="00007CEA" w:rsidRPr="00007CEA" w14:paraId="0DA776E5" w14:textId="77777777" w:rsidTr="00007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C8CAEF2" w14:textId="5A94C9FB" w:rsidR="00007CEA" w:rsidRPr="00007CEA" w:rsidRDefault="00007CEA" w:rsidP="00007CEA">
            <w:pPr>
              <w:widowControl/>
              <w:adjustRightInd w:val="0"/>
              <w:snapToGrid w:val="0"/>
              <w:spacing w:before="240" w:line="260" w:lineRule="atLeast"/>
              <w:ind w:left="-85"/>
              <w:rPr>
                <w:rFonts w:ascii="Palatino Linotype" w:hAnsi="Palatino Linotype"/>
                <w:b w:val="0"/>
                <w:sz w:val="18"/>
              </w:rPr>
            </w:pPr>
            <w:r w:rsidRPr="00007CEA">
              <w:rPr>
                <w:rFonts w:ascii="Palatino Linotype" w:hAnsi="Palatino Linotype"/>
                <w:noProof/>
                <w:sz w:val="18"/>
                <w:lang w:eastAsia="zh-CN"/>
              </w:rPr>
              <w:drawing>
                <wp:inline distT="0" distB="0" distL="0" distR="0" wp14:anchorId="19158E9C" wp14:editId="0FADB4F8">
                  <wp:extent cx="1000800" cy="360000"/>
                  <wp:effectExtent l="0" t="0" r="0" b="254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4C204943" w14:textId="160449AA" w:rsidR="00007CEA" w:rsidRPr="00007CEA" w:rsidRDefault="00007CEA" w:rsidP="00007CEA">
            <w:pPr>
              <w:widowControl/>
              <w:adjustRightInd w:val="0"/>
              <w:snapToGrid w:val="0"/>
              <w:spacing w:before="240" w:line="260" w:lineRule="atLeast"/>
              <w:ind w:left="-8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</w:rPr>
            </w:pPr>
            <w:r w:rsidRPr="00007CEA">
              <w:rPr>
                <w:rFonts w:ascii="Palatino Linotype" w:hAnsi="Palatino Linotype"/>
                <w:b w:val="0"/>
                <w:sz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64BCE7EB" w14:textId="77777777" w:rsidR="00007CEA" w:rsidRPr="00007CEA" w:rsidRDefault="00007CEA" w:rsidP="00007CEA">
      <w:pPr>
        <w:adjustRightInd w:val="0"/>
        <w:snapToGrid w:val="0"/>
      </w:pPr>
    </w:p>
    <w:sectPr w:rsidR="00007CEA" w:rsidRPr="00007CEA" w:rsidSect="00007CEA">
      <w:headerReference w:type="default" r:id="rId12"/>
      <w:headerReference w:type="first" r:id="rId13"/>
      <w:footerReference w:type="first" r:id="rId14"/>
      <w:type w:val="continuous"/>
      <w:pgSz w:w="11906" w:h="16838"/>
      <w:pgMar w:top="1417" w:right="1531" w:bottom="1077" w:left="1531" w:header="1020" w:footer="850" w:gutter="0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D8C559" w16cid:durableId="22AF53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9AE14" w14:textId="77777777" w:rsidR="00FB26BF" w:rsidRDefault="00FB26BF" w:rsidP="00C246EB">
      <w:r>
        <w:separator/>
      </w:r>
    </w:p>
  </w:endnote>
  <w:endnote w:type="continuationSeparator" w:id="0">
    <w:p w14:paraId="5680BA2E" w14:textId="77777777" w:rsidR="00FB26BF" w:rsidRDefault="00FB26BF" w:rsidP="00C2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altName w:val="微软雅黑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Malgun Gothic Semilight"/>
    <w:charset w:val="88"/>
    <w:family w:val="auto"/>
    <w:pitch w:val="default"/>
    <w:sig w:usb0="00000000" w:usb1="0000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E4ECE" w14:textId="77777777" w:rsidR="00007CEA" w:rsidRPr="00E47938" w:rsidRDefault="00007CEA" w:rsidP="00007CEA">
    <w:pPr>
      <w:pStyle w:val="MDPIfooterfirstpage"/>
      <w:spacing w:line="240" w:lineRule="auto"/>
      <w:jc w:val="both"/>
    </w:pPr>
    <w:r>
      <w:rPr>
        <w:i/>
      </w:rPr>
      <w:t xml:space="preserve">Cancers </w:t>
    </w:r>
    <w:r>
      <w:rPr>
        <w:b/>
      </w:rPr>
      <w:t>2020</w:t>
    </w:r>
    <w:r>
      <w:t xml:space="preserve">, </w:t>
    </w:r>
    <w:r>
      <w:rPr>
        <w:i/>
      </w:rPr>
      <w:t>12</w:t>
    </w:r>
    <w:r>
      <w:t>, x; doi:</w:t>
    </w:r>
    <w:r w:rsidRPr="00E47938">
      <w:tab/>
      <w:t>www.mdpi.com/journal/</w:t>
    </w:r>
    <w:r>
      <w:t>cancers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FA903" w14:textId="77777777" w:rsidR="00FB26BF" w:rsidRDefault="00FB26BF" w:rsidP="00C246EB">
      <w:r>
        <w:separator/>
      </w:r>
    </w:p>
  </w:footnote>
  <w:footnote w:type="continuationSeparator" w:id="0">
    <w:p w14:paraId="525CD686" w14:textId="77777777" w:rsidR="00FB26BF" w:rsidRDefault="00FB26BF" w:rsidP="00C24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2451C" w14:textId="77777777" w:rsidR="00007CEA" w:rsidRDefault="00007CEA" w:rsidP="00007CEA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>
      <w:rPr>
        <w:rFonts w:ascii="Palatino Linotype" w:hAnsi="Palatino Linotype"/>
        <w:b/>
        <w:sz w:val="16"/>
      </w:rPr>
      <w:t>2020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12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2353D8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FB26BF">
      <w:fldChar w:fldCharType="begin"/>
    </w:r>
    <w:r w:rsidR="00FB26BF">
      <w:instrText xml:space="preserve"> NUMPAGES   \* MERGEFORMAT </w:instrText>
    </w:r>
    <w:r w:rsidR="00FB26BF">
      <w:fldChar w:fldCharType="separate"/>
    </w:r>
    <w:r w:rsidR="002353D8" w:rsidRPr="002353D8">
      <w:rPr>
        <w:rFonts w:ascii="Palatino Linotype" w:hAnsi="Palatino Linotype"/>
        <w:noProof/>
        <w:sz w:val="16"/>
      </w:rPr>
      <w:t>3</w:t>
    </w:r>
    <w:r w:rsidR="00FB26BF">
      <w:rPr>
        <w:rFonts w:ascii="Palatino Linotype" w:hAnsi="Palatino Linotype"/>
        <w:noProof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C690E" w14:textId="77777777" w:rsidR="00007CEA" w:rsidRDefault="00007CEA" w:rsidP="00007CEA">
    <w:pPr>
      <w:pStyle w:val="MDPIheaderjournallogo"/>
    </w:pPr>
    <w:r>
      <w:rPr>
        <w:noProof/>
        <w:lang w:eastAsia="zh-CN"/>
      </w:rPr>
      <w:drawing>
        <wp:inline distT="0" distB="0" distL="0" distR="0" wp14:anchorId="62870438" wp14:editId="70B9B2C8">
          <wp:extent cx="1686560" cy="427355"/>
          <wp:effectExtent l="0" t="0" r="0" b="0"/>
          <wp:docPr id="6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6560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F0C85B7" wp14:editId="3E72760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A5D550C" w14:textId="77777777" w:rsidR="00007CEA" w:rsidRDefault="00007CEA" w:rsidP="00007CEA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3EDCBDC" wp14:editId="14B29AE1">
                                <wp:extent cx="540385" cy="356235"/>
                                <wp:effectExtent l="0" t="0" r="0" b="5715"/>
                                <wp:docPr id="7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4038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0C85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" stroked="f">
              <v:textbox inset="0,0,0,0">
                <w:txbxContent>
                  <w:p w14:paraId="3A5D550C" w14:textId="77777777" w:rsidR="00007CEA" w:rsidRDefault="00007CEA" w:rsidP="00007CEA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3EDCBDC" wp14:editId="14B29AE1">
                          <wp:extent cx="540385" cy="356235"/>
                          <wp:effectExtent l="0" t="0" r="0" b="5715"/>
                          <wp:docPr id="7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4038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67"/>
    <w:rsid w:val="00007CEA"/>
    <w:rsid w:val="00010856"/>
    <w:rsid w:val="0004112C"/>
    <w:rsid w:val="00057AF6"/>
    <w:rsid w:val="000B135A"/>
    <w:rsid w:val="000D5FF1"/>
    <w:rsid w:val="00106E67"/>
    <w:rsid w:val="001802DC"/>
    <w:rsid w:val="001F7510"/>
    <w:rsid w:val="00221533"/>
    <w:rsid w:val="002353D8"/>
    <w:rsid w:val="00244CBD"/>
    <w:rsid w:val="002A5F9D"/>
    <w:rsid w:val="002F3DF9"/>
    <w:rsid w:val="00365024"/>
    <w:rsid w:val="003655AB"/>
    <w:rsid w:val="003B2972"/>
    <w:rsid w:val="003C0377"/>
    <w:rsid w:val="003E0609"/>
    <w:rsid w:val="0046653F"/>
    <w:rsid w:val="004C3D45"/>
    <w:rsid w:val="004D3FED"/>
    <w:rsid w:val="005355CF"/>
    <w:rsid w:val="0056599B"/>
    <w:rsid w:val="00633531"/>
    <w:rsid w:val="006A1110"/>
    <w:rsid w:val="006F518C"/>
    <w:rsid w:val="00706077"/>
    <w:rsid w:val="0087198C"/>
    <w:rsid w:val="008D465F"/>
    <w:rsid w:val="008F6EC7"/>
    <w:rsid w:val="009056C4"/>
    <w:rsid w:val="009A5CCD"/>
    <w:rsid w:val="009F4E80"/>
    <w:rsid w:val="00A9599B"/>
    <w:rsid w:val="00AA397A"/>
    <w:rsid w:val="00AC513A"/>
    <w:rsid w:val="00AE2E57"/>
    <w:rsid w:val="00B912D9"/>
    <w:rsid w:val="00BA5B24"/>
    <w:rsid w:val="00BE0DEE"/>
    <w:rsid w:val="00C246EB"/>
    <w:rsid w:val="00C531CE"/>
    <w:rsid w:val="00C953A8"/>
    <w:rsid w:val="00CA7BE6"/>
    <w:rsid w:val="00CB22D8"/>
    <w:rsid w:val="00D835E1"/>
    <w:rsid w:val="00DB05F6"/>
    <w:rsid w:val="00DC43D0"/>
    <w:rsid w:val="00E1597C"/>
    <w:rsid w:val="00E825A3"/>
    <w:rsid w:val="00E87AFF"/>
    <w:rsid w:val="00F47828"/>
    <w:rsid w:val="00F61E1B"/>
    <w:rsid w:val="00F84269"/>
    <w:rsid w:val="00FB26BF"/>
    <w:rsid w:val="00FF7219"/>
    <w:rsid w:val="205F414B"/>
    <w:rsid w:val="34D7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57A0C"/>
  <w15:docId w15:val="{EA6DFD60-ED90-4005-B8D6-EFF13EDE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at-num">
    <w:name w:val="cat-num"/>
    <w:basedOn w:val="DefaultParagraphFont"/>
    <w:qFormat/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PMingLiU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PMingLiU" w:hAnsi="Times New Roman" w:cs="Times New Roman"/>
      <w:sz w:val="20"/>
      <w:szCs w:val="20"/>
    </w:rPr>
  </w:style>
  <w:style w:type="table" w:customStyle="1" w:styleId="1">
    <w:name w:val="普通表格1"/>
    <w:semiHidden/>
    <w:rPr>
      <w:rFonts w:cs="Times New Roman"/>
      <w:kern w:val="2"/>
      <w:sz w:val="24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1"/>
    <w:rsid w:val="003655AB"/>
    <w:pPr>
      <w:widowControl w:val="0"/>
    </w:pPr>
    <w:rPr>
      <w:rFonts w:ascii="Times New Roman" w:eastAsia="PMingLiU" w:hAnsi="Times New Roman" w:cs="Times New Roman"/>
      <w:kern w:val="2"/>
      <w:sz w:val="24"/>
      <w:szCs w:val="24"/>
    </w:rPr>
  </w:style>
  <w:style w:type="character" w:customStyle="1" w:styleId="15">
    <w:name w:val="15"/>
    <w:basedOn w:val="DefaultParagraphFont"/>
    <w:rsid w:val="00C531CE"/>
    <w:rPr>
      <w:rFonts w:ascii="Times New Roman" w:hAnsi="Times New Roman" w:cs="Times New Roman" w:hint="default"/>
      <w:i/>
      <w:iCs/>
    </w:rPr>
  </w:style>
  <w:style w:type="paragraph" w:customStyle="1" w:styleId="MDPIheaderjournallogo">
    <w:name w:val="MDPI_header_journal_logo"/>
    <w:qFormat/>
    <w:rsid w:val="00007CE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/>
    </w:rPr>
  </w:style>
  <w:style w:type="paragraph" w:customStyle="1" w:styleId="MDPIfooterfirstpage">
    <w:name w:val="MDPI_footer_firstpage"/>
    <w:qFormat/>
    <w:rsid w:val="00007CEA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lang w:eastAsia="de-DE"/>
    </w:rPr>
  </w:style>
  <w:style w:type="paragraph" w:customStyle="1" w:styleId="MDPI11articletype">
    <w:name w:val="MDPI_1.1_article_type"/>
    <w:next w:val="MDPI12title"/>
    <w:qFormat/>
    <w:rsid w:val="00007CEA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007CE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007CE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Cs w:val="22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07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CEA"/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CEA"/>
    <w:rPr>
      <w:rFonts w:eastAsia="PMingLiU" w:cs="Times New Roman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C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A"/>
    <w:rPr>
      <w:rFonts w:ascii="Segoe UI" w:eastAsia="PMingLiU" w:hAnsi="Segoe UI" w:cs="Segoe UI"/>
      <w:kern w:val="2"/>
      <w:sz w:val="18"/>
      <w:szCs w:val="18"/>
    </w:rPr>
  </w:style>
  <w:style w:type="paragraph" w:customStyle="1" w:styleId="MDPI14history">
    <w:name w:val="MDPI_1.4_history"/>
    <w:basedOn w:val="Normal"/>
    <w:next w:val="Normal"/>
    <w:qFormat/>
    <w:rsid w:val="00007CEA"/>
    <w:pPr>
      <w:widowControl/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007CEA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007CEA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07CE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007CE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19classification">
    <w:name w:val="MDPI_1.9_classification"/>
    <w:qFormat/>
    <w:rsid w:val="00007CEA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007CEA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eastAsia="de-DE" w:bidi="en-US"/>
    </w:rPr>
  </w:style>
  <w:style w:type="paragraph" w:customStyle="1" w:styleId="MDPI21heading1">
    <w:name w:val="MDPI_2.1_heading1"/>
    <w:qFormat/>
    <w:rsid w:val="00007CEA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007CEA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007CEA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1text">
    <w:name w:val="MDPI_3.1_text"/>
    <w:qFormat/>
    <w:rsid w:val="00007CE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2textnoindent">
    <w:name w:val="MDPI_3.2_text_no_indent"/>
    <w:qFormat/>
    <w:rsid w:val="00007CE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007CEA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007CEA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007CEA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007CEA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07CEA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07CEA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007CE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007CEA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07CE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007CE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007CEA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07CE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007CE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lang w:eastAsia="zh-CN" w:bidi="en-US"/>
    </w:rPr>
  </w:style>
  <w:style w:type="paragraph" w:customStyle="1" w:styleId="MDPI51figurecaption">
    <w:name w:val="MDPI_5.1_figure_caption"/>
    <w:qFormat/>
    <w:rsid w:val="00007CE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007CEA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007CEA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en-US" w:bidi="en-US"/>
    </w:rPr>
  </w:style>
  <w:style w:type="paragraph" w:customStyle="1" w:styleId="MDPI62Acknowledgments">
    <w:name w:val="MDPI_6.2_Acknowledgments"/>
    <w:qFormat/>
    <w:rsid w:val="00007CE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63AuthorContributions">
    <w:name w:val="MDPI_6.3_AuthorContributions"/>
    <w:qFormat/>
    <w:rsid w:val="00007CEA"/>
    <w:pPr>
      <w:spacing w:line="260" w:lineRule="atLeast"/>
      <w:jc w:val="both"/>
    </w:pPr>
    <w:rPr>
      <w:rFonts w:ascii="Palatino Linotype" w:hAnsi="Palatino Linotype" w:cs="Times New Roman"/>
      <w:snapToGrid w:val="0"/>
      <w:sz w:val="18"/>
      <w:lang w:eastAsia="en-US" w:bidi="en-US"/>
    </w:rPr>
  </w:style>
  <w:style w:type="paragraph" w:customStyle="1" w:styleId="MDPI64CoI">
    <w:name w:val="MDPI_6.4_CoI"/>
    <w:qFormat/>
    <w:rsid w:val="00007CEA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71References">
    <w:name w:val="MDPI_7.1_References"/>
    <w:qFormat/>
    <w:rsid w:val="00007CEA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72Copyright">
    <w:name w:val="MDPI_7.2_Copyright"/>
    <w:qFormat/>
    <w:rsid w:val="00007CEA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007CE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lang w:eastAsia="de-CH"/>
    </w:rPr>
  </w:style>
  <w:style w:type="paragraph" w:customStyle="1" w:styleId="MDPI81theorem">
    <w:name w:val="MDPI_8.1_theorem"/>
    <w:qFormat/>
    <w:rsid w:val="00007CEA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007CEA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equationFram">
    <w:name w:val="MDPI_equationFram"/>
    <w:qFormat/>
    <w:rsid w:val="00007CE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007CE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lang w:eastAsia="de-DE"/>
    </w:rPr>
  </w:style>
  <w:style w:type="paragraph" w:customStyle="1" w:styleId="MDPIheader">
    <w:name w:val="MDPI_header"/>
    <w:qFormat/>
    <w:rsid w:val="00007CE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007CEA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007CE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007CEA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007CE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lang w:eastAsia="de-DE" w:bidi="en-US"/>
    </w:rPr>
  </w:style>
  <w:style w:type="table" w:styleId="PlainTable4">
    <w:name w:val="Plain Table 4"/>
    <w:basedOn w:val="TableNormal"/>
    <w:uiPriority w:val="44"/>
    <w:rsid w:val="00007C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E57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E57"/>
    <w:rPr>
      <w:rFonts w:ascii="Times New Roman" w:eastAsia="PMingLiU" w:hAnsi="Times New Roman" w:cs="Times New Roman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2658</Characters>
  <Application>Microsoft Office Word</Application>
  <DocSecurity>0</DocSecurity>
  <Lines>147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MDPI</dc:creator>
  <cp:lastModifiedBy>mdpi</cp:lastModifiedBy>
  <cp:revision>3</cp:revision>
  <dcterms:created xsi:type="dcterms:W3CDTF">2020-07-07T12:21:00Z</dcterms:created>
  <dcterms:modified xsi:type="dcterms:W3CDTF">2020-07-08T10:58:00Z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