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134C" w:rsidRPr="008A18CE" w:rsidRDefault="00DA134C" w:rsidP="00DA134C">
      <w:pPr>
        <w:autoSpaceDE w:val="0"/>
        <w:autoSpaceDN w:val="0"/>
        <w:adjustRightInd w:val="0"/>
        <w:rPr>
          <w:rFonts w:ascii="Times New Roman" w:hAnsi="Times New Roman" w:cs="Times New Roman"/>
          <w:color w:val="000000" w:themeColor="text1"/>
          <w:sz w:val="28"/>
          <w:szCs w:val="28"/>
        </w:rPr>
      </w:pPr>
      <w:r w:rsidRPr="008A18CE">
        <w:rPr>
          <w:rFonts w:ascii="Times New Roman" w:hAnsi="Times New Roman" w:cs="Times New Roman"/>
          <w:b/>
          <w:color w:val="000000" w:themeColor="text1"/>
          <w:sz w:val="28"/>
          <w:szCs w:val="28"/>
        </w:rPr>
        <w:t>Comprehensive cohort analysis of mutational spectrum in early-onset breast cancer patients</w:t>
      </w:r>
    </w:p>
    <w:p w:rsidR="00DA134C" w:rsidRDefault="00DA134C" w:rsidP="00DA134C">
      <w:pPr>
        <w:autoSpaceDE w:val="0"/>
        <w:autoSpaceDN w:val="0"/>
        <w:adjustRightInd w:val="0"/>
        <w:rPr>
          <w:rFonts w:ascii="Times New Roman" w:hAnsi="Times New Roman" w:cs="Times New Roman"/>
          <w:color w:val="FF0000"/>
          <w:sz w:val="24"/>
          <w:szCs w:val="24"/>
        </w:rPr>
      </w:pPr>
    </w:p>
    <w:p w:rsidR="00DA134C" w:rsidRPr="008A18CE" w:rsidRDefault="00DA134C" w:rsidP="00DA134C">
      <w:pPr>
        <w:autoSpaceDE w:val="0"/>
        <w:autoSpaceDN w:val="0"/>
        <w:adjustRightInd w:val="0"/>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Mohit K. Midha</w:t>
      </w:r>
      <w:r w:rsidRPr="008A18CE">
        <w:rPr>
          <w:rFonts w:ascii="Times New Roman" w:hAnsi="Times New Roman" w:cs="Times New Roman"/>
          <w:color w:val="000000" w:themeColor="text1"/>
          <w:sz w:val="24"/>
          <w:szCs w:val="24"/>
          <w:vertAlign w:val="superscript"/>
        </w:rPr>
        <w:t>1, 2</w:t>
      </w:r>
      <w:r w:rsidRPr="008A18CE">
        <w:rPr>
          <w:rFonts w:ascii="Times New Roman" w:hAnsi="Times New Roman" w:cs="Times New Roman"/>
          <w:color w:val="000000" w:themeColor="text1"/>
          <w:sz w:val="24"/>
          <w:szCs w:val="24"/>
        </w:rPr>
        <w:t>, Yu-Feng Huang</w:t>
      </w:r>
      <w:r w:rsidRPr="008A18CE">
        <w:rPr>
          <w:rFonts w:ascii="Times New Roman" w:hAnsi="Times New Roman" w:cs="Times New Roman"/>
          <w:color w:val="000000" w:themeColor="text1"/>
          <w:sz w:val="24"/>
          <w:szCs w:val="24"/>
          <w:vertAlign w:val="superscript"/>
        </w:rPr>
        <w:t>1</w:t>
      </w:r>
      <w:r w:rsidRPr="008A18CE">
        <w:rPr>
          <w:rFonts w:ascii="Times New Roman" w:hAnsi="Times New Roman" w:cs="Times New Roman"/>
          <w:color w:val="000000" w:themeColor="text1"/>
          <w:sz w:val="24"/>
          <w:szCs w:val="24"/>
        </w:rPr>
        <w:t>, Hsiao-Hsiang Yang</w:t>
      </w:r>
      <w:r w:rsidRPr="008A18CE">
        <w:rPr>
          <w:rFonts w:ascii="Times New Roman" w:hAnsi="Times New Roman" w:cs="Times New Roman"/>
          <w:color w:val="000000" w:themeColor="text1"/>
          <w:sz w:val="24"/>
          <w:szCs w:val="24"/>
          <w:vertAlign w:val="superscript"/>
        </w:rPr>
        <w:t>1</w:t>
      </w:r>
      <w:r w:rsidRPr="008A18CE">
        <w:rPr>
          <w:rFonts w:ascii="Times New Roman" w:hAnsi="Times New Roman" w:cs="Times New Roman"/>
          <w:color w:val="000000" w:themeColor="text1"/>
          <w:sz w:val="24"/>
          <w:szCs w:val="24"/>
        </w:rPr>
        <w:t>, Tan-Chi Fan</w:t>
      </w:r>
      <w:r w:rsidRPr="008A18CE">
        <w:rPr>
          <w:rFonts w:ascii="Times New Roman" w:hAnsi="Times New Roman" w:cs="Times New Roman"/>
          <w:color w:val="000000" w:themeColor="text1"/>
          <w:sz w:val="24"/>
          <w:szCs w:val="24"/>
          <w:vertAlign w:val="superscript"/>
        </w:rPr>
        <w:t>3</w:t>
      </w:r>
      <w:r w:rsidRPr="008A18CE">
        <w:rPr>
          <w:rFonts w:ascii="Times New Roman" w:hAnsi="Times New Roman" w:cs="Times New Roman"/>
          <w:color w:val="000000" w:themeColor="text1"/>
          <w:sz w:val="24"/>
          <w:szCs w:val="24"/>
        </w:rPr>
        <w:t>, Nai-</w:t>
      </w:r>
      <w:proofErr w:type="spellStart"/>
      <w:r w:rsidRPr="008A18CE">
        <w:rPr>
          <w:rFonts w:ascii="Times New Roman" w:hAnsi="Times New Roman" w:cs="Times New Roman"/>
          <w:color w:val="000000" w:themeColor="text1"/>
          <w:sz w:val="24"/>
          <w:szCs w:val="24"/>
        </w:rPr>
        <w:t>Chuan</w:t>
      </w:r>
      <w:proofErr w:type="spellEnd"/>
      <w:r w:rsidRPr="008A18CE">
        <w:rPr>
          <w:rFonts w:ascii="Times New Roman" w:hAnsi="Times New Roman" w:cs="Times New Roman"/>
          <w:color w:val="000000" w:themeColor="text1"/>
          <w:sz w:val="24"/>
          <w:szCs w:val="24"/>
        </w:rPr>
        <w:t xml:space="preserve"> Chang</w:t>
      </w:r>
      <w:r w:rsidRPr="008A18CE">
        <w:rPr>
          <w:rFonts w:ascii="Times New Roman" w:hAnsi="Times New Roman" w:cs="Times New Roman"/>
          <w:color w:val="000000" w:themeColor="text1"/>
          <w:sz w:val="24"/>
          <w:szCs w:val="24"/>
          <w:vertAlign w:val="superscript"/>
        </w:rPr>
        <w:t>3</w:t>
      </w:r>
      <w:r w:rsidRPr="008A18CE">
        <w:rPr>
          <w:rFonts w:ascii="Times New Roman" w:hAnsi="Times New Roman" w:cs="Times New Roman"/>
          <w:color w:val="000000" w:themeColor="text1"/>
          <w:sz w:val="24"/>
          <w:szCs w:val="24"/>
        </w:rPr>
        <w:t>, Tzu-Han Chen</w:t>
      </w:r>
      <w:r w:rsidRPr="008A18CE">
        <w:rPr>
          <w:rFonts w:ascii="Times New Roman" w:hAnsi="Times New Roman" w:cs="Times New Roman"/>
          <w:color w:val="000000" w:themeColor="text1"/>
          <w:sz w:val="24"/>
          <w:szCs w:val="24"/>
          <w:vertAlign w:val="superscript"/>
        </w:rPr>
        <w:t>1</w:t>
      </w:r>
      <w:r w:rsidRPr="008A18CE">
        <w:rPr>
          <w:rFonts w:ascii="Times New Roman" w:hAnsi="Times New Roman" w:cs="Times New Roman"/>
          <w:color w:val="000000" w:themeColor="text1"/>
          <w:sz w:val="24"/>
          <w:szCs w:val="24"/>
        </w:rPr>
        <w:t>, Yu-Tai Wang</w:t>
      </w:r>
      <w:r w:rsidRPr="008A18CE">
        <w:rPr>
          <w:rFonts w:ascii="Times New Roman" w:hAnsi="Times New Roman" w:cs="Times New Roman"/>
          <w:color w:val="000000" w:themeColor="text1"/>
          <w:sz w:val="24"/>
          <w:szCs w:val="24"/>
          <w:vertAlign w:val="superscript"/>
        </w:rPr>
        <w:t>4</w:t>
      </w:r>
      <w:r w:rsidRPr="008A18CE">
        <w:rPr>
          <w:rFonts w:ascii="Times New Roman" w:hAnsi="Times New Roman" w:cs="Times New Roman"/>
          <w:color w:val="000000" w:themeColor="text1"/>
          <w:sz w:val="24"/>
          <w:szCs w:val="24"/>
        </w:rPr>
        <w:t>, Wen-Hung Kuo</w:t>
      </w:r>
      <w:r w:rsidRPr="008A18CE">
        <w:rPr>
          <w:rFonts w:ascii="Times New Roman" w:hAnsi="Times New Roman" w:cs="Times New Roman"/>
          <w:color w:val="000000" w:themeColor="text1"/>
          <w:sz w:val="24"/>
          <w:szCs w:val="24"/>
          <w:vertAlign w:val="superscript"/>
        </w:rPr>
        <w:t>5</w:t>
      </w:r>
      <w:r w:rsidRPr="008A18CE">
        <w:rPr>
          <w:rFonts w:ascii="Times New Roman" w:hAnsi="Times New Roman" w:cs="Times New Roman"/>
          <w:color w:val="000000" w:themeColor="text1"/>
          <w:sz w:val="24"/>
          <w:szCs w:val="24"/>
        </w:rPr>
        <w:t xml:space="preserve">, </w:t>
      </w:r>
      <w:r w:rsidRPr="008A18CE">
        <w:rPr>
          <w:rStyle w:val="st1"/>
          <w:rFonts w:ascii="Times New Roman" w:hAnsi="Times New Roman" w:cs="Times New Roman"/>
          <w:color w:val="000000" w:themeColor="text1"/>
          <w:sz w:val="24"/>
          <w:szCs w:val="24"/>
        </w:rPr>
        <w:t>King-Jen Chang</w:t>
      </w:r>
      <w:r w:rsidRPr="008A18CE">
        <w:rPr>
          <w:rFonts w:ascii="Times New Roman" w:hAnsi="Times New Roman" w:cs="Times New Roman"/>
          <w:color w:val="000000" w:themeColor="text1"/>
          <w:sz w:val="24"/>
          <w:szCs w:val="24"/>
          <w:vertAlign w:val="superscript"/>
        </w:rPr>
        <w:t>5</w:t>
      </w:r>
      <w:r w:rsidRPr="008A18CE">
        <w:rPr>
          <w:rStyle w:val="st1"/>
          <w:rFonts w:ascii="Times New Roman" w:hAnsi="Times New Roman" w:cs="Times New Roman"/>
          <w:color w:val="000000" w:themeColor="text1"/>
          <w:sz w:val="24"/>
          <w:szCs w:val="24"/>
        </w:rPr>
        <w:t>,</w:t>
      </w:r>
      <w:r w:rsidRPr="008A18CE">
        <w:rPr>
          <w:rFonts w:ascii="Times New Roman" w:hAnsi="Times New Roman" w:cs="Times New Roman"/>
          <w:color w:val="000000" w:themeColor="text1"/>
          <w:sz w:val="24"/>
          <w:szCs w:val="24"/>
        </w:rPr>
        <w:t xml:space="preserve"> Chen-Yang Shen</w:t>
      </w:r>
      <w:r w:rsidRPr="008A18CE">
        <w:rPr>
          <w:rFonts w:ascii="Times New Roman" w:hAnsi="Times New Roman" w:cs="Times New Roman"/>
          <w:color w:val="000000" w:themeColor="text1"/>
          <w:sz w:val="24"/>
          <w:szCs w:val="24"/>
          <w:vertAlign w:val="superscript"/>
        </w:rPr>
        <w:t>6</w:t>
      </w:r>
      <w:r w:rsidRPr="008A18CE">
        <w:rPr>
          <w:rFonts w:ascii="Times New Roman" w:hAnsi="Times New Roman" w:cs="Times New Roman"/>
          <w:color w:val="000000" w:themeColor="text1"/>
          <w:sz w:val="24"/>
          <w:szCs w:val="24"/>
        </w:rPr>
        <w:t>, Alice L. Yu</w:t>
      </w:r>
      <w:r w:rsidRPr="008A18CE">
        <w:rPr>
          <w:rFonts w:ascii="Times New Roman" w:hAnsi="Times New Roman" w:cs="Times New Roman"/>
          <w:color w:val="000000" w:themeColor="text1"/>
          <w:sz w:val="24"/>
          <w:szCs w:val="24"/>
          <w:vertAlign w:val="superscript"/>
        </w:rPr>
        <w:t>3, 7</w:t>
      </w:r>
      <w:r>
        <w:rPr>
          <w:rFonts w:ascii="Times New Roman" w:hAnsi="Times New Roman" w:cs="Times New Roman"/>
          <w:color w:val="000000" w:themeColor="text1"/>
          <w:sz w:val="24"/>
          <w:szCs w:val="24"/>
        </w:rPr>
        <w:t xml:space="preserve">, </w:t>
      </w:r>
      <w:r w:rsidRPr="008A18CE">
        <w:rPr>
          <w:rFonts w:ascii="Times New Roman" w:hAnsi="Times New Roman" w:cs="Times New Roman"/>
          <w:color w:val="000000" w:themeColor="text1"/>
          <w:sz w:val="24"/>
          <w:szCs w:val="24"/>
        </w:rPr>
        <w:t>Kuo-Ping Chiu</w:t>
      </w:r>
      <w:r w:rsidRPr="008A18CE">
        <w:rPr>
          <w:rFonts w:ascii="Times New Roman" w:hAnsi="Times New Roman" w:cs="Times New Roman"/>
          <w:color w:val="000000" w:themeColor="text1"/>
          <w:sz w:val="24"/>
          <w:szCs w:val="24"/>
          <w:vertAlign w:val="superscript"/>
        </w:rPr>
        <w:t>1, 2, 8</w:t>
      </w:r>
      <w:r w:rsidRPr="008A18CE">
        <w:rPr>
          <w:rFonts w:ascii="Times New Roman" w:hAnsi="Times New Roman" w:cs="Times New Roman"/>
          <w:color w:val="000000" w:themeColor="text1"/>
          <w:sz w:val="24"/>
          <w:szCs w:val="24"/>
        </w:rPr>
        <w:t>*</w:t>
      </w:r>
      <w:r w:rsidRPr="008A2E05">
        <w:rPr>
          <w:rFonts w:ascii="Times New Roman" w:hAnsi="Times New Roman" w:cs="Times New Roman"/>
          <w:color w:val="000000" w:themeColor="text1"/>
          <w:sz w:val="24"/>
          <w:szCs w:val="24"/>
        </w:rPr>
        <w:t xml:space="preserve"> </w:t>
      </w:r>
      <w:r w:rsidRPr="008A18CE">
        <w:rPr>
          <w:rFonts w:ascii="Times New Roman" w:hAnsi="Times New Roman" w:cs="Times New Roman"/>
          <w:color w:val="000000" w:themeColor="text1"/>
          <w:sz w:val="24"/>
          <w:szCs w:val="24"/>
        </w:rPr>
        <w:t>and</w:t>
      </w:r>
      <w:r w:rsidRPr="008A2E05">
        <w:rPr>
          <w:rFonts w:ascii="Times New Roman" w:hAnsi="Times New Roman" w:cs="Times New Roman"/>
          <w:color w:val="000000" w:themeColor="text1"/>
          <w:sz w:val="24"/>
          <w:szCs w:val="24"/>
        </w:rPr>
        <w:t xml:space="preserve"> </w:t>
      </w:r>
      <w:r w:rsidRPr="008A18CE">
        <w:rPr>
          <w:rFonts w:ascii="Times New Roman" w:hAnsi="Times New Roman" w:cs="Times New Roman"/>
          <w:color w:val="000000" w:themeColor="text1"/>
          <w:sz w:val="24"/>
          <w:szCs w:val="24"/>
        </w:rPr>
        <w:t>Chien-Jen Chen</w:t>
      </w:r>
      <w:r w:rsidRPr="008A18CE">
        <w:rPr>
          <w:rFonts w:ascii="Times New Roman" w:hAnsi="Times New Roman" w:cs="Times New Roman"/>
          <w:color w:val="000000" w:themeColor="text1"/>
          <w:sz w:val="24"/>
          <w:szCs w:val="24"/>
          <w:vertAlign w:val="superscript"/>
        </w:rPr>
        <w:t>1</w:t>
      </w:r>
    </w:p>
    <w:p w:rsidR="00DA134C" w:rsidRPr="008A18CE" w:rsidRDefault="00DA134C" w:rsidP="00DA134C">
      <w:pPr>
        <w:autoSpaceDE w:val="0"/>
        <w:autoSpaceDN w:val="0"/>
        <w:adjustRightInd w:val="0"/>
        <w:rPr>
          <w:rFonts w:ascii="Times New Roman" w:hAnsi="Times New Roman" w:cs="Times New Roman"/>
          <w:color w:val="000000" w:themeColor="text1"/>
          <w:sz w:val="24"/>
          <w:szCs w:val="24"/>
        </w:rPr>
      </w:pPr>
    </w:p>
    <w:p w:rsidR="00DA134C" w:rsidRPr="008A18CE" w:rsidRDefault="00DA134C" w:rsidP="00DA134C">
      <w:pPr>
        <w:autoSpaceDE w:val="0"/>
        <w:autoSpaceDN w:val="0"/>
        <w:adjustRightInd w:val="0"/>
        <w:spacing w:line="240" w:lineRule="exact"/>
        <w:contextualSpacing/>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1</w:t>
      </w:r>
      <w:r w:rsidRPr="008A18CE">
        <w:rPr>
          <w:rFonts w:ascii="Times New Roman" w:hAnsi="Times New Roman" w:cs="Times New Roman"/>
          <w:color w:val="000000" w:themeColor="text1"/>
          <w:sz w:val="24"/>
          <w:szCs w:val="24"/>
        </w:rPr>
        <w:t xml:space="preserve">Genomics Research Center, Academia Sinica, Taipei, Taiwan </w:t>
      </w:r>
    </w:p>
    <w:p w:rsidR="00DA134C" w:rsidRPr="008A18CE" w:rsidRDefault="00DA134C" w:rsidP="00DA134C">
      <w:pPr>
        <w:autoSpaceDE w:val="0"/>
        <w:autoSpaceDN w:val="0"/>
        <w:adjustRightInd w:val="0"/>
        <w:spacing w:line="240" w:lineRule="exact"/>
        <w:contextualSpacing/>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2</w:t>
      </w:r>
      <w:r w:rsidRPr="008A18CE">
        <w:rPr>
          <w:rFonts w:ascii="Times New Roman" w:hAnsi="Times New Roman" w:cs="Times New Roman"/>
          <w:color w:val="000000" w:themeColor="text1"/>
          <w:sz w:val="24"/>
          <w:szCs w:val="24"/>
        </w:rPr>
        <w:t>Institute of Biochemistry and Molecular Biology, National Yang-Ming University, Taipei, Taiwan</w:t>
      </w:r>
    </w:p>
    <w:p w:rsidR="00DA134C" w:rsidRPr="008A18CE" w:rsidRDefault="00DA134C" w:rsidP="00DA134C">
      <w:pPr>
        <w:autoSpaceDE w:val="0"/>
        <w:autoSpaceDN w:val="0"/>
        <w:adjustRightInd w:val="0"/>
        <w:spacing w:line="240" w:lineRule="exact"/>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3</w:t>
      </w:r>
      <w:r w:rsidRPr="008A18CE">
        <w:rPr>
          <w:rFonts w:ascii="Times New Roman" w:hAnsi="Times New Roman" w:cs="Times New Roman"/>
          <w:color w:val="000000" w:themeColor="text1"/>
          <w:sz w:val="24"/>
          <w:szCs w:val="24"/>
        </w:rPr>
        <w:t xml:space="preserve">Institute of Stem Cell and Translational Cancer Research, Chang Gung Memorial Hospital at </w:t>
      </w:r>
      <w:proofErr w:type="spellStart"/>
      <w:r w:rsidRPr="008A18CE">
        <w:rPr>
          <w:rFonts w:ascii="Times New Roman" w:hAnsi="Times New Roman" w:cs="Times New Roman"/>
          <w:color w:val="000000" w:themeColor="text1"/>
          <w:sz w:val="24"/>
          <w:szCs w:val="24"/>
        </w:rPr>
        <w:t>Linkou</w:t>
      </w:r>
      <w:proofErr w:type="spellEnd"/>
      <w:r w:rsidRPr="008A18CE">
        <w:rPr>
          <w:rFonts w:ascii="Times New Roman" w:hAnsi="Times New Roman" w:cs="Times New Roman"/>
          <w:color w:val="000000" w:themeColor="text1"/>
          <w:sz w:val="24"/>
          <w:szCs w:val="24"/>
        </w:rPr>
        <w:t xml:space="preserve"> and Chang Gung University, No. 5, Fu-Shin St., </w:t>
      </w:r>
      <w:proofErr w:type="spellStart"/>
      <w:r w:rsidRPr="008A18CE">
        <w:rPr>
          <w:rFonts w:ascii="Times New Roman" w:hAnsi="Times New Roman" w:cs="Times New Roman"/>
          <w:color w:val="000000" w:themeColor="text1"/>
          <w:sz w:val="24"/>
          <w:szCs w:val="24"/>
        </w:rPr>
        <w:t>Kuei</w:t>
      </w:r>
      <w:proofErr w:type="spellEnd"/>
      <w:r w:rsidRPr="008A18CE">
        <w:rPr>
          <w:rFonts w:ascii="Times New Roman" w:hAnsi="Times New Roman" w:cs="Times New Roman"/>
          <w:color w:val="000000" w:themeColor="text1"/>
          <w:sz w:val="24"/>
          <w:szCs w:val="24"/>
        </w:rPr>
        <w:t xml:space="preserve"> Shang, Taoyuan 333, Taiwan </w:t>
      </w:r>
    </w:p>
    <w:p w:rsidR="00DA134C" w:rsidRPr="008A18CE" w:rsidRDefault="00DA134C" w:rsidP="00DA134C">
      <w:pPr>
        <w:autoSpaceDE w:val="0"/>
        <w:autoSpaceDN w:val="0"/>
        <w:adjustRightInd w:val="0"/>
        <w:spacing w:line="240" w:lineRule="exact"/>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4</w:t>
      </w:r>
      <w:r w:rsidRPr="008A18CE">
        <w:rPr>
          <w:rFonts w:ascii="Times New Roman" w:hAnsi="Times New Roman" w:cs="Times New Roman"/>
          <w:color w:val="000000" w:themeColor="text1"/>
          <w:sz w:val="24"/>
          <w:szCs w:val="24"/>
        </w:rPr>
        <w:t>National Center for High-Performance Computing, Hsinchu Science Park, Taiwan</w:t>
      </w:r>
    </w:p>
    <w:p w:rsidR="00DA134C" w:rsidRPr="008A18CE" w:rsidRDefault="00DA134C" w:rsidP="00DA134C">
      <w:pPr>
        <w:autoSpaceDE w:val="0"/>
        <w:autoSpaceDN w:val="0"/>
        <w:adjustRightInd w:val="0"/>
        <w:spacing w:line="240" w:lineRule="exact"/>
        <w:contextualSpacing/>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5</w:t>
      </w:r>
      <w:r w:rsidRPr="008A18CE">
        <w:rPr>
          <w:rFonts w:ascii="Times New Roman" w:hAnsi="Times New Roman" w:cs="Times New Roman"/>
          <w:color w:val="000000" w:themeColor="text1"/>
          <w:sz w:val="24"/>
          <w:szCs w:val="24"/>
        </w:rPr>
        <w:t>Department of Surgery, National Taiwan University Hospital, Taipei, Taiwan</w:t>
      </w:r>
    </w:p>
    <w:p w:rsidR="00DA134C" w:rsidRPr="008A18CE" w:rsidRDefault="00DA134C" w:rsidP="00DA134C">
      <w:pPr>
        <w:autoSpaceDE w:val="0"/>
        <w:autoSpaceDN w:val="0"/>
        <w:adjustRightInd w:val="0"/>
        <w:spacing w:line="240" w:lineRule="exact"/>
        <w:contextualSpacing/>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6</w:t>
      </w:r>
      <w:r w:rsidRPr="008A18CE">
        <w:rPr>
          <w:rFonts w:ascii="Times New Roman" w:hAnsi="Times New Roman" w:cs="Times New Roman"/>
          <w:color w:val="000000" w:themeColor="text1"/>
          <w:sz w:val="24"/>
          <w:szCs w:val="24"/>
        </w:rPr>
        <w:t xml:space="preserve">Institute of Biomedical Sciences, Academia Sinica, Taipei, Taiwan </w:t>
      </w:r>
    </w:p>
    <w:p w:rsidR="00DA134C" w:rsidRPr="008A18CE" w:rsidRDefault="00DA134C" w:rsidP="00DA134C">
      <w:pPr>
        <w:autoSpaceDE w:val="0"/>
        <w:autoSpaceDN w:val="0"/>
        <w:adjustRightInd w:val="0"/>
        <w:spacing w:line="240" w:lineRule="exact"/>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7</w:t>
      </w:r>
      <w:r w:rsidRPr="008A18CE">
        <w:rPr>
          <w:rFonts w:ascii="Times New Roman" w:hAnsi="Times New Roman" w:cs="Times New Roman"/>
          <w:color w:val="000000" w:themeColor="text1"/>
          <w:sz w:val="24"/>
          <w:szCs w:val="24"/>
        </w:rPr>
        <w:t>Department of Pediatrics, University of California in San Diego, CA, USA</w:t>
      </w:r>
    </w:p>
    <w:p w:rsidR="00DA134C" w:rsidRPr="008A18CE" w:rsidRDefault="00DA134C" w:rsidP="00DA134C">
      <w:pPr>
        <w:autoSpaceDE w:val="0"/>
        <w:autoSpaceDN w:val="0"/>
        <w:adjustRightInd w:val="0"/>
        <w:spacing w:line="240" w:lineRule="exact"/>
        <w:contextualSpacing/>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vertAlign w:val="superscript"/>
        </w:rPr>
        <w:t>8</w:t>
      </w:r>
      <w:r w:rsidRPr="008A18CE">
        <w:rPr>
          <w:rFonts w:ascii="Times New Roman" w:hAnsi="Times New Roman" w:cs="Times New Roman"/>
          <w:color w:val="000000" w:themeColor="text1"/>
          <w:sz w:val="24"/>
          <w:szCs w:val="24"/>
        </w:rPr>
        <w:t>Department of Life Sciences, College of Life Sciences, National Taiwan University, Taipei, Taiwan</w:t>
      </w:r>
    </w:p>
    <w:p w:rsidR="00DA134C" w:rsidRPr="008A18CE" w:rsidRDefault="00DA134C" w:rsidP="00DA134C">
      <w:pPr>
        <w:spacing w:line="240" w:lineRule="exact"/>
        <w:rPr>
          <w:rFonts w:ascii="Times New Roman" w:hAnsi="Times New Roman" w:cs="Times New Roman"/>
          <w:color w:val="000000" w:themeColor="text1"/>
          <w:sz w:val="24"/>
          <w:szCs w:val="24"/>
        </w:rPr>
      </w:pPr>
    </w:p>
    <w:p w:rsidR="00DA134C" w:rsidRDefault="00DA134C" w:rsidP="00DA134C">
      <w:pPr>
        <w:spacing w:line="240" w:lineRule="exact"/>
        <w:contextualSpacing/>
        <w:mirrorIndents/>
        <w:rPr>
          <w:rFonts w:ascii="Times New Roman" w:hAnsi="Times New Roman" w:cs="Times New Roman"/>
          <w:color w:val="000000" w:themeColor="text1"/>
          <w:sz w:val="24"/>
          <w:szCs w:val="24"/>
        </w:rPr>
      </w:pPr>
    </w:p>
    <w:p w:rsidR="00DA134C" w:rsidRPr="008A18CE" w:rsidRDefault="00DA134C" w:rsidP="00DA134C">
      <w:pPr>
        <w:rPr>
          <w:rFonts w:ascii="Times New Roman" w:hAnsi="Times New Roman" w:cs="Times New Roman"/>
          <w:color w:val="000000" w:themeColor="text1"/>
          <w:sz w:val="24"/>
          <w:szCs w:val="24"/>
        </w:rPr>
      </w:pPr>
      <w:bookmarkStart w:id="0" w:name="_GoBack"/>
      <w:bookmarkEnd w:id="0"/>
    </w:p>
    <w:p w:rsidR="00DA134C" w:rsidRPr="008A18CE" w:rsidRDefault="00DA134C" w:rsidP="00DA134C">
      <w:pPr>
        <w:rPr>
          <w:rFonts w:ascii="Times New Roman" w:eastAsia="Calibri" w:hAnsi="Times New Roman" w:cs="Times New Roman"/>
          <w:color w:val="000000" w:themeColor="text1"/>
          <w:sz w:val="24"/>
          <w:szCs w:val="24"/>
          <w:u w:val="single"/>
        </w:rPr>
      </w:pPr>
    </w:p>
    <w:p w:rsidR="00DA134C" w:rsidRPr="008A18CE" w:rsidRDefault="00DA134C" w:rsidP="00DA134C">
      <w:pPr>
        <w:rPr>
          <w:rFonts w:ascii="Times New Roman" w:hAnsi="Times New Roman" w:cs="Times New Roman"/>
          <w:color w:val="000000" w:themeColor="text1"/>
          <w:sz w:val="24"/>
          <w:szCs w:val="24"/>
        </w:rPr>
      </w:pPr>
    </w:p>
    <w:p w:rsidR="00DA134C" w:rsidRPr="008A18CE" w:rsidRDefault="00DA134C" w:rsidP="00DA134C">
      <w:pPr>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*Corresponding Author:</w:t>
      </w:r>
    </w:p>
    <w:p w:rsidR="00DA134C" w:rsidRPr="008A18CE" w:rsidRDefault="00DA134C" w:rsidP="00DA134C">
      <w:pPr>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Kuo-Ping Chiu, Ph.D.</w:t>
      </w:r>
    </w:p>
    <w:p w:rsidR="00DA134C" w:rsidRPr="008A18CE" w:rsidRDefault="00DA134C" w:rsidP="00DA134C">
      <w:pPr>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Genomics Research Center, Academia Sinica</w:t>
      </w:r>
    </w:p>
    <w:p w:rsidR="00DA134C" w:rsidRPr="008A18CE" w:rsidRDefault="00DA134C" w:rsidP="00DA134C">
      <w:pPr>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128 Academia Road, Sec. 2, Nankang District, Taipei 115, Taiwan</w:t>
      </w:r>
    </w:p>
    <w:p w:rsidR="00DA134C" w:rsidRPr="008A18CE" w:rsidRDefault="00DA134C" w:rsidP="00DA134C">
      <w:pPr>
        <w:rPr>
          <w:rFonts w:ascii="Times New Roman" w:hAnsi="Times New Roman" w:cs="Times New Roman"/>
          <w:color w:val="000000" w:themeColor="text1"/>
          <w:sz w:val="24"/>
          <w:szCs w:val="24"/>
        </w:rPr>
      </w:pPr>
      <w:r w:rsidRPr="008A18CE">
        <w:rPr>
          <w:rFonts w:ascii="Times New Roman" w:hAnsi="Times New Roman" w:cs="Times New Roman"/>
          <w:color w:val="000000" w:themeColor="text1"/>
          <w:sz w:val="24"/>
          <w:szCs w:val="24"/>
        </w:rPr>
        <w:t>Tel: (886) 2-2787-1257 | Fax: (886) 2-2789-9924</w:t>
      </w:r>
    </w:p>
    <w:p w:rsidR="00DA134C" w:rsidRPr="008A18CE" w:rsidRDefault="00DA134C" w:rsidP="00DA134C">
      <w:pPr>
        <w:rPr>
          <w:rFonts w:ascii="Times New Roman" w:hAnsi="Times New Roman" w:cs="Times New Roman"/>
          <w:color w:val="000000" w:themeColor="text1"/>
          <w:sz w:val="24"/>
          <w:szCs w:val="24"/>
          <w:u w:val="single"/>
        </w:rPr>
      </w:pPr>
      <w:r w:rsidRPr="008A18CE">
        <w:rPr>
          <w:rFonts w:ascii="Times New Roman" w:hAnsi="Times New Roman" w:cs="Times New Roman"/>
          <w:color w:val="000000" w:themeColor="text1"/>
          <w:sz w:val="24"/>
          <w:szCs w:val="24"/>
        </w:rPr>
        <w:t xml:space="preserve">Email: </w:t>
      </w:r>
      <w:hyperlink r:id="rId4" w:history="1">
        <w:r w:rsidRPr="008A18CE">
          <w:rPr>
            <w:rStyle w:val="Hyperlink"/>
            <w:rFonts w:ascii="Times New Roman" w:eastAsia="Calibri" w:hAnsi="Times New Roman" w:cs="Times New Roman"/>
            <w:color w:val="000000" w:themeColor="text1"/>
            <w:sz w:val="24"/>
            <w:szCs w:val="24"/>
          </w:rPr>
          <w:t>chiukp@gate.sinica.edu.tw</w:t>
        </w:r>
      </w:hyperlink>
    </w:p>
    <w:p w:rsidR="00246737" w:rsidRDefault="00246737">
      <w:pPr>
        <w:rPr>
          <w:rFonts w:ascii="Times New Roman" w:hAnsi="Times New Roman" w:cs="Times New Roman"/>
        </w:rPr>
      </w:pPr>
      <w:r>
        <w:rPr>
          <w:rFonts w:ascii="Times New Roman" w:hAnsi="Times New Roman" w:cs="Times New Roman"/>
          <w:noProof/>
        </w:rPr>
        <w:lastRenderedPageBreak/>
        <w:drawing>
          <wp:inline distT="0" distB="0" distL="0" distR="0">
            <wp:extent cx="5376672" cy="51206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ry Figure 1.TIF"/>
                    <pic:cNvPicPr/>
                  </pic:nvPicPr>
                  <pic:blipFill>
                    <a:blip r:embed="rId5">
                      <a:extLst>
                        <a:ext uri="{28A0092B-C50C-407E-A947-70E740481C1C}">
                          <a14:useLocalDpi xmlns:a14="http://schemas.microsoft.com/office/drawing/2010/main" val="0"/>
                        </a:ext>
                      </a:extLst>
                    </a:blip>
                    <a:stretch>
                      <a:fillRect/>
                    </a:stretch>
                  </pic:blipFill>
                  <pic:spPr>
                    <a:xfrm>
                      <a:off x="0" y="0"/>
                      <a:ext cx="5376672" cy="5120640"/>
                    </a:xfrm>
                    <a:prstGeom prst="rect">
                      <a:avLst/>
                    </a:prstGeom>
                  </pic:spPr>
                </pic:pic>
              </a:graphicData>
            </a:graphic>
          </wp:inline>
        </w:drawing>
      </w:r>
    </w:p>
    <w:p w:rsidR="00246737" w:rsidRPr="008A18CE" w:rsidRDefault="00246737" w:rsidP="00246737">
      <w:pPr>
        <w:spacing w:line="360" w:lineRule="auto"/>
        <w:contextualSpacing/>
        <w:rPr>
          <w:rFonts w:ascii="Times New Roman" w:eastAsia="MinionPro-Regular"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w:t>
      </w:r>
      <w:r w:rsidRPr="008A18CE">
        <w:rPr>
          <w:rFonts w:ascii="Times New Roman" w:eastAsia="Times New Roman" w:hAnsi="Times New Roman" w:cs="Times New Roman"/>
          <w:b/>
          <w:color w:val="000000" w:themeColor="text1"/>
          <w:sz w:val="24"/>
          <w:szCs w:val="24"/>
        </w:rPr>
        <w:t xml:space="preserve"> Figure 1</w:t>
      </w:r>
      <w:r w:rsidRPr="008A18CE">
        <w:rPr>
          <w:rFonts w:ascii="Times New Roman" w:hAnsi="Times New Roman" w:cs="Times New Roman"/>
          <w:b/>
          <w:color w:val="000000" w:themeColor="text1"/>
          <w:sz w:val="24"/>
          <w:szCs w:val="24"/>
        </w:rPr>
        <w:t>. Validation of somatic mutations by Sanger sequencing.</w:t>
      </w:r>
      <w:r w:rsidRPr="008A18CE">
        <w:rPr>
          <w:rFonts w:ascii="Times New Roman" w:hAnsi="Times New Roman" w:cs="Times New Roman"/>
          <w:color w:val="000000" w:themeColor="text1"/>
          <w:sz w:val="24"/>
          <w:szCs w:val="24"/>
        </w:rPr>
        <w:t xml:space="preserve">  Somatic missense mutations in </w:t>
      </w:r>
      <w:r w:rsidRPr="008A18CE">
        <w:rPr>
          <w:rFonts w:ascii="Times New Roman" w:hAnsi="Times New Roman" w:cs="Times New Roman"/>
          <w:i/>
          <w:color w:val="000000" w:themeColor="text1"/>
          <w:sz w:val="24"/>
          <w:szCs w:val="24"/>
        </w:rPr>
        <w:t>TP53</w:t>
      </w:r>
      <w:r w:rsidRPr="008A18CE">
        <w:rPr>
          <w:rFonts w:ascii="Times New Roman" w:hAnsi="Times New Roman" w:cs="Times New Roman"/>
          <w:color w:val="000000" w:themeColor="text1"/>
          <w:sz w:val="24"/>
          <w:szCs w:val="24"/>
        </w:rPr>
        <w:t xml:space="preserve">, </w:t>
      </w:r>
      <w:r w:rsidRPr="008A18CE">
        <w:rPr>
          <w:rFonts w:ascii="Times New Roman" w:hAnsi="Times New Roman" w:cs="Times New Roman"/>
          <w:i/>
          <w:color w:val="000000" w:themeColor="text1"/>
          <w:sz w:val="24"/>
          <w:szCs w:val="24"/>
        </w:rPr>
        <w:t>PIK3CA</w:t>
      </w:r>
      <w:r w:rsidRPr="008A18CE">
        <w:rPr>
          <w:rFonts w:ascii="Times New Roman" w:hAnsi="Times New Roman" w:cs="Times New Roman"/>
          <w:color w:val="000000" w:themeColor="text1"/>
          <w:sz w:val="24"/>
          <w:szCs w:val="24"/>
        </w:rPr>
        <w:t xml:space="preserve"> and three other genes randomly selected from the WBC and tumor tissue samples of patient BC0145 were validated by Sanger sequencing. Empirically, PCR fragments generated with specific PCR primer pairs flanking the mutation sites were cloned into the pZBack </w:t>
      </w:r>
      <w:r w:rsidRPr="008A18CE">
        <w:rPr>
          <w:rFonts w:ascii="Times New Roman" w:eastAsia="MinionPro-Regular" w:hAnsi="Times New Roman" w:cs="Times New Roman"/>
          <w:color w:val="000000" w:themeColor="text1"/>
          <w:sz w:val="24"/>
          <w:szCs w:val="24"/>
        </w:rPr>
        <w:t xml:space="preserve">vector, which was used to transform </w:t>
      </w:r>
      <w:r w:rsidRPr="008A18CE">
        <w:rPr>
          <w:rFonts w:ascii="Times New Roman" w:hAnsi="Times New Roman" w:cs="Times New Roman"/>
          <w:i/>
          <w:color w:val="000000" w:themeColor="text1"/>
          <w:sz w:val="24"/>
          <w:szCs w:val="24"/>
        </w:rPr>
        <w:t>E. coli</w:t>
      </w:r>
      <w:r w:rsidRPr="008A18CE">
        <w:rPr>
          <w:rFonts w:ascii="Times New Roman" w:hAnsi="Times New Roman" w:cs="Times New Roman"/>
          <w:color w:val="000000" w:themeColor="text1"/>
          <w:sz w:val="24"/>
          <w:szCs w:val="24"/>
        </w:rPr>
        <w:t xml:space="preserve"> DH5-Alpha competent cells which were</w:t>
      </w:r>
      <w:r w:rsidRPr="008A18CE">
        <w:rPr>
          <w:rFonts w:ascii="Times New Roman" w:eastAsia="MinionPro-Regular" w:hAnsi="Times New Roman" w:cs="Times New Roman"/>
          <w:color w:val="000000" w:themeColor="text1"/>
          <w:sz w:val="24"/>
          <w:szCs w:val="24"/>
        </w:rPr>
        <w:t xml:space="preserve"> then cultured in agar plates</w:t>
      </w:r>
      <w:r w:rsidRPr="008A18CE">
        <w:rPr>
          <w:rFonts w:ascii="Times New Roman" w:hAnsi="Times New Roman" w:cs="Times New Roman"/>
          <w:color w:val="000000" w:themeColor="text1"/>
          <w:sz w:val="24"/>
          <w:szCs w:val="24"/>
        </w:rPr>
        <w:t xml:space="preserve">. Colonies were picked from the plates and cultured in aqueous media. Plasmids were isolated </w:t>
      </w:r>
      <w:r w:rsidRPr="008A18CE">
        <w:rPr>
          <w:rFonts w:ascii="Times New Roman" w:eastAsia="MinionPro-Regular" w:hAnsi="Times New Roman" w:cs="Times New Roman"/>
          <w:color w:val="000000" w:themeColor="text1"/>
          <w:sz w:val="24"/>
          <w:szCs w:val="24"/>
        </w:rPr>
        <w:t>in mini-preps and sequenced by Sanger sequencing. Ten bases on each side of the mutation in the chromatogram are shown together with the mutated sites.</w:t>
      </w:r>
    </w:p>
    <w:p w:rsidR="00246737" w:rsidRPr="008A18CE" w:rsidRDefault="00246737" w:rsidP="00246737">
      <w:pPr>
        <w:spacing w:line="360" w:lineRule="auto"/>
        <w:contextualSpacing/>
        <w:rPr>
          <w:color w:val="000000" w:themeColor="text1"/>
          <w:sz w:val="24"/>
          <w:szCs w:val="24"/>
        </w:rPr>
      </w:pPr>
    </w:p>
    <w:p w:rsidR="00246737" w:rsidRPr="008A18CE" w:rsidRDefault="00246737" w:rsidP="00246737">
      <w:pPr>
        <w:spacing w:line="360" w:lineRule="auto"/>
        <w:contextualSpacing/>
        <w:rPr>
          <w:color w:val="000000" w:themeColor="text1"/>
          <w:sz w:val="24"/>
          <w:szCs w:val="24"/>
        </w:rPr>
      </w:pPr>
    </w:p>
    <w:p w:rsidR="00246737" w:rsidRPr="008A18CE" w:rsidRDefault="00246737" w:rsidP="00246737">
      <w:pPr>
        <w:spacing w:line="360" w:lineRule="auto"/>
        <w:contextualSpacing/>
        <w:rPr>
          <w:color w:val="000000" w:themeColor="text1"/>
        </w:rPr>
      </w:pPr>
    </w:p>
    <w:p w:rsidR="00246737" w:rsidRDefault="00246737">
      <w:pPr>
        <w:rPr>
          <w:rFonts w:ascii="Times New Roman" w:hAnsi="Times New Roman" w:cs="Times New Roman"/>
        </w:rPr>
      </w:pPr>
      <w:r>
        <w:rPr>
          <w:rFonts w:ascii="Times New Roman" w:hAnsi="Times New Roman" w:cs="Times New Roman"/>
          <w:noProof/>
        </w:rPr>
        <w:lastRenderedPageBreak/>
        <w:drawing>
          <wp:inline distT="0" distB="0" distL="0" distR="0">
            <wp:extent cx="5526404" cy="1737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lementary Figure 2.TIF"/>
                    <pic:cNvPicPr/>
                  </pic:nvPicPr>
                  <pic:blipFill rotWithShape="1">
                    <a:blip r:embed="rId6" cstate="print">
                      <a:extLst>
                        <a:ext uri="{28A0092B-C50C-407E-A947-70E740481C1C}">
                          <a14:useLocalDpi xmlns:a14="http://schemas.microsoft.com/office/drawing/2010/main" val="0"/>
                        </a:ext>
                      </a:extLst>
                    </a:blip>
                    <a:srcRect t="24512" b="19601"/>
                    <a:stretch/>
                  </pic:blipFill>
                  <pic:spPr bwMode="auto">
                    <a:xfrm>
                      <a:off x="0" y="0"/>
                      <a:ext cx="5526902" cy="1737516"/>
                    </a:xfrm>
                    <a:prstGeom prst="rect">
                      <a:avLst/>
                    </a:prstGeom>
                    <a:ln>
                      <a:noFill/>
                    </a:ln>
                    <a:extLst>
                      <a:ext uri="{53640926-AAD7-44D8-BBD7-CCE9431645EC}">
                        <a14:shadowObscured xmlns:a14="http://schemas.microsoft.com/office/drawing/2010/main"/>
                      </a:ext>
                    </a:extLst>
                  </pic:spPr>
                </pic:pic>
              </a:graphicData>
            </a:graphic>
          </wp:inline>
        </w:drawing>
      </w:r>
    </w:p>
    <w:p w:rsidR="00246737" w:rsidRDefault="00246737" w:rsidP="00246737">
      <w:pPr>
        <w:spacing w:line="360" w:lineRule="auto"/>
        <w:contextualSpacing/>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w:t>
      </w:r>
      <w:r w:rsidRPr="008A18CE">
        <w:rPr>
          <w:rFonts w:ascii="Times New Roman" w:eastAsia="Times New Roman" w:hAnsi="Times New Roman" w:cs="Times New Roman"/>
          <w:b/>
          <w:color w:val="000000" w:themeColor="text1"/>
          <w:sz w:val="24"/>
          <w:szCs w:val="24"/>
        </w:rPr>
        <w:t xml:space="preserve"> Figure 2</w:t>
      </w:r>
      <w:r w:rsidRPr="008A18CE">
        <w:rPr>
          <w:rFonts w:ascii="Times New Roman" w:hAnsi="Times New Roman" w:cs="Times New Roman"/>
          <w:b/>
          <w:color w:val="000000" w:themeColor="text1"/>
          <w:sz w:val="24"/>
          <w:szCs w:val="24"/>
        </w:rPr>
        <w:t>. Number of genes affected by somatic mutations among patients in Taiwanese EOBC cohort.</w:t>
      </w:r>
      <w:r w:rsidRPr="008A18CE">
        <w:rPr>
          <w:rFonts w:ascii="Times New Roman" w:hAnsi="Times New Roman" w:cs="Times New Roman"/>
          <w:color w:val="000000" w:themeColor="text1"/>
          <w:sz w:val="24"/>
          <w:szCs w:val="24"/>
        </w:rPr>
        <w:t xml:space="preserve"> Patients are sorted on the number of mutated genes. </w:t>
      </w:r>
    </w:p>
    <w:p w:rsidR="00246737" w:rsidRDefault="00246737">
      <w:pPr>
        <w:spacing w:after="160" w:line="259"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page"/>
      </w:r>
    </w:p>
    <w:p w:rsidR="00246737" w:rsidRPr="008A18CE" w:rsidRDefault="00246737" w:rsidP="00246737">
      <w:pPr>
        <w:spacing w:line="360" w:lineRule="auto"/>
        <w:contextualSpacing/>
        <w:rPr>
          <w:rFonts w:ascii="Times New Roman" w:hAnsi="Times New Roman" w:cs="Times New Roman"/>
          <w:color w:val="000000" w:themeColor="text1"/>
          <w:sz w:val="24"/>
          <w:szCs w:val="24"/>
        </w:rPr>
      </w:pPr>
    </w:p>
    <w:p w:rsidR="00246737" w:rsidRDefault="0097297B">
      <w:pPr>
        <w:rPr>
          <w:rFonts w:ascii="Times New Roman" w:hAnsi="Times New Roman" w:cs="Times New Roman"/>
        </w:rPr>
      </w:pPr>
      <w:r>
        <w:rPr>
          <w:rFonts w:ascii="Times New Roman" w:hAnsi="Times New Roman" w:cs="Times New Roman"/>
          <w:noProof/>
        </w:rPr>
        <w:drawing>
          <wp:inline distT="0" distB="0" distL="0" distR="0">
            <wp:extent cx="5570968" cy="3212217"/>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pplementary Figure 3_new.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02612" cy="3230463"/>
                    </a:xfrm>
                    <a:prstGeom prst="rect">
                      <a:avLst/>
                    </a:prstGeom>
                  </pic:spPr>
                </pic:pic>
              </a:graphicData>
            </a:graphic>
          </wp:inline>
        </w:drawing>
      </w:r>
    </w:p>
    <w:p w:rsidR="00246737" w:rsidRPr="001B1C2F" w:rsidRDefault="00246737" w:rsidP="00246737">
      <w:pPr>
        <w:spacing w:line="360" w:lineRule="auto"/>
        <w:contextualSpacing/>
        <w:rPr>
          <w:sz w:val="24"/>
          <w:szCs w:val="24"/>
        </w:rPr>
      </w:pPr>
      <w:r w:rsidRPr="001B1C2F">
        <w:rPr>
          <w:rFonts w:ascii="Times New Roman" w:hAnsi="Times New Roman" w:cs="Times New Roman"/>
          <w:b/>
          <w:color w:val="000000" w:themeColor="text1"/>
          <w:sz w:val="24"/>
          <w:szCs w:val="24"/>
        </w:rPr>
        <w:t>Supplementary</w:t>
      </w:r>
      <w:r w:rsidRPr="001B1C2F">
        <w:rPr>
          <w:rFonts w:ascii="Times New Roman" w:eastAsia="Times New Roman" w:hAnsi="Times New Roman" w:cs="Times New Roman"/>
          <w:b/>
          <w:color w:val="000000" w:themeColor="text1"/>
          <w:sz w:val="24"/>
          <w:szCs w:val="24"/>
        </w:rPr>
        <w:t xml:space="preserve"> Figure 3</w:t>
      </w:r>
      <w:r w:rsidRPr="001B1C2F">
        <w:rPr>
          <w:rFonts w:ascii="Times New Roman" w:eastAsia="新細明體" w:hAnsi="Times New Roman" w:cs="Times New Roman"/>
          <w:b/>
          <w:color w:val="000000" w:themeColor="text1"/>
          <w:sz w:val="24"/>
          <w:szCs w:val="24"/>
        </w:rPr>
        <w:t xml:space="preserve">. </w:t>
      </w:r>
      <w:r w:rsidRPr="001B1C2F">
        <w:rPr>
          <w:rFonts w:ascii="Times New Roman" w:hAnsi="Times New Roman" w:cs="Times New Roman"/>
          <w:b/>
          <w:color w:val="000000" w:themeColor="text1"/>
          <w:sz w:val="24"/>
          <w:szCs w:val="24"/>
        </w:rPr>
        <w:t>Comparison of top 10 genes with somatic mutations in Taiwanese EOBC cohort to the individual EOBC (A) and individual non-EOBC (B) groups in each external cohort.</w:t>
      </w:r>
      <w:r w:rsidRPr="001B1C2F">
        <w:rPr>
          <w:rFonts w:ascii="Times New Roman" w:hAnsi="Times New Roman" w:cs="Times New Roman"/>
          <w:color w:val="000000" w:themeColor="text1"/>
          <w:sz w:val="24"/>
          <w:szCs w:val="24"/>
        </w:rPr>
        <w:t xml:space="preserve"> Notice that Taiwanese cohort has only EOBC data and, thus, the heights of red bars in two panels for each gene retain the same.</w:t>
      </w:r>
      <w:r w:rsidR="001B1C2F" w:rsidRPr="001B1C2F">
        <w:rPr>
          <w:rFonts w:ascii="Times New Roman" w:hAnsi="Times New Roman" w:cs="Times New Roman"/>
          <w:sz w:val="24"/>
          <w:szCs w:val="24"/>
        </w:rPr>
        <w:t xml:space="preserve"> Numbers corresponding to each vertical bar for each gene show number of patients with mutation in that particular gene over total number of patients sequenced for that gene.</w:t>
      </w:r>
    </w:p>
    <w:p w:rsidR="008B5C84" w:rsidRPr="001B1C2F" w:rsidRDefault="008B5C84">
      <w:pPr>
        <w:spacing w:after="160" w:line="259" w:lineRule="auto"/>
        <w:jc w:val="left"/>
        <w:rPr>
          <w:rFonts w:ascii="Times New Roman" w:hAnsi="Times New Roman" w:cs="Times New Roman"/>
          <w:sz w:val="24"/>
          <w:szCs w:val="24"/>
        </w:rPr>
      </w:pPr>
      <w:r w:rsidRPr="001B1C2F">
        <w:rPr>
          <w:rFonts w:ascii="Times New Roman" w:hAnsi="Times New Roman" w:cs="Times New Roman"/>
          <w:sz w:val="24"/>
          <w:szCs w:val="24"/>
        </w:rPr>
        <w:br w:type="page"/>
      </w:r>
    </w:p>
    <w:p w:rsidR="00246737" w:rsidRDefault="00246737">
      <w:pPr>
        <w:spacing w:after="160" w:line="259" w:lineRule="auto"/>
        <w:jc w:val="left"/>
        <w:rPr>
          <w:rFonts w:ascii="Times New Roman" w:hAnsi="Times New Roman" w:cs="Times New Roman"/>
        </w:rPr>
      </w:pPr>
    </w:p>
    <w:p w:rsidR="00246737" w:rsidRDefault="00246737">
      <w:pPr>
        <w:rPr>
          <w:rFonts w:ascii="Times New Roman" w:hAnsi="Times New Roman" w:cs="Times New Roman"/>
        </w:rPr>
      </w:pPr>
      <w:r>
        <w:rPr>
          <w:rFonts w:ascii="Times New Roman" w:hAnsi="Times New Roman" w:cs="Times New Roman"/>
          <w:noProof/>
        </w:rPr>
        <w:drawing>
          <wp:inline distT="0" distB="0" distL="0" distR="0">
            <wp:extent cx="5663565" cy="3383007"/>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lementary Figure 4.TIF"/>
                    <pic:cNvPicPr/>
                  </pic:nvPicPr>
                  <pic:blipFill rotWithShape="1">
                    <a:blip r:embed="rId8" cstate="print">
                      <a:extLst>
                        <a:ext uri="{28A0092B-C50C-407E-A947-70E740481C1C}">
                          <a14:useLocalDpi xmlns:a14="http://schemas.microsoft.com/office/drawing/2010/main" val="0"/>
                        </a:ext>
                      </a:extLst>
                    </a:blip>
                    <a:srcRect l="5829"/>
                    <a:stretch/>
                  </pic:blipFill>
                  <pic:spPr bwMode="auto">
                    <a:xfrm>
                      <a:off x="0" y="0"/>
                      <a:ext cx="5664022" cy="3383280"/>
                    </a:xfrm>
                    <a:prstGeom prst="rect">
                      <a:avLst/>
                    </a:prstGeom>
                    <a:ln>
                      <a:noFill/>
                    </a:ln>
                    <a:extLst>
                      <a:ext uri="{53640926-AAD7-44D8-BBD7-CCE9431645EC}">
                        <a14:shadowObscured xmlns:a14="http://schemas.microsoft.com/office/drawing/2010/main"/>
                      </a:ext>
                    </a:extLst>
                  </pic:spPr>
                </pic:pic>
              </a:graphicData>
            </a:graphic>
          </wp:inline>
        </w:drawing>
      </w:r>
    </w:p>
    <w:p w:rsidR="00246737" w:rsidRPr="00310470" w:rsidRDefault="00246737" w:rsidP="00246737">
      <w:pPr>
        <w:spacing w:line="360" w:lineRule="auto"/>
        <w:contextualSpacing/>
        <w:rPr>
          <w:rFonts w:ascii="Times New Roman" w:eastAsia="新細明體" w:hAnsi="Times New Roman" w:cs="Times New Roman"/>
          <w:color w:val="000000" w:themeColor="text1"/>
          <w:sz w:val="24"/>
          <w:szCs w:val="24"/>
        </w:rPr>
      </w:pPr>
      <w:r w:rsidRPr="00310470">
        <w:rPr>
          <w:rFonts w:ascii="Times New Roman" w:hAnsi="Times New Roman" w:cs="Times New Roman"/>
          <w:b/>
          <w:color w:val="000000" w:themeColor="text1"/>
          <w:sz w:val="24"/>
          <w:szCs w:val="24"/>
        </w:rPr>
        <w:t>Supplementary</w:t>
      </w:r>
      <w:r w:rsidRPr="00310470">
        <w:rPr>
          <w:rFonts w:ascii="Times New Roman" w:eastAsia="Times New Roman" w:hAnsi="Times New Roman" w:cs="Times New Roman"/>
          <w:b/>
          <w:color w:val="000000" w:themeColor="text1"/>
          <w:sz w:val="24"/>
          <w:szCs w:val="24"/>
        </w:rPr>
        <w:t xml:space="preserve"> Figure 4</w:t>
      </w:r>
      <w:r w:rsidRPr="00310470">
        <w:rPr>
          <w:rFonts w:ascii="Times New Roman" w:eastAsia="新細明體" w:hAnsi="Times New Roman" w:cs="Times New Roman"/>
          <w:b/>
          <w:color w:val="000000" w:themeColor="text1"/>
          <w:sz w:val="24"/>
          <w:szCs w:val="24"/>
        </w:rPr>
        <w:t xml:space="preserve">. </w:t>
      </w:r>
      <w:r w:rsidRPr="00310470">
        <w:rPr>
          <w:rFonts w:ascii="Times New Roman" w:hAnsi="Times New Roman" w:cs="Times New Roman"/>
          <w:b/>
          <w:color w:val="000000" w:themeColor="text1"/>
          <w:sz w:val="24"/>
          <w:szCs w:val="24"/>
        </w:rPr>
        <w:t xml:space="preserve">Kaplan Meier disease/progression-free survival plot for pooled EOBC and pooled non-EOBC patients from external cohorts. </w:t>
      </w:r>
      <w:r w:rsidRPr="00310470">
        <w:rPr>
          <w:rFonts w:ascii="Times New Roman" w:hAnsi="Times New Roman" w:cs="Times New Roman"/>
          <w:color w:val="000000" w:themeColor="text1"/>
          <w:sz w:val="24"/>
          <w:szCs w:val="24"/>
        </w:rPr>
        <w:t>Disease/progression-free survival analysis was performed for pooled EOBC (70 patients) and pooled non-EOBC (714 patients) over a period of 220 months.</w:t>
      </w:r>
    </w:p>
    <w:p w:rsidR="008B616C" w:rsidRPr="00310470" w:rsidRDefault="008B616C">
      <w:pPr>
        <w:spacing w:after="160" w:line="259" w:lineRule="auto"/>
        <w:jc w:val="left"/>
        <w:rPr>
          <w:rFonts w:ascii="Times New Roman" w:hAnsi="Times New Roman" w:cs="Times New Roman"/>
          <w:sz w:val="24"/>
          <w:szCs w:val="24"/>
        </w:rPr>
      </w:pPr>
      <w:r w:rsidRPr="00310470">
        <w:rPr>
          <w:rFonts w:ascii="Times New Roman" w:hAnsi="Times New Roman" w:cs="Times New Roman"/>
          <w:sz w:val="24"/>
          <w:szCs w:val="24"/>
        </w:rPr>
        <w:br w:type="page"/>
      </w:r>
    </w:p>
    <w:p w:rsidR="00EC1595" w:rsidRDefault="00246737">
      <w:pPr>
        <w:rPr>
          <w:rFonts w:ascii="Times New Roman" w:hAnsi="Times New Roman" w:cs="Times New Roman"/>
        </w:rPr>
      </w:pPr>
      <w:r>
        <w:rPr>
          <w:rFonts w:ascii="Times New Roman" w:hAnsi="Times New Roman" w:cs="Times New Roman"/>
          <w:noProof/>
        </w:rPr>
        <w:lastRenderedPageBreak/>
        <w:drawing>
          <wp:inline distT="0" distB="0" distL="0" distR="0">
            <wp:extent cx="4572000" cy="3767153"/>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ementary Figure 5.TIF"/>
                    <pic:cNvPicPr/>
                  </pic:nvPicPr>
                  <pic:blipFill rotWithShape="1">
                    <a:blip r:embed="rId9" cstate="print">
                      <a:extLst>
                        <a:ext uri="{28A0092B-C50C-407E-A947-70E740481C1C}">
                          <a14:useLocalDpi xmlns:a14="http://schemas.microsoft.com/office/drawing/2010/main" val="0"/>
                        </a:ext>
                      </a:extLst>
                    </a:blip>
                    <a:srcRect r="31730"/>
                    <a:stretch/>
                  </pic:blipFill>
                  <pic:spPr bwMode="auto">
                    <a:xfrm>
                      <a:off x="0" y="0"/>
                      <a:ext cx="4572000" cy="3767153"/>
                    </a:xfrm>
                    <a:prstGeom prst="rect">
                      <a:avLst/>
                    </a:prstGeom>
                    <a:ln>
                      <a:noFill/>
                    </a:ln>
                    <a:extLst>
                      <a:ext uri="{53640926-AAD7-44D8-BBD7-CCE9431645EC}">
                        <a14:shadowObscured xmlns:a14="http://schemas.microsoft.com/office/drawing/2010/main"/>
                      </a:ext>
                    </a:extLst>
                  </pic:spPr>
                </pic:pic>
              </a:graphicData>
            </a:graphic>
          </wp:inline>
        </w:drawing>
      </w:r>
    </w:p>
    <w:p w:rsidR="00246737" w:rsidRPr="008A18CE" w:rsidRDefault="00246737" w:rsidP="00246737">
      <w:pPr>
        <w:spacing w:line="360" w:lineRule="auto"/>
        <w:contextualSpacing/>
        <w:rPr>
          <w:color w:val="000000" w:themeColor="text1"/>
          <w:sz w:val="24"/>
          <w:szCs w:val="24"/>
        </w:rPr>
      </w:pPr>
      <w:r w:rsidRPr="008A18CE">
        <w:rPr>
          <w:rFonts w:ascii="Times New Roman" w:hAnsi="Times New Roman" w:cs="Times New Roman"/>
          <w:b/>
          <w:color w:val="000000" w:themeColor="text1"/>
          <w:sz w:val="24"/>
          <w:szCs w:val="24"/>
        </w:rPr>
        <w:t>Supplementary</w:t>
      </w:r>
      <w:r w:rsidRPr="008A18CE">
        <w:rPr>
          <w:rFonts w:ascii="Times New Roman" w:eastAsia="Times New Roman" w:hAnsi="Times New Roman" w:cs="Times New Roman"/>
          <w:b/>
          <w:color w:val="000000" w:themeColor="text1"/>
          <w:sz w:val="24"/>
          <w:szCs w:val="24"/>
        </w:rPr>
        <w:t xml:space="preserve"> Figure 5</w:t>
      </w:r>
      <w:r w:rsidRPr="008A18CE">
        <w:rPr>
          <w:rFonts w:ascii="Times New Roman" w:eastAsia="新細明體" w:hAnsi="Times New Roman" w:cs="Times New Roman"/>
          <w:b/>
          <w:color w:val="000000" w:themeColor="text1"/>
          <w:sz w:val="24"/>
          <w:szCs w:val="24"/>
        </w:rPr>
        <w:t>. Common and specific germline mutations in sisters with a family history of breast cancer</w:t>
      </w:r>
      <w:r w:rsidRPr="008A18CE">
        <w:rPr>
          <w:rFonts w:ascii="Times New Roman" w:eastAsia="新細明體" w:hAnsi="Times New Roman" w:cs="Times New Roman"/>
          <w:color w:val="000000" w:themeColor="text1"/>
          <w:sz w:val="24"/>
          <w:szCs w:val="24"/>
        </w:rPr>
        <w:t>. Germline mutations in sisters (7768 and 7942) were identified and split into two categories: common and individual-specific.</w:t>
      </w:r>
    </w:p>
    <w:p w:rsidR="00246737" w:rsidRDefault="00246737">
      <w:pPr>
        <w:rPr>
          <w:rFonts w:ascii="Times New Roman" w:hAnsi="Times New Roman" w:cs="Times New Roman"/>
        </w:rPr>
      </w:pPr>
    </w:p>
    <w:p w:rsidR="008B616C" w:rsidRDefault="008B616C">
      <w:pPr>
        <w:spacing w:after="160" w:line="259" w:lineRule="auto"/>
        <w:jc w:val="left"/>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rsidR="00246737" w:rsidRPr="008A18CE" w:rsidRDefault="00246737" w:rsidP="00246737">
      <w:pPr>
        <w:pStyle w:val="ListParagraph"/>
        <w:spacing w:before="240" w:line="360" w:lineRule="auto"/>
        <w:ind w:left="0"/>
        <w:rPr>
          <w:rFonts w:ascii="Times New Roman" w:hAnsi="Times New Roman" w:cs="Times New Roman"/>
          <w:b/>
          <w:color w:val="000000" w:themeColor="text1"/>
          <w:sz w:val="24"/>
          <w:szCs w:val="24"/>
        </w:rPr>
      </w:pPr>
      <w:r w:rsidRPr="008A18CE">
        <w:rPr>
          <w:rFonts w:ascii="Times New Roman" w:hAnsi="Times New Roman" w:cs="Times New Roman"/>
          <w:b/>
          <w:color w:val="000000" w:themeColor="text1"/>
          <w:sz w:val="24"/>
          <w:szCs w:val="24"/>
        </w:rPr>
        <w:lastRenderedPageBreak/>
        <w:t>Supplementary Table captions</w:t>
      </w:r>
    </w:p>
    <w:p w:rsidR="008B616C" w:rsidRDefault="008B616C" w:rsidP="00246737">
      <w:pPr>
        <w:pStyle w:val="ListParagraph"/>
        <w:spacing w:before="240" w:line="360" w:lineRule="auto"/>
        <w:ind w:left="0"/>
        <w:rPr>
          <w:rFonts w:ascii="Times New Roman" w:hAnsi="Times New Roman" w:cs="Times New Roman"/>
          <w:b/>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1.</w:t>
      </w:r>
      <w:r w:rsidRPr="008A18CE">
        <w:rPr>
          <w:rFonts w:ascii="Times New Roman" w:hAnsi="Times New Roman" w:cs="Times New Roman"/>
          <w:color w:val="000000" w:themeColor="text1"/>
          <w:sz w:val="24"/>
          <w:szCs w:val="24"/>
        </w:rPr>
        <w:t xml:space="preserve"> Library statistics.</w:t>
      </w:r>
    </w:p>
    <w:p w:rsidR="008B616C" w:rsidRDefault="008B616C" w:rsidP="008B616C">
      <w:pPr>
        <w:pStyle w:val="ListParagraph"/>
        <w:ind w:left="0"/>
        <w:rPr>
          <w:rFonts w:ascii="Times New Roman" w:hAnsi="Times New Roman" w:cs="Times New Roman"/>
          <w:b/>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2.</w:t>
      </w:r>
      <w:r w:rsidRPr="008A18CE">
        <w:rPr>
          <w:rFonts w:ascii="Times New Roman" w:hAnsi="Times New Roman" w:cs="Times New Roman"/>
          <w:color w:val="000000" w:themeColor="text1"/>
          <w:sz w:val="24"/>
          <w:szCs w:val="24"/>
        </w:rPr>
        <w:t xml:space="preserve"> Characterization of somatic mutations.</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3.</w:t>
      </w:r>
      <w:r w:rsidRPr="008A18CE">
        <w:rPr>
          <w:rFonts w:ascii="Times New Roman" w:hAnsi="Times New Roman" w:cs="Times New Roman"/>
          <w:color w:val="000000" w:themeColor="text1"/>
          <w:sz w:val="24"/>
          <w:szCs w:val="24"/>
        </w:rPr>
        <w:t xml:space="preserve"> Clinical information and somatic mutations of all Taiwanese EOBC patients (As of May, 2017).  </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4.</w:t>
      </w:r>
      <w:r w:rsidRPr="008A18CE">
        <w:rPr>
          <w:rFonts w:ascii="Times New Roman" w:hAnsi="Times New Roman" w:cs="Times New Roman"/>
          <w:color w:val="000000" w:themeColor="text1"/>
          <w:sz w:val="24"/>
          <w:szCs w:val="24"/>
        </w:rPr>
        <w:t xml:space="preserve"> Subtype-based top genes with somatic mutations.</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5.</w:t>
      </w:r>
      <w:r w:rsidRPr="008A18CE">
        <w:rPr>
          <w:rFonts w:ascii="Times New Roman" w:hAnsi="Times New Roman" w:cs="Times New Roman"/>
          <w:color w:val="000000" w:themeColor="text1"/>
          <w:sz w:val="24"/>
          <w:szCs w:val="24"/>
        </w:rPr>
        <w:t xml:space="preserve"> </w:t>
      </w:r>
      <w:r w:rsidRPr="008A18CE">
        <w:rPr>
          <w:rFonts w:ascii="Times New Roman" w:eastAsia="新細明體" w:hAnsi="Times New Roman" w:cs="Times New Roman"/>
          <w:color w:val="000000" w:themeColor="text1"/>
          <w:sz w:val="24"/>
          <w:szCs w:val="24"/>
        </w:rPr>
        <w:t>Description of non-Taiwanese breast cancer cohorts used for comparison.</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eastAsia="新細明體" w:hAnsi="Times New Roman" w:cs="Times New Roman"/>
          <w:color w:val="000000" w:themeColor="text1"/>
          <w:kern w:val="2"/>
          <w:sz w:val="24"/>
          <w:szCs w:val="24"/>
        </w:rPr>
      </w:pPr>
      <w:r w:rsidRPr="008A18CE">
        <w:rPr>
          <w:rFonts w:ascii="Times New Roman" w:hAnsi="Times New Roman" w:cs="Times New Roman"/>
          <w:b/>
          <w:color w:val="000000" w:themeColor="text1"/>
          <w:sz w:val="24"/>
          <w:szCs w:val="24"/>
        </w:rPr>
        <w:t>Supplementary Table 6.</w:t>
      </w:r>
      <w:r w:rsidRPr="008A18CE">
        <w:rPr>
          <w:rFonts w:ascii="Times New Roman" w:eastAsia="新細明體" w:hAnsi="Times New Roman" w:cs="Times New Roman"/>
          <w:b/>
          <w:color w:val="000000" w:themeColor="text1"/>
          <w:kern w:val="2"/>
          <w:sz w:val="24"/>
          <w:szCs w:val="24"/>
        </w:rPr>
        <w:t xml:space="preserve"> </w:t>
      </w:r>
      <w:r w:rsidRPr="008A18CE">
        <w:rPr>
          <w:rFonts w:ascii="Times New Roman" w:eastAsia="新細明體" w:hAnsi="Times New Roman" w:cs="Times New Roman"/>
          <w:color w:val="000000" w:themeColor="text1"/>
          <w:kern w:val="2"/>
          <w:sz w:val="24"/>
          <w:szCs w:val="24"/>
        </w:rPr>
        <w:t>Differentially mutated genes in pooled EOBC and pooled non-EOBC of external cohorts.</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Supplementary Table 7.</w:t>
      </w:r>
      <w:r w:rsidRPr="008A18CE">
        <w:rPr>
          <w:rFonts w:ascii="Times New Roman" w:hAnsi="Times New Roman" w:cs="Times New Roman"/>
          <w:color w:val="000000" w:themeColor="text1"/>
          <w:sz w:val="24"/>
          <w:szCs w:val="24"/>
        </w:rPr>
        <w:t xml:space="preserve"> Copy number variations in different cytobands by subtype.</w:t>
      </w:r>
    </w:p>
    <w:p w:rsidR="00246737" w:rsidRPr="008A18CE" w:rsidRDefault="00246737" w:rsidP="008B616C">
      <w:pPr>
        <w:pStyle w:val="ListParagraph"/>
        <w:ind w:left="0"/>
        <w:rPr>
          <w:rFonts w:ascii="Times New Roman" w:hAnsi="Times New Roman" w:cs="Times New Roman"/>
          <w:color w:val="000000" w:themeColor="text1"/>
          <w:sz w:val="24"/>
          <w:szCs w:val="24"/>
        </w:rPr>
      </w:pPr>
    </w:p>
    <w:p w:rsidR="00246737" w:rsidRPr="008A18CE" w:rsidRDefault="00246737" w:rsidP="008B616C">
      <w:pPr>
        <w:pStyle w:val="ListParagraph"/>
        <w:ind w:left="0"/>
        <w:rPr>
          <w:rFonts w:ascii="Times New Roman" w:hAnsi="Times New Roman" w:cs="Times New Roman"/>
          <w:color w:val="000000" w:themeColor="text1"/>
          <w:sz w:val="24"/>
          <w:szCs w:val="24"/>
        </w:rPr>
      </w:pPr>
      <w:r w:rsidRPr="008A18CE">
        <w:rPr>
          <w:rFonts w:ascii="Times New Roman" w:hAnsi="Times New Roman" w:cs="Times New Roman"/>
          <w:b/>
          <w:color w:val="000000" w:themeColor="text1"/>
          <w:sz w:val="24"/>
          <w:szCs w:val="24"/>
        </w:rPr>
        <w:t xml:space="preserve">Supplementary Table 8. </w:t>
      </w:r>
      <w:r w:rsidRPr="008A18CE">
        <w:rPr>
          <w:rFonts w:ascii="Times New Roman" w:hAnsi="Times New Roman" w:cs="Times New Roman"/>
          <w:color w:val="000000" w:themeColor="text1"/>
          <w:sz w:val="24"/>
          <w:szCs w:val="24"/>
        </w:rPr>
        <w:t>Overlap in CNV regions between sisters 7768 and 7942.</w:t>
      </w:r>
    </w:p>
    <w:p w:rsidR="00246737" w:rsidRPr="00246737" w:rsidRDefault="00246737">
      <w:pPr>
        <w:rPr>
          <w:rFonts w:ascii="Times New Roman" w:hAnsi="Times New Roman" w:cs="Times New Roman"/>
        </w:rPr>
      </w:pPr>
    </w:p>
    <w:sectPr w:rsidR="00246737" w:rsidRPr="00246737">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43" w:usb2="00000009" w:usb3="00000000" w:csb0="000001FF" w:csb1="00000000"/>
  </w:font>
  <w:font w:name="MinionPro-Regular">
    <w:altName w:val="新細明體"/>
    <w:panose1 w:val="00000000000000000000"/>
    <w:charset w:val="88"/>
    <w:family w:val="roman"/>
    <w:notTrueType/>
    <w:pitch w:val="default"/>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36DF"/>
    <w:rsid w:val="001B1C2F"/>
    <w:rsid w:val="00246737"/>
    <w:rsid w:val="00310470"/>
    <w:rsid w:val="003A4DF2"/>
    <w:rsid w:val="004344D9"/>
    <w:rsid w:val="008B5C84"/>
    <w:rsid w:val="008B616C"/>
    <w:rsid w:val="0097297B"/>
    <w:rsid w:val="00A07AA3"/>
    <w:rsid w:val="00DA134C"/>
    <w:rsid w:val="00E4703D"/>
    <w:rsid w:val="00EC1595"/>
    <w:rsid w:val="00FB36D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4C66D9F-AD25-467B-BD93-008EEE86B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TW"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6737"/>
    <w:pPr>
      <w:spacing w:after="0" w:line="240" w:lineRule="auto"/>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t1">
    <w:name w:val="st1"/>
    <w:basedOn w:val="DefaultParagraphFont"/>
    <w:rsid w:val="00246737"/>
  </w:style>
  <w:style w:type="paragraph" w:styleId="ListParagraph">
    <w:name w:val="List Paragraph"/>
    <w:basedOn w:val="Normal"/>
    <w:uiPriority w:val="34"/>
    <w:qFormat/>
    <w:rsid w:val="00246737"/>
    <w:pPr>
      <w:ind w:left="720"/>
      <w:contextualSpacing/>
    </w:pPr>
  </w:style>
  <w:style w:type="character" w:styleId="Hyperlink">
    <w:name w:val="Hyperlink"/>
    <w:basedOn w:val="DefaultParagraphFont"/>
    <w:uiPriority w:val="99"/>
    <w:unhideWhenUsed/>
    <w:rsid w:val="008B616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3" Type="http://schemas.openxmlformats.org/officeDocument/2006/relationships/webSettings" Target="webSettings.xml"/><Relationship Id="rId7" Type="http://schemas.openxmlformats.org/officeDocument/2006/relationships/image" Target="media/image3.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tiff"/><Relationship Id="rId11" Type="http://schemas.openxmlformats.org/officeDocument/2006/relationships/theme" Target="theme/theme1.xml"/><Relationship Id="rId5" Type="http://schemas.openxmlformats.org/officeDocument/2006/relationships/image" Target="media/image1.TIF"/><Relationship Id="rId10" Type="http://schemas.openxmlformats.org/officeDocument/2006/relationships/fontTable" Target="fontTable.xml"/><Relationship Id="rId4" Type="http://schemas.openxmlformats.org/officeDocument/2006/relationships/hyperlink" Target="mailto:chiukp@gate.sinica.edu.tw" TargetMode="External"/><Relationship Id="rId9"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7</Pages>
  <Words>592</Words>
  <Characters>3376</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 pc</dc:creator>
  <cp:keywords/>
  <dc:description/>
  <cp:lastModifiedBy>user</cp:lastModifiedBy>
  <cp:revision>11</cp:revision>
  <dcterms:created xsi:type="dcterms:W3CDTF">2019-10-03T13:52:00Z</dcterms:created>
  <dcterms:modified xsi:type="dcterms:W3CDTF">2020-06-16T09:28:00Z</dcterms:modified>
</cp:coreProperties>
</file>