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CBCCF5" w14:textId="27E8B626" w:rsidR="002032BF" w:rsidRPr="00655F37" w:rsidRDefault="008C01A0" w:rsidP="007D7642">
      <w:pPr>
        <w:pStyle w:val="MDPI12title"/>
      </w:pPr>
      <w:r w:rsidRPr="00655F37">
        <w:rPr>
          <w:szCs w:val="21"/>
        </w:rPr>
        <w:t>Supplementary Materials:</w:t>
      </w:r>
      <w:r w:rsidRPr="00655F37">
        <w:t xml:space="preserve"> </w:t>
      </w:r>
      <w:r w:rsidR="002032BF" w:rsidRPr="00655F37">
        <w:t xml:space="preserve">Mutation of the </w:t>
      </w:r>
      <w:r w:rsidR="002F52FE" w:rsidRPr="00655F37">
        <w:t>Cell Cycle Regulator</w:t>
      </w:r>
      <w:r w:rsidR="002032BF" w:rsidRPr="00655F37">
        <w:t xml:space="preserve"> p27kip1 </w:t>
      </w:r>
      <w:r w:rsidR="002F52FE" w:rsidRPr="00655F37">
        <w:t>Drives Pseudohypoxic Pheochromocytoma Development</w:t>
      </w:r>
    </w:p>
    <w:p w14:paraId="6DB15B37" w14:textId="444B8166" w:rsidR="00B16EFC" w:rsidRPr="00655F37" w:rsidRDefault="002032BF" w:rsidP="007D7642">
      <w:pPr>
        <w:pStyle w:val="MDPI13authornames"/>
      </w:pPr>
      <w:r w:rsidRPr="00655F37">
        <w:t>Hermine Mohr, Simone Ballke, Nicole Bechmann, Sebastian Gulde, Jaber Malekzadeh-Najafabadi,</w:t>
      </w:r>
      <w:r w:rsidR="008C01A0" w:rsidRPr="00655F37">
        <w:t xml:space="preserve"> </w:t>
      </w:r>
      <w:r w:rsidR="008C01A0" w:rsidRPr="00655F37">
        <w:br/>
      </w:r>
      <w:r w:rsidRPr="00655F37">
        <w:t xml:space="preserve">Mirko Peitzsch, Vasilis Ntziachristos, Katja Steiger, Tobias Wiedemann </w:t>
      </w:r>
      <w:r w:rsidR="00926CFE" w:rsidRPr="00655F37">
        <w:t xml:space="preserve">and </w:t>
      </w:r>
      <w:r w:rsidRPr="00655F37">
        <w:t>Natalia S. Pellegata</w:t>
      </w:r>
    </w:p>
    <w:p w14:paraId="54EDB7AB" w14:textId="7746C212" w:rsidR="002032BF" w:rsidRPr="00655F37" w:rsidRDefault="008C01A0" w:rsidP="00655F37">
      <w:pPr>
        <w:pStyle w:val="MDPI52figure"/>
        <w:ind w:left="2608"/>
        <w:jc w:val="left"/>
      </w:pPr>
      <w:bookmarkStart w:id="0" w:name="_GoBack"/>
      <w:r w:rsidRPr="00655F37">
        <w:rPr>
          <w:noProof/>
        </w:rPr>
        <w:drawing>
          <wp:inline distT="0" distB="0" distL="0" distR="0" wp14:anchorId="30952C6E" wp14:editId="1DDAB511">
            <wp:extent cx="4083050" cy="259745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094151" cy="2604515"/>
                    </a:xfrm>
                    <a:prstGeom prst="rect">
                      <a:avLst/>
                    </a:prstGeom>
                  </pic:spPr>
                </pic:pic>
              </a:graphicData>
            </a:graphic>
          </wp:inline>
        </w:drawing>
      </w:r>
      <w:bookmarkEnd w:id="0"/>
    </w:p>
    <w:p w14:paraId="709030C9" w14:textId="5BB6785E" w:rsidR="007A3557" w:rsidRPr="00655F37" w:rsidRDefault="007A3557" w:rsidP="00655F37">
      <w:pPr>
        <w:pStyle w:val="MDPI52figure"/>
        <w:ind w:left="2608"/>
        <w:jc w:val="left"/>
      </w:pPr>
      <w:r w:rsidRPr="00655F37">
        <w:rPr>
          <w:noProof/>
        </w:rPr>
        <w:drawing>
          <wp:inline distT="0" distB="0" distL="0" distR="0" wp14:anchorId="18BDB3A7" wp14:editId="5A03B7FE">
            <wp:extent cx="4102100" cy="23631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172" t="1814"/>
                    <a:stretch/>
                  </pic:blipFill>
                  <pic:spPr bwMode="auto">
                    <a:xfrm>
                      <a:off x="0" y="0"/>
                      <a:ext cx="4169037" cy="2401705"/>
                    </a:xfrm>
                    <a:prstGeom prst="rect">
                      <a:avLst/>
                    </a:prstGeom>
                    <a:ln>
                      <a:noFill/>
                    </a:ln>
                    <a:extLst>
                      <a:ext uri="{53640926-AAD7-44D8-BBD7-CCE9431645EC}">
                        <a14:shadowObscured xmlns:a14="http://schemas.microsoft.com/office/drawing/2010/main"/>
                      </a:ext>
                    </a:extLst>
                  </pic:spPr>
                </pic:pic>
              </a:graphicData>
            </a:graphic>
          </wp:inline>
        </w:drawing>
      </w:r>
    </w:p>
    <w:p w14:paraId="023499F9" w14:textId="2875B737" w:rsidR="007A3557" w:rsidRPr="00655F37" w:rsidRDefault="007A3557" w:rsidP="00655F37">
      <w:pPr>
        <w:pStyle w:val="MDPI52figure"/>
        <w:ind w:left="2608"/>
        <w:jc w:val="left"/>
      </w:pPr>
      <w:r w:rsidRPr="00655F37">
        <w:rPr>
          <w:noProof/>
        </w:rPr>
        <w:lastRenderedPageBreak/>
        <w:drawing>
          <wp:inline distT="0" distB="0" distL="0" distR="0" wp14:anchorId="623FE93B" wp14:editId="32BA199F">
            <wp:extent cx="4642313" cy="4260850"/>
            <wp:effectExtent l="0" t="0" r="635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57755" cy="4275023"/>
                    </a:xfrm>
                    <a:prstGeom prst="rect">
                      <a:avLst/>
                    </a:prstGeom>
                  </pic:spPr>
                </pic:pic>
              </a:graphicData>
            </a:graphic>
          </wp:inline>
        </w:drawing>
      </w:r>
    </w:p>
    <w:p w14:paraId="47027346" w14:textId="0A116BCB" w:rsidR="007A3557" w:rsidRPr="00655F37" w:rsidRDefault="007A3557" w:rsidP="007A3557">
      <w:pPr>
        <w:pStyle w:val="MDPI51figurecaption"/>
        <w:rPr>
          <w:rFonts w:eastAsia="CIDFont+F2"/>
        </w:rPr>
      </w:pPr>
      <w:r w:rsidRPr="00655F37">
        <w:rPr>
          <w:rFonts w:eastAsia="CIDFont+F1" w:cs="CIDFont+F1"/>
          <w:b/>
        </w:rPr>
        <w:t xml:space="preserve">Figure </w:t>
      </w:r>
      <w:r w:rsidR="0025151C" w:rsidRPr="00655F37">
        <w:rPr>
          <w:rFonts w:eastAsia="CIDFont+F1" w:cs="CIDFont+F1"/>
          <w:b/>
        </w:rPr>
        <w:t>S</w:t>
      </w:r>
      <w:r w:rsidRPr="00655F37">
        <w:rPr>
          <w:rFonts w:eastAsia="CIDFont+F1" w:cs="CIDFont+F1"/>
          <w:b/>
        </w:rPr>
        <w:t xml:space="preserve">1. </w:t>
      </w:r>
      <w:r w:rsidRPr="00655F37">
        <w:rPr>
          <w:rFonts w:eastAsia="CIDFont+F1" w:cs="CIDFont+F1"/>
        </w:rPr>
        <w:t>PNMT expression and catecholamine profile of MENX PCCs. (</w:t>
      </w:r>
      <w:r w:rsidRPr="00655F37">
        <w:rPr>
          <w:rFonts w:eastAsia="CIDFont+F2"/>
          <w:b/>
          <w:bCs/>
        </w:rPr>
        <w:t>A</w:t>
      </w:r>
      <w:r w:rsidRPr="00655F37">
        <w:rPr>
          <w:rFonts w:eastAsia="CIDFont+F2"/>
        </w:rPr>
        <w:t>)Adrenals from MENX rats at different ages were stained with a PNMT-specific antibody. Representative examples are shown. The proportion of PNMT-positive cells decreased with tumorigenesis. M, medulla; C, cortex. (</w:t>
      </w:r>
      <w:r w:rsidRPr="00655F37">
        <w:rPr>
          <w:rFonts w:eastAsia="CIDFont+F2"/>
          <w:b/>
          <w:bCs/>
        </w:rPr>
        <w:t>B</w:t>
      </w:r>
      <w:r w:rsidRPr="00655F37">
        <w:rPr>
          <w:rFonts w:eastAsia="CIDFont+F2"/>
        </w:rPr>
        <w:t>) Correlation of catecholamine concentration to adrenal weight. NE and DA concentration increased with the weight of the tumor tissue. In contrast EPI drops. The EPI concentration is strongly inverse correlated to the NE concentration in the tumor tissues (depicted is Spearman-Correlation).</w:t>
      </w:r>
    </w:p>
    <w:p w14:paraId="6B2555E2" w14:textId="786664BE" w:rsidR="007A3557" w:rsidRPr="00655F37" w:rsidRDefault="007A3557" w:rsidP="00655F37">
      <w:pPr>
        <w:pStyle w:val="MDPI52figure"/>
        <w:ind w:left="2608"/>
        <w:jc w:val="left"/>
      </w:pPr>
      <w:r w:rsidRPr="00655F37">
        <w:rPr>
          <w:noProof/>
        </w:rPr>
        <w:lastRenderedPageBreak/>
        <w:drawing>
          <wp:inline distT="0" distB="0" distL="0" distR="0" wp14:anchorId="51FFE841" wp14:editId="4005A12B">
            <wp:extent cx="3365814" cy="4142095"/>
            <wp:effectExtent l="0" t="0" r="635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72532" cy="4150362"/>
                    </a:xfrm>
                    <a:prstGeom prst="rect">
                      <a:avLst/>
                    </a:prstGeom>
                  </pic:spPr>
                </pic:pic>
              </a:graphicData>
            </a:graphic>
          </wp:inline>
        </w:drawing>
      </w:r>
    </w:p>
    <w:p w14:paraId="0B33CC1B" w14:textId="26E6D8D2" w:rsidR="007A3557" w:rsidRPr="00655F37" w:rsidRDefault="007A3557" w:rsidP="00655F37">
      <w:pPr>
        <w:pStyle w:val="MDPI52figure"/>
        <w:ind w:left="2608"/>
        <w:jc w:val="left"/>
      </w:pPr>
      <w:r w:rsidRPr="00655F37">
        <w:rPr>
          <w:noProof/>
        </w:rPr>
        <w:drawing>
          <wp:inline distT="0" distB="0" distL="0" distR="0" wp14:anchorId="0118AB43" wp14:editId="6C272142">
            <wp:extent cx="3631166" cy="2648607"/>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637039" cy="2652891"/>
                    </a:xfrm>
                    <a:prstGeom prst="rect">
                      <a:avLst/>
                    </a:prstGeom>
                  </pic:spPr>
                </pic:pic>
              </a:graphicData>
            </a:graphic>
          </wp:inline>
        </w:drawing>
      </w:r>
    </w:p>
    <w:p w14:paraId="59D5E52D" w14:textId="0800E459" w:rsidR="007A3557" w:rsidRPr="00655F37" w:rsidRDefault="007A3557" w:rsidP="007A3557">
      <w:pPr>
        <w:pStyle w:val="MDPI51figurecaption"/>
      </w:pPr>
      <w:r w:rsidRPr="00655F37">
        <w:rPr>
          <w:b/>
        </w:rPr>
        <w:t xml:space="preserve">Figure S2. </w:t>
      </w:r>
      <w:bookmarkStart w:id="1" w:name="_Hlk60835362"/>
      <w:r w:rsidRPr="00655F37">
        <w:t>Analysis of rat transcriptome and Human TCGA PPGL clustering with the 500 gene list</w:t>
      </w:r>
      <w:bookmarkEnd w:id="1"/>
      <w:r w:rsidRPr="00655F37">
        <w:t>. (</w:t>
      </w:r>
      <w:r w:rsidRPr="00655F37">
        <w:rPr>
          <w:b/>
          <w:bCs/>
        </w:rPr>
        <w:t>A</w:t>
      </w:r>
      <w:r w:rsidR="0025151C" w:rsidRPr="00655F37">
        <w:t>–</w:t>
      </w:r>
      <w:r w:rsidRPr="00655F37">
        <w:rPr>
          <w:b/>
          <w:bCs/>
        </w:rPr>
        <w:t>B</w:t>
      </w:r>
      <w:r w:rsidRPr="00655F37">
        <w:t xml:space="preserve">) Wildtype (WT, </w:t>
      </w:r>
      <w:r w:rsidRPr="00655F37">
        <w:rPr>
          <w:i/>
          <w:iCs/>
        </w:rPr>
        <w:t>n</w:t>
      </w:r>
      <w:r w:rsidR="0025151C" w:rsidRPr="00655F37">
        <w:t xml:space="preserve"> </w:t>
      </w:r>
      <w:r w:rsidRPr="00655F37">
        <w:t>=</w:t>
      </w:r>
      <w:r w:rsidR="0025151C" w:rsidRPr="00655F37">
        <w:t xml:space="preserve"> </w:t>
      </w:r>
      <w:r w:rsidRPr="00655F37">
        <w:t xml:space="preserve">5), Hyperplasia (HYP, </w:t>
      </w:r>
      <w:r w:rsidRPr="00655F37">
        <w:rPr>
          <w:i/>
          <w:iCs/>
        </w:rPr>
        <w:t>n</w:t>
      </w:r>
      <w:r w:rsidR="0025151C" w:rsidRPr="00655F37">
        <w:t xml:space="preserve"> </w:t>
      </w:r>
      <w:r w:rsidRPr="00655F37">
        <w:t>=</w:t>
      </w:r>
      <w:r w:rsidR="0025151C" w:rsidRPr="00655F37">
        <w:t xml:space="preserve"> </w:t>
      </w:r>
      <w:r w:rsidRPr="00655F37">
        <w:t xml:space="preserve">5), Pheochromocytoma (PCC, </w:t>
      </w:r>
      <w:r w:rsidRPr="00655F37">
        <w:rPr>
          <w:i/>
          <w:iCs/>
        </w:rPr>
        <w:t>n</w:t>
      </w:r>
      <w:r w:rsidR="0025151C" w:rsidRPr="00655F37">
        <w:t xml:space="preserve"> </w:t>
      </w:r>
      <w:r w:rsidRPr="00655F37">
        <w:t>=</w:t>
      </w:r>
      <w:r w:rsidR="0025151C" w:rsidRPr="00655F37">
        <w:t xml:space="preserve"> </w:t>
      </w:r>
      <w:r w:rsidRPr="00655F37">
        <w:t>5) were analysed by RNAseq of macroscopic dissected medulla tissue. Top 20 most significantly enriched KEGG pathways based on the differentially expressed genes between rat datasets A) (HYP vs</w:t>
      </w:r>
      <w:r w:rsidR="0025151C" w:rsidRPr="00655F37">
        <w:t>.</w:t>
      </w:r>
      <w:r w:rsidRPr="00655F37">
        <w:t xml:space="preserve"> PCC) and </w:t>
      </w:r>
      <w:r w:rsidR="0025151C" w:rsidRPr="00655F37">
        <w:t>(</w:t>
      </w:r>
      <w:r w:rsidRPr="00655F37">
        <w:rPr>
          <w:b/>
          <w:bCs/>
        </w:rPr>
        <w:t>B</w:t>
      </w:r>
      <w:r w:rsidRPr="00655F37">
        <w:t>) (PCC vs</w:t>
      </w:r>
      <w:r w:rsidR="0025151C" w:rsidRPr="00655F37">
        <w:t>.</w:t>
      </w:r>
      <w:r w:rsidRPr="00655F37">
        <w:t xml:space="preserve"> HYP) are depicted in the dot graph. </w:t>
      </w:r>
      <w:r w:rsidR="0025151C" w:rsidRPr="00655F37">
        <w:t>(</w:t>
      </w:r>
      <w:r w:rsidRPr="00655F37">
        <w:rPr>
          <w:b/>
          <w:bCs/>
        </w:rPr>
        <w:t>C</w:t>
      </w:r>
      <w:r w:rsidRPr="00655F37">
        <w:t>) Consensus Clustering of TCGA PPGL and heatmap without rat samples (red</w:t>
      </w:r>
      <w:r w:rsidR="0025151C" w:rsidRPr="00655F37">
        <w:t xml:space="preserve"> </w:t>
      </w:r>
      <w:r w:rsidRPr="00655F37">
        <w:t>= Cortical admixture, blue= kinase-signaling, green</w:t>
      </w:r>
      <w:r w:rsidR="0025151C" w:rsidRPr="00655F37">
        <w:t xml:space="preserve"> </w:t>
      </w:r>
      <w:r w:rsidRPr="00655F37">
        <w:t>= pseudohypoxia, purple</w:t>
      </w:r>
      <w:r w:rsidR="0025151C" w:rsidRPr="00655F37">
        <w:t xml:space="preserve"> </w:t>
      </w:r>
      <w:r w:rsidRPr="00655F37">
        <w:t xml:space="preserve">= Wnt-activated). The selected subset of 500 genes is sufficient to cluster the human samples into the previously identified cluster with few exceptions mainly by the coritcal admixture cluster. An enlarged figure can be found in a seperate file, </w:t>
      </w:r>
      <w:r w:rsidR="0025151C" w:rsidRPr="00655F37">
        <w:t>Figure S</w:t>
      </w:r>
      <w:r w:rsidRPr="00655F37">
        <w:t>2C.</w:t>
      </w:r>
    </w:p>
    <w:p w14:paraId="40396E2C" w14:textId="1242C572" w:rsidR="007A3557" w:rsidRPr="00655F37" w:rsidRDefault="007A3557" w:rsidP="00655F37">
      <w:pPr>
        <w:pStyle w:val="MDPI52figure"/>
        <w:ind w:left="2608"/>
        <w:jc w:val="left"/>
      </w:pPr>
      <w:r w:rsidRPr="00655F37">
        <w:rPr>
          <w:noProof/>
        </w:rPr>
        <w:lastRenderedPageBreak/>
        <w:drawing>
          <wp:inline distT="0" distB="0" distL="0" distR="0" wp14:anchorId="09121D7A" wp14:editId="125998AC">
            <wp:extent cx="4684415" cy="3705101"/>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90290" cy="3709748"/>
                    </a:xfrm>
                    <a:prstGeom prst="rect">
                      <a:avLst/>
                    </a:prstGeom>
                  </pic:spPr>
                </pic:pic>
              </a:graphicData>
            </a:graphic>
          </wp:inline>
        </w:drawing>
      </w:r>
    </w:p>
    <w:p w14:paraId="269D5A6B" w14:textId="19308472" w:rsidR="007A3557" w:rsidRPr="00655F37" w:rsidRDefault="007A3557" w:rsidP="00655F37">
      <w:pPr>
        <w:pStyle w:val="MDPI52figure"/>
        <w:ind w:left="2608"/>
        <w:jc w:val="left"/>
      </w:pPr>
      <w:r w:rsidRPr="00655F37">
        <w:rPr>
          <w:noProof/>
        </w:rPr>
        <w:drawing>
          <wp:inline distT="0" distB="0" distL="0" distR="0" wp14:anchorId="279DF9F1" wp14:editId="59DE4B08">
            <wp:extent cx="4953620" cy="3212327"/>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996140" cy="3239900"/>
                    </a:xfrm>
                    <a:prstGeom prst="rect">
                      <a:avLst/>
                    </a:prstGeom>
                  </pic:spPr>
                </pic:pic>
              </a:graphicData>
            </a:graphic>
          </wp:inline>
        </w:drawing>
      </w:r>
    </w:p>
    <w:p w14:paraId="7555D204" w14:textId="384ABF96" w:rsidR="007A3557" w:rsidRPr="00655F37" w:rsidRDefault="007A3557" w:rsidP="00655F37">
      <w:pPr>
        <w:pStyle w:val="MDPI52figure"/>
        <w:ind w:left="2608"/>
        <w:jc w:val="left"/>
      </w:pPr>
      <w:r w:rsidRPr="00655F37">
        <w:rPr>
          <w:noProof/>
        </w:rPr>
        <w:lastRenderedPageBreak/>
        <w:drawing>
          <wp:inline distT="0" distB="0" distL="0" distR="0" wp14:anchorId="26A4A7AC" wp14:editId="1352774A">
            <wp:extent cx="4900237" cy="247867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32500" cy="2494998"/>
                    </a:xfrm>
                    <a:prstGeom prst="rect">
                      <a:avLst/>
                    </a:prstGeom>
                  </pic:spPr>
                </pic:pic>
              </a:graphicData>
            </a:graphic>
          </wp:inline>
        </w:drawing>
      </w:r>
    </w:p>
    <w:p w14:paraId="304D6C44" w14:textId="2194D2A0" w:rsidR="007A3557" w:rsidRPr="00655F37" w:rsidRDefault="007A3557" w:rsidP="007A3557">
      <w:pPr>
        <w:pStyle w:val="MDPI51figurecaption"/>
      </w:pPr>
      <w:r w:rsidRPr="00655F37">
        <w:rPr>
          <w:b/>
        </w:rPr>
        <w:t xml:space="preserve">Figure S3. </w:t>
      </w:r>
      <w:r w:rsidRPr="00655F37">
        <w:t xml:space="preserve">Krebs cycle changes in hyperplastic MENX PCCs. </w:t>
      </w:r>
      <w:r w:rsidR="0025151C" w:rsidRPr="00655F37">
        <w:rPr>
          <w:rFonts w:eastAsia="宋体" w:cs="宋体"/>
          <w:lang w:eastAsia="zh-CN"/>
        </w:rPr>
        <w:t>(</w:t>
      </w:r>
      <w:r w:rsidRPr="00655F37">
        <w:rPr>
          <w:b/>
          <w:bCs/>
        </w:rPr>
        <w:t>A</w:t>
      </w:r>
      <w:r w:rsidRPr="00655F37">
        <w:t>) Metabolomic analysis of TCA-cycle metabolites in adrenal medulla of WT (</w:t>
      </w:r>
      <w:r w:rsidRPr="00655F37">
        <w:rPr>
          <w:i/>
          <w:iCs/>
        </w:rPr>
        <w:t>n</w:t>
      </w:r>
      <w:r w:rsidR="0025151C" w:rsidRPr="00655F37">
        <w:t xml:space="preserve"> </w:t>
      </w:r>
      <w:r w:rsidRPr="00655F37">
        <w:t>= 8) and HYP (</w:t>
      </w:r>
      <w:r w:rsidRPr="00655F37">
        <w:rPr>
          <w:i/>
          <w:iCs/>
        </w:rPr>
        <w:t>n</w:t>
      </w:r>
      <w:r w:rsidR="0025151C" w:rsidRPr="00655F37">
        <w:t xml:space="preserve"> </w:t>
      </w:r>
      <w:r w:rsidRPr="00655F37">
        <w:t>= 8) at 4</w:t>
      </w:r>
      <w:r w:rsidR="0025151C" w:rsidRPr="00655F37">
        <w:t>–</w:t>
      </w:r>
      <w:r w:rsidRPr="00655F37">
        <w:t>5 months of age was done by LC-MS/MS. Measurements are reported as ng/mg of total protein. Each symbol represents one animal: black square</w:t>
      </w:r>
      <w:r w:rsidR="0025151C" w:rsidRPr="00655F37">
        <w:t xml:space="preserve"> </w:t>
      </w:r>
      <w:r w:rsidRPr="00655F37">
        <w:t xml:space="preserve">= WT; black dot = HYP. Data are expressed as mean ± SD. </w:t>
      </w:r>
      <w:r w:rsidR="00CB247F" w:rsidRPr="00655F37">
        <w:rPr>
          <w:i/>
        </w:rPr>
        <w:t>p</w:t>
      </w:r>
      <w:r w:rsidRPr="00655F37">
        <w:t xml:space="preserve">-values were calculated by Mann-Whitney-Test. (***, </w:t>
      </w:r>
      <w:r w:rsidR="00CB247F" w:rsidRPr="00655F37">
        <w:rPr>
          <w:i/>
          <w:iCs/>
        </w:rPr>
        <w:t>p</w:t>
      </w:r>
      <w:r w:rsidR="0025151C" w:rsidRPr="00655F37">
        <w:t xml:space="preserve"> </w:t>
      </w:r>
      <w:r w:rsidRPr="00655F37">
        <w:t>&lt;</w:t>
      </w:r>
      <w:r w:rsidR="0025151C" w:rsidRPr="00655F37">
        <w:t xml:space="preserve"> </w:t>
      </w:r>
      <w:r w:rsidRPr="00655F37">
        <w:t xml:space="preserve">0.001; **, </w:t>
      </w:r>
      <w:r w:rsidR="00CB247F" w:rsidRPr="00655F37">
        <w:rPr>
          <w:i/>
          <w:iCs/>
        </w:rPr>
        <w:t>p</w:t>
      </w:r>
      <w:r w:rsidR="0025151C" w:rsidRPr="00655F37">
        <w:t xml:space="preserve"> </w:t>
      </w:r>
      <w:r w:rsidRPr="00655F37">
        <w:t xml:space="preserve">&lt; 0.01; *, </w:t>
      </w:r>
      <w:r w:rsidR="00CB247F" w:rsidRPr="00655F37">
        <w:rPr>
          <w:i/>
          <w:iCs/>
        </w:rPr>
        <w:t>p</w:t>
      </w:r>
      <w:r w:rsidR="0025151C" w:rsidRPr="00655F37">
        <w:t xml:space="preserve"> </w:t>
      </w:r>
      <w:r w:rsidRPr="00655F37">
        <w:t>&lt;</w:t>
      </w:r>
      <w:r w:rsidR="0025151C" w:rsidRPr="00655F37">
        <w:t xml:space="preserve"> </w:t>
      </w:r>
      <w:r w:rsidRPr="00655F37">
        <w:t xml:space="preserve">0.05; ns, not significant. Already at the stage of hyperplasia, there is a decrease in several metabolites of the TCA cycle, while Lactate production is increased. </w:t>
      </w:r>
      <w:r w:rsidR="0025151C" w:rsidRPr="00655F37">
        <w:t>(</w:t>
      </w:r>
      <w:r w:rsidRPr="00655F37">
        <w:rPr>
          <w:b/>
          <w:bCs/>
        </w:rPr>
        <w:t>B</w:t>
      </w:r>
      <w:r w:rsidRPr="00655F37">
        <w:t>) Scheme illustrating the changes found in TCA-metabolites in MENX rats at 4</w:t>
      </w:r>
      <w:r w:rsidR="0025151C" w:rsidRPr="00655F37">
        <w:t>–</w:t>
      </w:r>
      <w:r w:rsidRPr="00655F37">
        <w:t>5 (HYP) and 7</w:t>
      </w:r>
      <w:r w:rsidR="0025151C" w:rsidRPr="00655F37">
        <w:t>–</w:t>
      </w:r>
      <w:r w:rsidRPr="00655F37">
        <w:t>9 (PCC) months of age. Red arrows indicate increased metabolite levels, blue arrows indicate decreased levels. Many changes seen at HYP became more pronounced during tumor progression.</w:t>
      </w:r>
    </w:p>
    <w:p w14:paraId="5568DD26" w14:textId="1A909F24" w:rsidR="007A3557" w:rsidRPr="00655F37" w:rsidRDefault="007A3557" w:rsidP="00655F37">
      <w:pPr>
        <w:pStyle w:val="MDPI52figure"/>
        <w:ind w:left="2608"/>
        <w:jc w:val="left"/>
      </w:pPr>
      <w:r w:rsidRPr="00655F37">
        <w:rPr>
          <w:noProof/>
        </w:rPr>
        <w:drawing>
          <wp:inline distT="0" distB="0" distL="0" distR="0" wp14:anchorId="4065FA63" wp14:editId="5C3D4607">
            <wp:extent cx="3601501" cy="176565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26687" cy="1777997"/>
                    </a:xfrm>
                    <a:prstGeom prst="rect">
                      <a:avLst/>
                    </a:prstGeom>
                  </pic:spPr>
                </pic:pic>
              </a:graphicData>
            </a:graphic>
          </wp:inline>
        </w:drawing>
      </w:r>
    </w:p>
    <w:p w14:paraId="3935EB70" w14:textId="187A998F" w:rsidR="007A3557" w:rsidRPr="00655F37" w:rsidRDefault="007A3557" w:rsidP="00655F37">
      <w:pPr>
        <w:pStyle w:val="MDPI52figure"/>
        <w:ind w:left="2608"/>
        <w:jc w:val="left"/>
      </w:pPr>
      <w:r w:rsidRPr="00655F37">
        <w:rPr>
          <w:noProof/>
        </w:rPr>
        <w:drawing>
          <wp:inline distT="0" distB="0" distL="0" distR="0" wp14:anchorId="3537CA71" wp14:editId="6F4A0457">
            <wp:extent cx="3857625" cy="16645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77804" cy="1673242"/>
                    </a:xfrm>
                    <a:prstGeom prst="rect">
                      <a:avLst/>
                    </a:prstGeom>
                  </pic:spPr>
                </pic:pic>
              </a:graphicData>
            </a:graphic>
          </wp:inline>
        </w:drawing>
      </w:r>
    </w:p>
    <w:p w14:paraId="3261CABB" w14:textId="1ABF9444" w:rsidR="007A3557" w:rsidRPr="00655F37" w:rsidRDefault="0025151C" w:rsidP="0025151C">
      <w:pPr>
        <w:pStyle w:val="MDPI51figurecaption"/>
      </w:pPr>
      <w:r w:rsidRPr="00655F37">
        <w:rPr>
          <w:b/>
        </w:rPr>
        <w:t xml:space="preserve">Figure S4. </w:t>
      </w:r>
      <w:r w:rsidR="007A3557" w:rsidRPr="00655F37">
        <w:t xml:space="preserve">TET enzymes activity and 5-hmC expression in MENX rat adrenals. </w:t>
      </w:r>
      <w:r w:rsidRPr="00655F37">
        <w:t>(</w:t>
      </w:r>
      <w:r w:rsidR="007A3557" w:rsidRPr="00655F37">
        <w:rPr>
          <w:b/>
          <w:bCs/>
        </w:rPr>
        <w:t>A</w:t>
      </w:r>
      <w:r w:rsidR="007A3557" w:rsidRPr="00655F37">
        <w:t xml:space="preserve">) Scheme illustrating the enzymes (TET) catalyzing the oxidation of 5-mC to 5-hmC and their inhibitors. </w:t>
      </w:r>
      <w:r w:rsidRPr="00655F37">
        <w:t>(</w:t>
      </w:r>
      <w:r w:rsidR="007A3557" w:rsidRPr="00655F37">
        <w:rPr>
          <w:b/>
          <w:bCs/>
        </w:rPr>
        <w:t>B</w:t>
      </w:r>
      <w:r w:rsidR="007A3557" w:rsidRPr="00655F37">
        <w:t>) IHC staining for 5-hmC at 2 month and 4 month of age. M</w:t>
      </w:r>
      <w:r w:rsidRPr="00655F37">
        <w:t xml:space="preserve"> </w:t>
      </w:r>
      <w:r w:rsidR="007A3557" w:rsidRPr="00655F37">
        <w:t>= medulla, C</w:t>
      </w:r>
      <w:r w:rsidRPr="00655F37">
        <w:t xml:space="preserve"> </w:t>
      </w:r>
      <w:r w:rsidR="007A3557" w:rsidRPr="00655F37">
        <w:t>= cortex. 5-hmC staining was positive in adrenal medullary cells in animals before the onset of PCC. Original magnification: 100</w:t>
      </w:r>
      <w:r w:rsidRPr="00655F37">
        <w:t>×</w:t>
      </w:r>
      <w:r w:rsidR="007A3557" w:rsidRPr="00655F37">
        <w:t>.</w:t>
      </w:r>
    </w:p>
    <w:p w14:paraId="3DAE413D" w14:textId="6A8CE906" w:rsidR="007A3557" w:rsidRPr="00655F37" w:rsidRDefault="007A3557" w:rsidP="00655F37">
      <w:pPr>
        <w:pStyle w:val="MDPI52figure"/>
        <w:ind w:left="2608"/>
        <w:jc w:val="left"/>
      </w:pPr>
      <w:r w:rsidRPr="00655F37">
        <w:rPr>
          <w:noProof/>
        </w:rPr>
        <w:lastRenderedPageBreak/>
        <w:drawing>
          <wp:inline distT="0" distB="0" distL="0" distR="0" wp14:anchorId="34F5F57B" wp14:editId="4977ABCE">
            <wp:extent cx="4465674" cy="2456846"/>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01747" cy="2476692"/>
                    </a:xfrm>
                    <a:prstGeom prst="rect">
                      <a:avLst/>
                    </a:prstGeom>
                  </pic:spPr>
                </pic:pic>
              </a:graphicData>
            </a:graphic>
          </wp:inline>
        </w:drawing>
      </w:r>
    </w:p>
    <w:p w14:paraId="3AD46A0A" w14:textId="3940F0F9" w:rsidR="007A3557" w:rsidRPr="00655F37" w:rsidRDefault="007A3557" w:rsidP="00655F37">
      <w:pPr>
        <w:pStyle w:val="MDPI52figure"/>
        <w:ind w:left="2608"/>
        <w:jc w:val="left"/>
      </w:pPr>
      <w:r w:rsidRPr="00655F37">
        <w:rPr>
          <w:noProof/>
        </w:rPr>
        <w:drawing>
          <wp:inline distT="0" distB="0" distL="0" distR="0" wp14:anchorId="2C946375" wp14:editId="6EC5E722">
            <wp:extent cx="4550735" cy="2023612"/>
            <wp:effectExtent l="0" t="0" r="254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607095" cy="2048674"/>
                    </a:xfrm>
                    <a:prstGeom prst="rect">
                      <a:avLst/>
                    </a:prstGeom>
                  </pic:spPr>
                </pic:pic>
              </a:graphicData>
            </a:graphic>
          </wp:inline>
        </w:drawing>
      </w:r>
    </w:p>
    <w:p w14:paraId="0B695069" w14:textId="4A21F9B2" w:rsidR="007A3557" w:rsidRPr="00655F37" w:rsidRDefault="0025151C" w:rsidP="0025151C">
      <w:pPr>
        <w:pStyle w:val="MDPI51figurecaption"/>
      </w:pPr>
      <w:r w:rsidRPr="00655F37">
        <w:rPr>
          <w:b/>
        </w:rPr>
        <w:t xml:space="preserve">Figure S5. </w:t>
      </w:r>
      <w:r w:rsidR="007A3557" w:rsidRPr="00655F37">
        <w:t>Structure of the rat PCC vasculature. Rats were injected with T-Lectin to</w:t>
      </w:r>
      <w:r w:rsidRPr="00655F37">
        <w:t xml:space="preserve"> </w:t>
      </w:r>
      <w:r w:rsidR="007A3557" w:rsidRPr="00655F37">
        <w:t xml:space="preserve">visualize endothelial cells, and </w:t>
      </w:r>
      <w:r w:rsidR="00CB247F" w:rsidRPr="00655F37">
        <w:t>6 h</w:t>
      </w:r>
      <w:r w:rsidR="007A3557" w:rsidRPr="00655F37">
        <w:t xml:space="preserve"> later sacrificed for organ collection. </w:t>
      </w:r>
      <w:r w:rsidRPr="00655F37">
        <w:t>(</w:t>
      </w:r>
      <w:r w:rsidR="007A3557" w:rsidRPr="00655F37">
        <w:rPr>
          <w:b/>
          <w:bCs/>
        </w:rPr>
        <w:t>A</w:t>
      </w:r>
      <w:r w:rsidR="007A3557" w:rsidRPr="00655F37">
        <w:t>) Cross-section of a</w:t>
      </w:r>
      <w:r w:rsidRPr="00655F37">
        <w:t xml:space="preserve"> </w:t>
      </w:r>
      <w:r w:rsidR="007A3557" w:rsidRPr="00655F37">
        <w:t xml:space="preserve">T-Lectin-stained (green) MENX adrenal gland. Two PCC nodules are visible. </w:t>
      </w:r>
      <w:r w:rsidRPr="00655F37">
        <w:t>(</w:t>
      </w:r>
      <w:r w:rsidR="007A3557" w:rsidRPr="00655F37">
        <w:rPr>
          <w:b/>
          <w:bCs/>
        </w:rPr>
        <w:t>B</w:t>
      </w:r>
      <w:r w:rsidR="007A3557" w:rsidRPr="00655F37">
        <w:t>) H&amp;E staining</w:t>
      </w:r>
      <w:r w:rsidRPr="00655F37">
        <w:t xml:space="preserve"> </w:t>
      </w:r>
      <w:r w:rsidR="007A3557" w:rsidRPr="00655F37">
        <w:t xml:space="preserve">of the gland shown in </w:t>
      </w:r>
      <w:r w:rsidRPr="00655F37">
        <w:t>(</w:t>
      </w:r>
      <w:r w:rsidR="007A3557" w:rsidRPr="00655F37">
        <w:rPr>
          <w:b/>
          <w:bCs/>
        </w:rPr>
        <w:t>A</w:t>
      </w:r>
      <w:r w:rsidRPr="00655F37">
        <w:t>)</w:t>
      </w:r>
      <w:r w:rsidR="007A3557" w:rsidRPr="00655F37">
        <w:t xml:space="preserve">. </w:t>
      </w:r>
      <w:r w:rsidRPr="00655F37">
        <w:t>(</w:t>
      </w:r>
      <w:r w:rsidR="007A3557" w:rsidRPr="00655F37">
        <w:rPr>
          <w:b/>
          <w:bCs/>
        </w:rPr>
        <w:t>C</w:t>
      </w:r>
      <w:r w:rsidR="007A3557" w:rsidRPr="00655F37">
        <w:t>) PCC nodule stained with T-Lectin (green). Cell nuclei were</w:t>
      </w:r>
      <w:r w:rsidRPr="00655F37">
        <w:t xml:space="preserve"> </w:t>
      </w:r>
      <w:r w:rsidR="007A3557" w:rsidRPr="00655F37">
        <w:t xml:space="preserve">counterstained with DAPI. This is the nodule shown in the video. </w:t>
      </w:r>
      <w:r w:rsidRPr="00655F37">
        <w:t>(</w:t>
      </w:r>
      <w:r w:rsidR="007A3557" w:rsidRPr="00655F37">
        <w:rPr>
          <w:b/>
          <w:bCs/>
        </w:rPr>
        <w:t>D</w:t>
      </w:r>
      <w:r w:rsidR="007A3557" w:rsidRPr="00655F37">
        <w:t>) Higher magnification of</w:t>
      </w:r>
      <w:r w:rsidRPr="00655F37">
        <w:t xml:space="preserve"> </w:t>
      </w:r>
      <w:r w:rsidR="007A3557" w:rsidRPr="00655F37">
        <w:t xml:space="preserve">the nodule in C. Original magnification: </w:t>
      </w:r>
      <w:r w:rsidRPr="00655F37">
        <w:t>(</w:t>
      </w:r>
      <w:r w:rsidR="007A3557" w:rsidRPr="00655F37">
        <w:rPr>
          <w:b/>
          <w:bCs/>
        </w:rPr>
        <w:t>A</w:t>
      </w:r>
      <w:r w:rsidR="007A3557" w:rsidRPr="00655F37">
        <w:t>,</w:t>
      </w:r>
      <w:r w:rsidR="007A3557" w:rsidRPr="00655F37">
        <w:rPr>
          <w:b/>
          <w:bCs/>
        </w:rPr>
        <w:t>B</w:t>
      </w:r>
      <w:r w:rsidRPr="00655F37">
        <w:t>)</w:t>
      </w:r>
      <w:r w:rsidR="007A3557" w:rsidRPr="00655F37">
        <w:t xml:space="preserve"> 20</w:t>
      </w:r>
      <w:r w:rsidRPr="00655F37">
        <w:t>×</w:t>
      </w:r>
      <w:r w:rsidR="007A3557" w:rsidRPr="00655F37">
        <w:t xml:space="preserve">. Panels </w:t>
      </w:r>
      <w:r w:rsidRPr="00655F37">
        <w:t>(</w:t>
      </w:r>
      <w:r w:rsidR="007A3557" w:rsidRPr="00655F37">
        <w:rPr>
          <w:b/>
          <w:bCs/>
        </w:rPr>
        <w:t>C</w:t>
      </w:r>
      <w:r w:rsidR="007A3557" w:rsidRPr="00655F37">
        <w:t>,</w:t>
      </w:r>
      <w:r w:rsidR="007A3557" w:rsidRPr="00655F37">
        <w:rPr>
          <w:b/>
          <w:bCs/>
        </w:rPr>
        <w:t>D</w:t>
      </w:r>
      <w:r w:rsidRPr="00655F37">
        <w:t>)</w:t>
      </w:r>
      <w:r w:rsidR="007A3557" w:rsidRPr="00655F37">
        <w:t xml:space="preserve"> derive from the video.</w:t>
      </w:r>
    </w:p>
    <w:p w14:paraId="41069360" w14:textId="49D6EC32" w:rsidR="007A3557" w:rsidRPr="00655F37" w:rsidRDefault="007A3557" w:rsidP="00655F37">
      <w:pPr>
        <w:pStyle w:val="MDPI52figure"/>
        <w:ind w:left="2608"/>
        <w:jc w:val="left"/>
      </w:pPr>
      <w:r w:rsidRPr="00655F37">
        <w:rPr>
          <w:noProof/>
        </w:rPr>
        <w:drawing>
          <wp:inline distT="0" distB="0" distL="0" distR="0" wp14:anchorId="002AF32F" wp14:editId="1ABA2BB3">
            <wp:extent cx="4019550" cy="2755999"/>
            <wp:effectExtent l="0" t="0" r="0" b="6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43919" cy="2772708"/>
                    </a:xfrm>
                    <a:prstGeom prst="rect">
                      <a:avLst/>
                    </a:prstGeom>
                  </pic:spPr>
                </pic:pic>
              </a:graphicData>
            </a:graphic>
          </wp:inline>
        </w:drawing>
      </w:r>
    </w:p>
    <w:p w14:paraId="55301B1F" w14:textId="5617F806" w:rsidR="007A3557" w:rsidRPr="00655F37" w:rsidRDefault="007A3557" w:rsidP="00655F37">
      <w:pPr>
        <w:pStyle w:val="MDPI52figure"/>
        <w:ind w:left="2608"/>
        <w:jc w:val="left"/>
      </w:pPr>
      <w:r w:rsidRPr="00655F37">
        <w:rPr>
          <w:noProof/>
        </w:rPr>
        <w:lastRenderedPageBreak/>
        <w:drawing>
          <wp:inline distT="0" distB="0" distL="0" distR="0" wp14:anchorId="580DDFDE" wp14:editId="27302B56">
            <wp:extent cx="4000500" cy="3855249"/>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11107" cy="3865470"/>
                    </a:xfrm>
                    <a:prstGeom prst="rect">
                      <a:avLst/>
                    </a:prstGeom>
                  </pic:spPr>
                </pic:pic>
              </a:graphicData>
            </a:graphic>
          </wp:inline>
        </w:drawing>
      </w:r>
    </w:p>
    <w:p w14:paraId="7092F071" w14:textId="6F3505F2" w:rsidR="007A3557" w:rsidRPr="00655F37" w:rsidRDefault="006D6CAB" w:rsidP="006D6CAB">
      <w:pPr>
        <w:pStyle w:val="MDPI51figurecaption"/>
      </w:pPr>
      <w:bookmarkStart w:id="2" w:name="_Hlk60835751"/>
      <w:r w:rsidRPr="00655F37">
        <w:rPr>
          <w:b/>
        </w:rPr>
        <w:t xml:space="preserve">Figure S6. </w:t>
      </w:r>
      <w:r w:rsidR="007A3557" w:rsidRPr="00655F37">
        <w:t>Comparison of the morphology of primary MENX PCCs and tumors</w:t>
      </w:r>
      <w:r w:rsidR="0025151C" w:rsidRPr="00655F37">
        <w:t xml:space="preserve"> </w:t>
      </w:r>
      <w:r w:rsidR="007A3557" w:rsidRPr="00655F37">
        <w:t>derived from xenografted MENX PCC cells</w:t>
      </w:r>
      <w:bookmarkEnd w:id="2"/>
      <w:r w:rsidR="007A3557" w:rsidRPr="00655F37">
        <w:t xml:space="preserve">. </w:t>
      </w:r>
      <w:r w:rsidR="0025151C" w:rsidRPr="00655F37">
        <w:t>(</w:t>
      </w:r>
      <w:r w:rsidR="007A3557" w:rsidRPr="00655F37">
        <w:rPr>
          <w:b/>
          <w:bCs/>
        </w:rPr>
        <w:t>A</w:t>
      </w:r>
      <w:r w:rsidR="0025151C" w:rsidRPr="00655F37">
        <w:t>–</w:t>
      </w:r>
      <w:r w:rsidR="007A3557" w:rsidRPr="00655F37">
        <w:rPr>
          <w:b/>
          <w:bCs/>
        </w:rPr>
        <w:t>D</w:t>
      </w:r>
      <w:r w:rsidR="007A3557" w:rsidRPr="00655F37">
        <w:t>) Masson-Tri-Chrome staining, depicting</w:t>
      </w:r>
      <w:r w:rsidR="0025151C" w:rsidRPr="00655F37">
        <w:t xml:space="preserve"> </w:t>
      </w:r>
      <w:r w:rsidR="007A3557" w:rsidRPr="00655F37">
        <w:t xml:space="preserve">erythrocytes in yellow and collagen in blue. </w:t>
      </w:r>
      <w:r w:rsidR="0025151C" w:rsidRPr="00655F37">
        <w:t>(</w:t>
      </w:r>
      <w:r w:rsidR="007A3557" w:rsidRPr="00655F37">
        <w:rPr>
          <w:b/>
          <w:bCs/>
        </w:rPr>
        <w:t>E</w:t>
      </w:r>
      <w:r w:rsidR="0025151C" w:rsidRPr="00655F37">
        <w:t>–</w:t>
      </w:r>
      <w:r w:rsidR="007A3557" w:rsidRPr="00655F37">
        <w:rPr>
          <w:b/>
          <w:bCs/>
        </w:rPr>
        <w:t>F</w:t>
      </w:r>
      <w:r w:rsidR="007A3557" w:rsidRPr="00655F37">
        <w:t>) Gomori-Silver Methanamin stains Reticulin</w:t>
      </w:r>
      <w:r w:rsidR="0025151C" w:rsidRPr="00655F37">
        <w:t xml:space="preserve"> </w:t>
      </w:r>
      <w:r w:rsidR="007A3557" w:rsidRPr="00655F37">
        <w:t xml:space="preserve">in black and erythrocytes in green. </w:t>
      </w:r>
      <w:r w:rsidR="0025151C" w:rsidRPr="00655F37">
        <w:t>(</w:t>
      </w:r>
      <w:r w:rsidR="007A3557" w:rsidRPr="00655F37">
        <w:rPr>
          <w:b/>
          <w:bCs/>
        </w:rPr>
        <w:t>G</w:t>
      </w:r>
      <w:r w:rsidR="0025151C" w:rsidRPr="00655F37">
        <w:t>–</w:t>
      </w:r>
      <w:r w:rsidR="007A3557" w:rsidRPr="00655F37">
        <w:rPr>
          <w:b/>
          <w:bCs/>
        </w:rPr>
        <w:t>H</w:t>
      </w:r>
      <w:r w:rsidR="007A3557" w:rsidRPr="00655F37">
        <w:t>) PNMT staining shows the lack of PNMT in the</w:t>
      </w:r>
      <w:r w:rsidR="0025151C" w:rsidRPr="00655F37">
        <w:t xml:space="preserve"> </w:t>
      </w:r>
      <w:r w:rsidR="007A3557" w:rsidRPr="00655F37">
        <w:t xml:space="preserve">xenografted tissue, while there are some residual cells positive in the primary tumor. </w:t>
      </w:r>
      <w:r w:rsidR="0025151C" w:rsidRPr="00655F37">
        <w:t>(</w:t>
      </w:r>
      <w:r w:rsidR="007A3557" w:rsidRPr="00655F37">
        <w:rPr>
          <w:b/>
          <w:bCs/>
        </w:rPr>
        <w:t>I</w:t>
      </w:r>
      <w:r w:rsidR="0025151C" w:rsidRPr="00655F37">
        <w:t>–</w:t>
      </w:r>
      <w:r w:rsidR="007A3557" w:rsidRPr="00655F37">
        <w:rPr>
          <w:b/>
          <w:bCs/>
        </w:rPr>
        <w:t>J</w:t>
      </w:r>
      <w:r w:rsidR="007A3557" w:rsidRPr="00655F37">
        <w:t>) Ki67</w:t>
      </w:r>
      <w:r w:rsidR="0025151C" w:rsidRPr="00655F37">
        <w:t xml:space="preserve"> </w:t>
      </w:r>
      <w:r w:rsidR="007A3557" w:rsidRPr="00655F37">
        <w:t>staining indicating proliferating cells. Although there were some variations between individual</w:t>
      </w:r>
      <w:r w:rsidR="0025151C" w:rsidRPr="00655F37">
        <w:t xml:space="preserve"> </w:t>
      </w:r>
      <w:r w:rsidR="007A3557" w:rsidRPr="00655F37">
        <w:t>tumors of the primary and xenografs, the overall charcteristics and morphology was</w:t>
      </w:r>
      <w:r w:rsidR="0025151C" w:rsidRPr="00655F37">
        <w:t xml:space="preserve"> </w:t>
      </w:r>
      <w:r w:rsidR="007A3557" w:rsidRPr="00655F37">
        <w:t>maintained after injecting the primary tumor cells subcutaneously into mice.</w:t>
      </w:r>
    </w:p>
    <w:sectPr w:rsidR="007A3557" w:rsidRPr="00655F37" w:rsidSect="000A0D56">
      <w:headerReference w:type="even" r:id="rId21"/>
      <w:headerReference w:type="default" r:id="rId22"/>
      <w:footerReference w:type="default" r:id="rId23"/>
      <w:headerReference w:type="first" r:id="rId24"/>
      <w:footerReference w:type="first" r:id="rId25"/>
      <w:type w:val="continuous"/>
      <w:pgSz w:w="11906" w:h="16838" w:code="9"/>
      <w:pgMar w:top="1417" w:right="720" w:bottom="1077" w:left="720" w:header="1020" w:footer="340" w:gutter="0"/>
      <w:pgNumType w:start="1"/>
      <w:cols w:space="425"/>
      <w:titlePg/>
      <w:bidi/>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0D0286" w14:textId="77777777" w:rsidR="00DE0EDB" w:rsidRDefault="00DE0EDB">
      <w:pPr>
        <w:spacing w:line="240" w:lineRule="auto"/>
      </w:pPr>
      <w:r>
        <w:separator/>
      </w:r>
    </w:p>
  </w:endnote>
  <w:endnote w:type="continuationSeparator" w:id="0">
    <w:p w14:paraId="7246BA89" w14:textId="77777777" w:rsidR="00DE0EDB" w:rsidRDefault="00DE0ED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font>
  <w:font w:name="Cordia New">
    <w:altName w:val="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IDFont+F1">
    <w:altName w:val="微软雅黑"/>
    <w:panose1 w:val="00000000000000000000"/>
    <w:charset w:val="86"/>
    <w:family w:val="auto"/>
    <w:notTrueType/>
    <w:pitch w:val="default"/>
    <w:sig w:usb0="00000001" w:usb1="080E0000" w:usb2="00000010" w:usb3="00000000" w:csb0="00040000" w:csb1="00000000"/>
  </w:font>
  <w:font w:name="CIDFont+F2">
    <w:altName w:val="微软雅黑"/>
    <w:panose1 w:val="00000000000000000000"/>
    <w:charset w:val="86"/>
    <w:family w:val="auto"/>
    <w:notTrueType/>
    <w:pitch w:val="default"/>
    <w:sig w:usb0="00000001"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D580E" w14:textId="77777777" w:rsidR="00202CB4" w:rsidRPr="00164C5C" w:rsidRDefault="00202CB4" w:rsidP="00AF7CE2">
    <w:pPr>
      <w:pStyle w:val="Footer"/>
      <w:spacing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FF2571" w14:textId="77777777" w:rsidR="00202CB4" w:rsidRDefault="00202CB4" w:rsidP="00B16808">
    <w:pPr>
      <w:pStyle w:val="MDPIfooterfirstpage"/>
      <w:pBdr>
        <w:top w:val="single" w:sz="4" w:space="0" w:color="000000"/>
      </w:pBdr>
      <w:adjustRightInd w:val="0"/>
      <w:snapToGrid w:val="0"/>
      <w:spacing w:before="480" w:line="100" w:lineRule="exact"/>
      <w:rPr>
        <w:i/>
      </w:rPr>
    </w:pPr>
  </w:p>
  <w:p w14:paraId="234C394B" w14:textId="0AE1AA93" w:rsidR="00202CB4" w:rsidRPr="00C300DF" w:rsidRDefault="00202CB4" w:rsidP="00AC5F82">
    <w:pPr>
      <w:pStyle w:val="MDPIfooterfirstpage"/>
      <w:tabs>
        <w:tab w:val="clear" w:pos="8845"/>
        <w:tab w:val="right" w:pos="10466"/>
      </w:tabs>
      <w:spacing w:line="240" w:lineRule="auto"/>
      <w:jc w:val="both"/>
      <w:rPr>
        <w:lang w:val="en-GB"/>
      </w:rPr>
    </w:pPr>
    <w:r>
      <w:rPr>
        <w:i/>
      </w:rPr>
      <w:t xml:space="preserve">Cancers </w:t>
    </w:r>
    <w:r w:rsidRPr="009A5A53">
      <w:rPr>
        <w:b/>
      </w:rPr>
      <w:t>2021</w:t>
    </w:r>
    <w:r w:rsidRPr="00F71A8C">
      <w:t xml:space="preserve">, </w:t>
    </w:r>
    <w:r w:rsidRPr="009A5A53">
      <w:rPr>
        <w:i/>
      </w:rPr>
      <w:t>13</w:t>
    </w:r>
    <w:r w:rsidRPr="00F71A8C">
      <w:t xml:space="preserve">, </w:t>
    </w:r>
    <w:r w:rsidR="00655F37">
      <w:t>126</w:t>
    </w:r>
    <w:r w:rsidRPr="00C300DF">
      <w:rPr>
        <w:lang w:val="en-GB"/>
      </w:rPr>
      <w:tab/>
      <w:t>www.mdpi.com/journal/</w:t>
    </w:r>
    <w:r w:rsidRPr="00511F0B">
      <w:t>cancers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2CA8A67" w14:textId="77777777" w:rsidR="00DE0EDB" w:rsidRDefault="00DE0EDB">
      <w:pPr>
        <w:spacing w:line="240" w:lineRule="auto"/>
      </w:pPr>
      <w:r>
        <w:separator/>
      </w:r>
    </w:p>
  </w:footnote>
  <w:footnote w:type="continuationSeparator" w:id="0">
    <w:p w14:paraId="5EF1A728" w14:textId="77777777" w:rsidR="00DE0EDB" w:rsidRDefault="00DE0ED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632862" w14:textId="77777777" w:rsidR="00202CB4" w:rsidRDefault="00202CB4" w:rsidP="00AF7CE2">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F35569" w14:textId="6AFE9635" w:rsidR="00202CB4" w:rsidRDefault="00202CB4" w:rsidP="00AC5F82">
    <w:pPr>
      <w:tabs>
        <w:tab w:val="right" w:pos="10466"/>
      </w:tabs>
      <w:adjustRightInd w:val="0"/>
      <w:snapToGrid w:val="0"/>
      <w:spacing w:line="240" w:lineRule="auto"/>
      <w:rPr>
        <w:sz w:val="16"/>
      </w:rPr>
    </w:pPr>
    <w:r>
      <w:rPr>
        <w:i/>
        <w:sz w:val="16"/>
      </w:rPr>
      <w:t xml:space="preserve">Cancers </w:t>
    </w:r>
    <w:r w:rsidRPr="001059C9">
      <w:rPr>
        <w:b/>
        <w:sz w:val="16"/>
      </w:rPr>
      <w:t>2021</w:t>
    </w:r>
    <w:r w:rsidRPr="00F71A8C">
      <w:rPr>
        <w:sz w:val="16"/>
      </w:rPr>
      <w:t xml:space="preserve">, </w:t>
    </w:r>
    <w:r w:rsidRPr="001059C9">
      <w:rPr>
        <w:i/>
        <w:sz w:val="16"/>
      </w:rPr>
      <w:t>13</w:t>
    </w:r>
    <w:r>
      <w:rPr>
        <w:sz w:val="16"/>
      </w:rPr>
      <w:t xml:space="preserve">, </w:t>
    </w:r>
    <w:r w:rsidR="00655F37">
      <w:rPr>
        <w:sz w:val="16"/>
      </w:rPr>
      <w:t>126</w:t>
    </w:r>
    <w:r>
      <w:rPr>
        <w:sz w:val="16"/>
      </w:rPr>
      <w:tab/>
    </w:r>
    <w:r w:rsidR="00655F37">
      <w:rPr>
        <w:sz w:val="16"/>
      </w:rPr>
      <w:t>S</w:t>
    </w:r>
    <w:r>
      <w:rPr>
        <w:sz w:val="16"/>
      </w:rPr>
      <w:fldChar w:fldCharType="begin"/>
    </w:r>
    <w:r>
      <w:rPr>
        <w:sz w:val="16"/>
      </w:rPr>
      <w:instrText xml:space="preserve"> PAGE   \* MERGEFORMAT </w:instrText>
    </w:r>
    <w:r>
      <w:rPr>
        <w:sz w:val="16"/>
      </w:rPr>
      <w:fldChar w:fldCharType="separate"/>
    </w:r>
    <w:r w:rsidR="00DA081A">
      <w:rPr>
        <w:sz w:val="16"/>
      </w:rPr>
      <w:t>21</w:t>
    </w:r>
    <w:r>
      <w:rPr>
        <w:sz w:val="16"/>
      </w:rPr>
      <w:fldChar w:fldCharType="end"/>
    </w:r>
    <w:r>
      <w:rPr>
        <w:sz w:val="16"/>
      </w:rPr>
      <w:t xml:space="preserve"> of </w:t>
    </w:r>
    <w:r w:rsidR="00655F37">
      <w:rPr>
        <w:sz w:val="16"/>
      </w:rPr>
      <w:t>S</w:t>
    </w:r>
    <w:r>
      <w:rPr>
        <w:sz w:val="16"/>
      </w:rPr>
      <w:fldChar w:fldCharType="begin"/>
    </w:r>
    <w:r>
      <w:rPr>
        <w:sz w:val="16"/>
      </w:rPr>
      <w:instrText xml:space="preserve"> NUMPAGES   \* MERGEFORMAT </w:instrText>
    </w:r>
    <w:r>
      <w:rPr>
        <w:sz w:val="16"/>
      </w:rPr>
      <w:fldChar w:fldCharType="separate"/>
    </w:r>
    <w:r w:rsidR="00DA081A">
      <w:rPr>
        <w:sz w:val="16"/>
      </w:rPr>
      <w:t>22</w:t>
    </w:r>
    <w:r>
      <w:rPr>
        <w:sz w:val="16"/>
      </w:rPr>
      <w:fldChar w:fldCharType="end"/>
    </w:r>
  </w:p>
  <w:p w14:paraId="0F206F32" w14:textId="77777777" w:rsidR="00202CB4" w:rsidRPr="00836BB8" w:rsidRDefault="00202CB4" w:rsidP="00B16808">
    <w:pPr>
      <w:pBdr>
        <w:bottom w:val="single" w:sz="4" w:space="1" w:color="000000"/>
      </w:pBdr>
      <w:tabs>
        <w:tab w:val="right" w:pos="8844"/>
      </w:tabs>
      <w:adjustRightInd w:val="0"/>
      <w:snapToGrid w:val="0"/>
      <w:spacing w:after="480" w:line="100" w:lineRule="exact"/>
      <w:jc w:val="left"/>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426AEC8" w14:textId="77777777" w:rsidR="00655F37" w:rsidRDefault="00655F37" w:rsidP="00655F37">
    <w:pPr>
      <w:tabs>
        <w:tab w:val="right" w:pos="10466"/>
      </w:tabs>
      <w:adjustRightInd w:val="0"/>
      <w:snapToGrid w:val="0"/>
      <w:spacing w:line="240" w:lineRule="auto"/>
      <w:rPr>
        <w:sz w:val="16"/>
      </w:rPr>
    </w:pPr>
    <w:r>
      <w:rPr>
        <w:i/>
        <w:sz w:val="16"/>
      </w:rPr>
      <w:t xml:space="preserve">Cancers </w:t>
    </w:r>
    <w:r w:rsidRPr="001059C9">
      <w:rPr>
        <w:b/>
        <w:sz w:val="16"/>
      </w:rPr>
      <w:t>2021</w:t>
    </w:r>
    <w:r w:rsidRPr="00F71A8C">
      <w:rPr>
        <w:sz w:val="16"/>
      </w:rPr>
      <w:t xml:space="preserve">, </w:t>
    </w:r>
    <w:r w:rsidRPr="001059C9">
      <w:rPr>
        <w:i/>
        <w:sz w:val="16"/>
      </w:rPr>
      <w:t>13</w:t>
    </w:r>
    <w:r>
      <w:rPr>
        <w:sz w:val="16"/>
      </w:rPr>
      <w:t>, 126</w:t>
    </w:r>
    <w:r>
      <w:rPr>
        <w:sz w:val="16"/>
      </w:rPr>
      <w:tab/>
      <w:t>S</w:t>
    </w:r>
    <w:r>
      <w:rPr>
        <w:sz w:val="16"/>
      </w:rPr>
      <w:fldChar w:fldCharType="begin"/>
    </w:r>
    <w:r>
      <w:rPr>
        <w:sz w:val="16"/>
      </w:rPr>
      <w:instrText xml:space="preserve"> PAGE   \* MERGEFORMAT </w:instrText>
    </w:r>
    <w:r>
      <w:rPr>
        <w:sz w:val="16"/>
      </w:rPr>
      <w:fldChar w:fldCharType="separate"/>
    </w:r>
    <w:r>
      <w:rPr>
        <w:sz w:val="16"/>
      </w:rPr>
      <w:t>2</w:t>
    </w:r>
    <w:r>
      <w:rPr>
        <w:sz w:val="16"/>
      </w:rPr>
      <w:fldChar w:fldCharType="end"/>
    </w:r>
    <w:r>
      <w:rPr>
        <w:sz w:val="16"/>
      </w:rPr>
      <w:t xml:space="preserve"> of S</w:t>
    </w:r>
    <w:r>
      <w:rPr>
        <w:sz w:val="16"/>
      </w:rPr>
      <w:fldChar w:fldCharType="begin"/>
    </w:r>
    <w:r>
      <w:rPr>
        <w:sz w:val="16"/>
      </w:rPr>
      <w:instrText xml:space="preserve"> NUMPAGES   \* MERGEFORMAT </w:instrText>
    </w:r>
    <w:r>
      <w:rPr>
        <w:sz w:val="16"/>
      </w:rPr>
      <w:fldChar w:fldCharType="separate"/>
    </w:r>
    <w:r>
      <w:rPr>
        <w:sz w:val="16"/>
      </w:rPr>
      <w:t>7</w:t>
    </w:r>
    <w:r>
      <w:rPr>
        <w:sz w:val="16"/>
      </w:rPr>
      <w:fldChar w:fldCharType="end"/>
    </w:r>
  </w:p>
  <w:p w14:paraId="3EAC036E" w14:textId="77777777" w:rsidR="00202CB4" w:rsidRPr="005F530C" w:rsidRDefault="00202CB4" w:rsidP="00B16808">
    <w:pPr>
      <w:pBdr>
        <w:bottom w:val="single" w:sz="4" w:space="1" w:color="000000"/>
      </w:pBdr>
      <w:adjustRightInd w:val="0"/>
      <w:snapToGrid w:val="0"/>
      <w:spacing w:line="100" w:lineRule="exact"/>
      <w:jc w:val="lef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6E22DE5"/>
    <w:multiLevelType w:val="hybridMultilevel"/>
    <w:tmpl w:val="0EF400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AA0F88"/>
    <w:multiLevelType w:val="hybridMultilevel"/>
    <w:tmpl w:val="C77C711C"/>
    <w:lvl w:ilvl="0" w:tplc="5286504C">
      <w:start w:val="169"/>
      <w:numFmt w:val="bullet"/>
      <w:lvlText w:val=""/>
      <w:lvlJc w:val="left"/>
      <w:pPr>
        <w:ind w:left="580" w:hanging="360"/>
      </w:pPr>
      <w:rPr>
        <w:rFonts w:ascii="Symbol" w:eastAsia="Times New Roman" w:hAnsi="Symbol" w:cs="Times New Roman" w:hint="default"/>
      </w:rPr>
    </w:lvl>
    <w:lvl w:ilvl="1" w:tplc="1C090003" w:tentative="1">
      <w:start w:val="1"/>
      <w:numFmt w:val="bullet"/>
      <w:lvlText w:val="o"/>
      <w:lvlJc w:val="left"/>
      <w:pPr>
        <w:ind w:left="1300" w:hanging="360"/>
      </w:pPr>
      <w:rPr>
        <w:rFonts w:ascii="Courier New" w:hAnsi="Courier New" w:cs="Courier New" w:hint="default"/>
      </w:rPr>
    </w:lvl>
    <w:lvl w:ilvl="2" w:tplc="1C090005" w:tentative="1">
      <w:start w:val="1"/>
      <w:numFmt w:val="bullet"/>
      <w:lvlText w:val=""/>
      <w:lvlJc w:val="left"/>
      <w:pPr>
        <w:ind w:left="2020" w:hanging="360"/>
      </w:pPr>
      <w:rPr>
        <w:rFonts w:ascii="Wingdings" w:hAnsi="Wingdings" w:hint="default"/>
      </w:rPr>
    </w:lvl>
    <w:lvl w:ilvl="3" w:tplc="1C090001" w:tentative="1">
      <w:start w:val="1"/>
      <w:numFmt w:val="bullet"/>
      <w:lvlText w:val=""/>
      <w:lvlJc w:val="left"/>
      <w:pPr>
        <w:ind w:left="2740" w:hanging="360"/>
      </w:pPr>
      <w:rPr>
        <w:rFonts w:ascii="Symbol" w:hAnsi="Symbol" w:hint="default"/>
      </w:rPr>
    </w:lvl>
    <w:lvl w:ilvl="4" w:tplc="1C090003" w:tentative="1">
      <w:start w:val="1"/>
      <w:numFmt w:val="bullet"/>
      <w:lvlText w:val="o"/>
      <w:lvlJc w:val="left"/>
      <w:pPr>
        <w:ind w:left="3460" w:hanging="360"/>
      </w:pPr>
      <w:rPr>
        <w:rFonts w:ascii="Courier New" w:hAnsi="Courier New" w:cs="Courier New" w:hint="default"/>
      </w:rPr>
    </w:lvl>
    <w:lvl w:ilvl="5" w:tplc="1C090005" w:tentative="1">
      <w:start w:val="1"/>
      <w:numFmt w:val="bullet"/>
      <w:lvlText w:val=""/>
      <w:lvlJc w:val="left"/>
      <w:pPr>
        <w:ind w:left="4180" w:hanging="360"/>
      </w:pPr>
      <w:rPr>
        <w:rFonts w:ascii="Wingdings" w:hAnsi="Wingdings" w:hint="default"/>
      </w:rPr>
    </w:lvl>
    <w:lvl w:ilvl="6" w:tplc="1C090001" w:tentative="1">
      <w:start w:val="1"/>
      <w:numFmt w:val="bullet"/>
      <w:lvlText w:val=""/>
      <w:lvlJc w:val="left"/>
      <w:pPr>
        <w:ind w:left="4900" w:hanging="360"/>
      </w:pPr>
      <w:rPr>
        <w:rFonts w:ascii="Symbol" w:hAnsi="Symbol" w:hint="default"/>
      </w:rPr>
    </w:lvl>
    <w:lvl w:ilvl="7" w:tplc="1C090003" w:tentative="1">
      <w:start w:val="1"/>
      <w:numFmt w:val="bullet"/>
      <w:lvlText w:val="o"/>
      <w:lvlJc w:val="left"/>
      <w:pPr>
        <w:ind w:left="5620" w:hanging="360"/>
      </w:pPr>
      <w:rPr>
        <w:rFonts w:ascii="Courier New" w:hAnsi="Courier New" w:cs="Courier New" w:hint="default"/>
      </w:rPr>
    </w:lvl>
    <w:lvl w:ilvl="8" w:tplc="1C090005" w:tentative="1">
      <w:start w:val="1"/>
      <w:numFmt w:val="bullet"/>
      <w:lvlText w:val=""/>
      <w:lvlJc w:val="left"/>
      <w:pPr>
        <w:ind w:left="6340" w:hanging="360"/>
      </w:pPr>
      <w:rPr>
        <w:rFonts w:ascii="Wingdings" w:hAnsi="Wingdings" w:hint="default"/>
      </w:rPr>
    </w:lvl>
  </w:abstractNum>
  <w:abstractNum w:abstractNumId="2" w15:restartNumberingAfterBreak="0">
    <w:nsid w:val="18B468F5"/>
    <w:multiLevelType w:val="hybridMultilevel"/>
    <w:tmpl w:val="F7E250A8"/>
    <w:lvl w:ilvl="0" w:tplc="5A92E4B0">
      <w:start w:val="1"/>
      <w:numFmt w:val="decimal"/>
      <w:lvlRestart w:val="0"/>
      <w:lvlText w:val="%1."/>
      <w:lvlJc w:val="left"/>
      <w:pPr>
        <w:ind w:left="425" w:hanging="425"/>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E0C6F5D"/>
    <w:multiLevelType w:val="hybridMultilevel"/>
    <w:tmpl w:val="8BFE0D56"/>
    <w:lvl w:ilvl="0" w:tplc="CCCE9BD4">
      <w:start w:val="1"/>
      <w:numFmt w:val="bullet"/>
      <w:lvlRestart w:val="0"/>
      <w:pStyle w:val="MDPI38bullet"/>
      <w:lvlText w:val=""/>
      <w:lvlJc w:val="left"/>
      <w:pPr>
        <w:ind w:left="3033" w:hanging="425"/>
      </w:pPr>
      <w:rPr>
        <w:rFonts w:ascii="Symbol" w:hAnsi="Symbol" w:hint="default"/>
      </w:rPr>
    </w:lvl>
    <w:lvl w:ilvl="1" w:tplc="04090003" w:tentative="1">
      <w:start w:val="1"/>
      <w:numFmt w:val="bullet"/>
      <w:lvlText w:val="o"/>
      <w:lvlJc w:val="left"/>
      <w:pPr>
        <w:ind w:left="4048" w:hanging="360"/>
      </w:pPr>
      <w:rPr>
        <w:rFonts w:ascii="Courier New" w:hAnsi="Courier New" w:cs="Courier New" w:hint="default"/>
      </w:rPr>
    </w:lvl>
    <w:lvl w:ilvl="2" w:tplc="04090005" w:tentative="1">
      <w:start w:val="1"/>
      <w:numFmt w:val="bullet"/>
      <w:lvlText w:val=""/>
      <w:lvlJc w:val="left"/>
      <w:pPr>
        <w:ind w:left="4768" w:hanging="360"/>
      </w:pPr>
      <w:rPr>
        <w:rFonts w:ascii="Wingdings" w:hAnsi="Wingdings" w:hint="default"/>
      </w:rPr>
    </w:lvl>
    <w:lvl w:ilvl="3" w:tplc="04090001" w:tentative="1">
      <w:start w:val="1"/>
      <w:numFmt w:val="bullet"/>
      <w:lvlText w:val=""/>
      <w:lvlJc w:val="left"/>
      <w:pPr>
        <w:ind w:left="5488" w:hanging="360"/>
      </w:pPr>
      <w:rPr>
        <w:rFonts w:ascii="Symbol" w:hAnsi="Symbol" w:hint="default"/>
      </w:rPr>
    </w:lvl>
    <w:lvl w:ilvl="4" w:tplc="04090003" w:tentative="1">
      <w:start w:val="1"/>
      <w:numFmt w:val="bullet"/>
      <w:lvlText w:val="o"/>
      <w:lvlJc w:val="left"/>
      <w:pPr>
        <w:ind w:left="6208" w:hanging="360"/>
      </w:pPr>
      <w:rPr>
        <w:rFonts w:ascii="Courier New" w:hAnsi="Courier New" w:cs="Courier New" w:hint="default"/>
      </w:rPr>
    </w:lvl>
    <w:lvl w:ilvl="5" w:tplc="04090005" w:tentative="1">
      <w:start w:val="1"/>
      <w:numFmt w:val="bullet"/>
      <w:lvlText w:val=""/>
      <w:lvlJc w:val="left"/>
      <w:pPr>
        <w:ind w:left="6928" w:hanging="360"/>
      </w:pPr>
      <w:rPr>
        <w:rFonts w:ascii="Wingdings" w:hAnsi="Wingdings" w:hint="default"/>
      </w:rPr>
    </w:lvl>
    <w:lvl w:ilvl="6" w:tplc="04090001" w:tentative="1">
      <w:start w:val="1"/>
      <w:numFmt w:val="bullet"/>
      <w:lvlText w:val=""/>
      <w:lvlJc w:val="left"/>
      <w:pPr>
        <w:ind w:left="7648" w:hanging="360"/>
      </w:pPr>
      <w:rPr>
        <w:rFonts w:ascii="Symbol" w:hAnsi="Symbol" w:hint="default"/>
      </w:rPr>
    </w:lvl>
    <w:lvl w:ilvl="7" w:tplc="04090003" w:tentative="1">
      <w:start w:val="1"/>
      <w:numFmt w:val="bullet"/>
      <w:lvlText w:val="o"/>
      <w:lvlJc w:val="left"/>
      <w:pPr>
        <w:ind w:left="8368" w:hanging="360"/>
      </w:pPr>
      <w:rPr>
        <w:rFonts w:ascii="Courier New" w:hAnsi="Courier New" w:cs="Courier New" w:hint="default"/>
      </w:rPr>
    </w:lvl>
    <w:lvl w:ilvl="8" w:tplc="04090005" w:tentative="1">
      <w:start w:val="1"/>
      <w:numFmt w:val="bullet"/>
      <w:lvlText w:val=""/>
      <w:lvlJc w:val="left"/>
      <w:pPr>
        <w:ind w:left="9088" w:hanging="360"/>
      </w:pPr>
      <w:rPr>
        <w:rFonts w:ascii="Wingdings" w:hAnsi="Wingdings" w:hint="default"/>
      </w:rPr>
    </w:lvl>
  </w:abstractNum>
  <w:abstractNum w:abstractNumId="4" w15:restartNumberingAfterBreak="0">
    <w:nsid w:val="250A245F"/>
    <w:multiLevelType w:val="hybridMultilevel"/>
    <w:tmpl w:val="29E20A30"/>
    <w:lvl w:ilvl="0" w:tplc="1AF444CE">
      <w:start w:val="1"/>
      <w:numFmt w:val="decimal"/>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805051C"/>
    <w:multiLevelType w:val="hybridMultilevel"/>
    <w:tmpl w:val="D6480D34"/>
    <w:lvl w:ilvl="0" w:tplc="CDCEE7DA">
      <w:start w:val="1"/>
      <w:numFmt w:val="decimal"/>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6" w15:restartNumberingAfterBreak="0">
    <w:nsid w:val="282E1BA0"/>
    <w:multiLevelType w:val="hybridMultilevel"/>
    <w:tmpl w:val="EF3C6A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DF672C4"/>
    <w:multiLevelType w:val="hybridMultilevel"/>
    <w:tmpl w:val="587C00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2DE2AC5"/>
    <w:multiLevelType w:val="hybridMultilevel"/>
    <w:tmpl w:val="0E3EAF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9A6535"/>
    <w:multiLevelType w:val="hybridMultilevel"/>
    <w:tmpl w:val="3CB68362"/>
    <w:lvl w:ilvl="0" w:tplc="B2367048">
      <w:start w:val="1"/>
      <w:numFmt w:val="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10" w15:restartNumberingAfterBreak="0">
    <w:nsid w:val="41C1532F"/>
    <w:multiLevelType w:val="hybridMultilevel"/>
    <w:tmpl w:val="A7D654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4075B53"/>
    <w:multiLevelType w:val="hybridMultilevel"/>
    <w:tmpl w:val="A0DCA02E"/>
    <w:lvl w:ilvl="0" w:tplc="5CB0595C">
      <w:start w:val="1"/>
      <w:numFmt w:val="decimal"/>
      <w:lvlRestart w:val="0"/>
      <w:pStyle w:val="MDPI37itemize"/>
      <w:lvlText w:val="%1."/>
      <w:lvlJc w:val="left"/>
      <w:pPr>
        <w:ind w:left="3033" w:hanging="425"/>
      </w:pPr>
    </w:lvl>
    <w:lvl w:ilvl="1" w:tplc="04090019" w:tentative="1">
      <w:start w:val="1"/>
      <w:numFmt w:val="lowerLetter"/>
      <w:lvlText w:val="%2."/>
      <w:lvlJc w:val="left"/>
      <w:pPr>
        <w:ind w:left="3691" w:hanging="360"/>
      </w:pPr>
    </w:lvl>
    <w:lvl w:ilvl="2" w:tplc="0409001B" w:tentative="1">
      <w:start w:val="1"/>
      <w:numFmt w:val="lowerRoman"/>
      <w:lvlText w:val="%3."/>
      <w:lvlJc w:val="right"/>
      <w:pPr>
        <w:ind w:left="4411" w:hanging="180"/>
      </w:pPr>
    </w:lvl>
    <w:lvl w:ilvl="3" w:tplc="0409000F" w:tentative="1">
      <w:start w:val="1"/>
      <w:numFmt w:val="decimal"/>
      <w:lvlText w:val="%4."/>
      <w:lvlJc w:val="left"/>
      <w:pPr>
        <w:ind w:left="5131" w:hanging="360"/>
      </w:pPr>
    </w:lvl>
    <w:lvl w:ilvl="4" w:tplc="04090019" w:tentative="1">
      <w:start w:val="1"/>
      <w:numFmt w:val="lowerLetter"/>
      <w:lvlText w:val="%5."/>
      <w:lvlJc w:val="left"/>
      <w:pPr>
        <w:ind w:left="5851" w:hanging="360"/>
      </w:pPr>
    </w:lvl>
    <w:lvl w:ilvl="5" w:tplc="0409001B" w:tentative="1">
      <w:start w:val="1"/>
      <w:numFmt w:val="lowerRoman"/>
      <w:lvlText w:val="%6."/>
      <w:lvlJc w:val="right"/>
      <w:pPr>
        <w:ind w:left="6571" w:hanging="180"/>
      </w:pPr>
    </w:lvl>
    <w:lvl w:ilvl="6" w:tplc="0409000F" w:tentative="1">
      <w:start w:val="1"/>
      <w:numFmt w:val="decimal"/>
      <w:lvlText w:val="%7."/>
      <w:lvlJc w:val="left"/>
      <w:pPr>
        <w:ind w:left="7291" w:hanging="360"/>
      </w:pPr>
    </w:lvl>
    <w:lvl w:ilvl="7" w:tplc="04090019" w:tentative="1">
      <w:start w:val="1"/>
      <w:numFmt w:val="lowerLetter"/>
      <w:lvlText w:val="%8."/>
      <w:lvlJc w:val="left"/>
      <w:pPr>
        <w:ind w:left="8011" w:hanging="360"/>
      </w:pPr>
    </w:lvl>
    <w:lvl w:ilvl="8" w:tplc="0409001B" w:tentative="1">
      <w:start w:val="1"/>
      <w:numFmt w:val="lowerRoman"/>
      <w:lvlText w:val="%9."/>
      <w:lvlJc w:val="right"/>
      <w:pPr>
        <w:ind w:left="8731" w:hanging="180"/>
      </w:pPr>
    </w:lvl>
  </w:abstractNum>
  <w:abstractNum w:abstractNumId="12" w15:restartNumberingAfterBreak="0">
    <w:nsid w:val="56CF7C60"/>
    <w:multiLevelType w:val="hybridMultilevel"/>
    <w:tmpl w:val="BB52EB1E"/>
    <w:lvl w:ilvl="0" w:tplc="08086F0C">
      <w:start w:val="169"/>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13" w15:restartNumberingAfterBreak="0">
    <w:nsid w:val="706D5736"/>
    <w:multiLevelType w:val="hybridMultilevel"/>
    <w:tmpl w:val="E3640C5C"/>
    <w:lvl w:ilvl="0" w:tplc="0409000F">
      <w:start w:val="1"/>
      <w:numFmt w:val="decimal"/>
      <w:lvlText w:val="%1."/>
      <w:lvlJc w:val="left"/>
      <w:pPr>
        <w:ind w:left="1429" w:hanging="360"/>
      </w:pPr>
      <w:rPr>
        <w:rFonts w:hint="eastAsia"/>
      </w:r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14" w15:restartNumberingAfterBreak="0">
    <w:nsid w:val="718C4DEF"/>
    <w:multiLevelType w:val="hybridMultilevel"/>
    <w:tmpl w:val="2FE496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9"/>
  </w:num>
  <w:num w:numId="3">
    <w:abstractNumId w:val="4"/>
  </w:num>
  <w:num w:numId="4">
    <w:abstractNumId w:val="6"/>
  </w:num>
  <w:num w:numId="5">
    <w:abstractNumId w:val="11"/>
  </w:num>
  <w:num w:numId="6">
    <w:abstractNumId w:val="3"/>
  </w:num>
  <w:num w:numId="7">
    <w:abstractNumId w:val="11"/>
  </w:num>
  <w:num w:numId="8">
    <w:abstractNumId w:val="3"/>
  </w:num>
  <w:num w:numId="9">
    <w:abstractNumId w:val="11"/>
  </w:num>
  <w:num w:numId="10">
    <w:abstractNumId w:val="3"/>
  </w:num>
  <w:num w:numId="1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num>
  <w:num w:numId="13">
    <w:abstractNumId w:val="12"/>
  </w:num>
  <w:num w:numId="14">
    <w:abstractNumId w:val="13"/>
  </w:num>
  <w:num w:numId="15">
    <w:abstractNumId w:val="11"/>
  </w:num>
  <w:num w:numId="16">
    <w:abstractNumId w:val="3"/>
  </w:num>
  <w:num w:numId="17">
    <w:abstractNumId w:val="2"/>
  </w:num>
  <w:num w:numId="18">
    <w:abstractNumId w:val="11"/>
  </w:num>
  <w:num w:numId="19">
    <w:abstractNumId w:val="3"/>
  </w:num>
  <w:num w:numId="20">
    <w:abstractNumId w:val="8"/>
  </w:num>
  <w:num w:numId="21">
    <w:abstractNumId w:val="10"/>
  </w:num>
  <w:num w:numId="22">
    <w:abstractNumId w:val="14"/>
  </w:num>
  <w:num w:numId="23">
    <w:abstractNumId w:val="0"/>
  </w:num>
  <w:num w:numId="2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bordersDoNotSurroundHeader/>
  <w:bordersDoNotSurroundFooter/>
  <w:attachedTemplate r:id="rId1"/>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510"/>
  <w:autoHyphenation/>
  <w:hyphenationZone w:val="425"/>
  <w:drawingGridHorizontalSpacing w:val="100"/>
  <w:drawingGridVerticalSpacing w:val="163"/>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2BF"/>
    <w:rsid w:val="000201C6"/>
    <w:rsid w:val="000343C6"/>
    <w:rsid w:val="0003779D"/>
    <w:rsid w:val="000618E3"/>
    <w:rsid w:val="00072180"/>
    <w:rsid w:val="000818DB"/>
    <w:rsid w:val="00081DB1"/>
    <w:rsid w:val="000869B0"/>
    <w:rsid w:val="000919C1"/>
    <w:rsid w:val="00092C87"/>
    <w:rsid w:val="000A0D56"/>
    <w:rsid w:val="000A6F47"/>
    <w:rsid w:val="000B5AD9"/>
    <w:rsid w:val="000C31CB"/>
    <w:rsid w:val="000C73DC"/>
    <w:rsid w:val="000D4AE8"/>
    <w:rsid w:val="000D6839"/>
    <w:rsid w:val="000D753D"/>
    <w:rsid w:val="000E4B64"/>
    <w:rsid w:val="000E4CEE"/>
    <w:rsid w:val="000F0E63"/>
    <w:rsid w:val="00103E20"/>
    <w:rsid w:val="001059C9"/>
    <w:rsid w:val="0010704E"/>
    <w:rsid w:val="00110CC2"/>
    <w:rsid w:val="001139C1"/>
    <w:rsid w:val="00117915"/>
    <w:rsid w:val="00126C03"/>
    <w:rsid w:val="00135C67"/>
    <w:rsid w:val="001432AB"/>
    <w:rsid w:val="001475F2"/>
    <w:rsid w:val="00151C4F"/>
    <w:rsid w:val="0015315F"/>
    <w:rsid w:val="00154EE0"/>
    <w:rsid w:val="00177947"/>
    <w:rsid w:val="00186691"/>
    <w:rsid w:val="0019062B"/>
    <w:rsid w:val="001915CC"/>
    <w:rsid w:val="001A3DE7"/>
    <w:rsid w:val="001B645A"/>
    <w:rsid w:val="001C147B"/>
    <w:rsid w:val="001D0EB3"/>
    <w:rsid w:val="001E2AEB"/>
    <w:rsid w:val="001F7B9E"/>
    <w:rsid w:val="002026A3"/>
    <w:rsid w:val="00202CB4"/>
    <w:rsid w:val="002032BF"/>
    <w:rsid w:val="0022484A"/>
    <w:rsid w:val="002306B8"/>
    <w:rsid w:val="00232A00"/>
    <w:rsid w:val="002431C5"/>
    <w:rsid w:val="0025151C"/>
    <w:rsid w:val="00251A7B"/>
    <w:rsid w:val="00256FAB"/>
    <w:rsid w:val="00272F25"/>
    <w:rsid w:val="00287EBC"/>
    <w:rsid w:val="00292FBA"/>
    <w:rsid w:val="00293431"/>
    <w:rsid w:val="002A0D6E"/>
    <w:rsid w:val="002A4A67"/>
    <w:rsid w:val="002A6A68"/>
    <w:rsid w:val="002B5823"/>
    <w:rsid w:val="002C6CCD"/>
    <w:rsid w:val="002D78E7"/>
    <w:rsid w:val="002F4ADD"/>
    <w:rsid w:val="002F52FE"/>
    <w:rsid w:val="00306720"/>
    <w:rsid w:val="00307315"/>
    <w:rsid w:val="00316E1B"/>
    <w:rsid w:val="00326141"/>
    <w:rsid w:val="003271CA"/>
    <w:rsid w:val="0033025E"/>
    <w:rsid w:val="00337F7D"/>
    <w:rsid w:val="0035516B"/>
    <w:rsid w:val="003723F6"/>
    <w:rsid w:val="003734CA"/>
    <w:rsid w:val="00375BAA"/>
    <w:rsid w:val="00381AE7"/>
    <w:rsid w:val="00394E80"/>
    <w:rsid w:val="003A004E"/>
    <w:rsid w:val="003A2942"/>
    <w:rsid w:val="003A4425"/>
    <w:rsid w:val="003A55A8"/>
    <w:rsid w:val="003B0587"/>
    <w:rsid w:val="003C4C97"/>
    <w:rsid w:val="00401D30"/>
    <w:rsid w:val="00420E55"/>
    <w:rsid w:val="00434154"/>
    <w:rsid w:val="00437469"/>
    <w:rsid w:val="0043762F"/>
    <w:rsid w:val="0044756D"/>
    <w:rsid w:val="00451280"/>
    <w:rsid w:val="00462F8F"/>
    <w:rsid w:val="004648D4"/>
    <w:rsid w:val="00474A4D"/>
    <w:rsid w:val="004807A8"/>
    <w:rsid w:val="004809A1"/>
    <w:rsid w:val="004A61A6"/>
    <w:rsid w:val="004C7E01"/>
    <w:rsid w:val="004D3593"/>
    <w:rsid w:val="004E0105"/>
    <w:rsid w:val="004E6293"/>
    <w:rsid w:val="00513C95"/>
    <w:rsid w:val="005168F4"/>
    <w:rsid w:val="00520F9B"/>
    <w:rsid w:val="00534C4A"/>
    <w:rsid w:val="00535ADB"/>
    <w:rsid w:val="005373DD"/>
    <w:rsid w:val="005425B6"/>
    <w:rsid w:val="00547F78"/>
    <w:rsid w:val="0055583A"/>
    <w:rsid w:val="00557A2C"/>
    <w:rsid w:val="00576CD9"/>
    <w:rsid w:val="00596A63"/>
    <w:rsid w:val="005A0BED"/>
    <w:rsid w:val="005A2FC5"/>
    <w:rsid w:val="005B09A3"/>
    <w:rsid w:val="005C74C6"/>
    <w:rsid w:val="005E2B1B"/>
    <w:rsid w:val="005E6BE4"/>
    <w:rsid w:val="005F530C"/>
    <w:rsid w:val="00611407"/>
    <w:rsid w:val="00627D4F"/>
    <w:rsid w:val="0063570B"/>
    <w:rsid w:val="00655F37"/>
    <w:rsid w:val="00663EF4"/>
    <w:rsid w:val="006727FC"/>
    <w:rsid w:val="00676FEB"/>
    <w:rsid w:val="006837C3"/>
    <w:rsid w:val="00685CF9"/>
    <w:rsid w:val="00691364"/>
    <w:rsid w:val="00692393"/>
    <w:rsid w:val="0069273C"/>
    <w:rsid w:val="006A25D2"/>
    <w:rsid w:val="006B71A5"/>
    <w:rsid w:val="006D37E0"/>
    <w:rsid w:val="006D60C1"/>
    <w:rsid w:val="006D6CAB"/>
    <w:rsid w:val="006F7149"/>
    <w:rsid w:val="007346D0"/>
    <w:rsid w:val="00735EA3"/>
    <w:rsid w:val="00772FE5"/>
    <w:rsid w:val="00781B3F"/>
    <w:rsid w:val="007921DA"/>
    <w:rsid w:val="007A3557"/>
    <w:rsid w:val="007A54A4"/>
    <w:rsid w:val="007B0BFB"/>
    <w:rsid w:val="007C17C4"/>
    <w:rsid w:val="007D7642"/>
    <w:rsid w:val="007E04FB"/>
    <w:rsid w:val="007F6471"/>
    <w:rsid w:val="007F76FE"/>
    <w:rsid w:val="008040BE"/>
    <w:rsid w:val="00806778"/>
    <w:rsid w:val="00817FC9"/>
    <w:rsid w:val="00851EBD"/>
    <w:rsid w:val="00856EB5"/>
    <w:rsid w:val="00860B4C"/>
    <w:rsid w:val="00874B5B"/>
    <w:rsid w:val="008779BC"/>
    <w:rsid w:val="0089048D"/>
    <w:rsid w:val="008A3546"/>
    <w:rsid w:val="008A58E0"/>
    <w:rsid w:val="008A5BFD"/>
    <w:rsid w:val="008B0E4D"/>
    <w:rsid w:val="008B211F"/>
    <w:rsid w:val="008B2B6F"/>
    <w:rsid w:val="008C01A0"/>
    <w:rsid w:val="008C4D9A"/>
    <w:rsid w:val="008D036F"/>
    <w:rsid w:val="008D09DD"/>
    <w:rsid w:val="008F4843"/>
    <w:rsid w:val="00906F98"/>
    <w:rsid w:val="00914230"/>
    <w:rsid w:val="00914387"/>
    <w:rsid w:val="009242C0"/>
    <w:rsid w:val="00925B94"/>
    <w:rsid w:val="00926CFE"/>
    <w:rsid w:val="009279A2"/>
    <w:rsid w:val="009518B4"/>
    <w:rsid w:val="00953FA4"/>
    <w:rsid w:val="00963346"/>
    <w:rsid w:val="00964FB2"/>
    <w:rsid w:val="00993DF2"/>
    <w:rsid w:val="009A5A53"/>
    <w:rsid w:val="009A7C8B"/>
    <w:rsid w:val="009B0211"/>
    <w:rsid w:val="009B080B"/>
    <w:rsid w:val="009B3704"/>
    <w:rsid w:val="009D74AE"/>
    <w:rsid w:val="009E447E"/>
    <w:rsid w:val="009E733F"/>
    <w:rsid w:val="009F70E6"/>
    <w:rsid w:val="00A003FE"/>
    <w:rsid w:val="00A02616"/>
    <w:rsid w:val="00A026EB"/>
    <w:rsid w:val="00A040D1"/>
    <w:rsid w:val="00A06051"/>
    <w:rsid w:val="00A27B9E"/>
    <w:rsid w:val="00A453A4"/>
    <w:rsid w:val="00A47429"/>
    <w:rsid w:val="00A47FA0"/>
    <w:rsid w:val="00A53B15"/>
    <w:rsid w:val="00A54818"/>
    <w:rsid w:val="00A56CF6"/>
    <w:rsid w:val="00A70EAB"/>
    <w:rsid w:val="00A7198D"/>
    <w:rsid w:val="00A72D48"/>
    <w:rsid w:val="00A9329A"/>
    <w:rsid w:val="00AA4A0D"/>
    <w:rsid w:val="00AB4320"/>
    <w:rsid w:val="00AB68AF"/>
    <w:rsid w:val="00AC1C84"/>
    <w:rsid w:val="00AC2C4A"/>
    <w:rsid w:val="00AC5F82"/>
    <w:rsid w:val="00AD5F03"/>
    <w:rsid w:val="00AE1064"/>
    <w:rsid w:val="00AE48A6"/>
    <w:rsid w:val="00AF4AAA"/>
    <w:rsid w:val="00AF7CE2"/>
    <w:rsid w:val="00B005DB"/>
    <w:rsid w:val="00B00C21"/>
    <w:rsid w:val="00B11176"/>
    <w:rsid w:val="00B16352"/>
    <w:rsid w:val="00B16808"/>
    <w:rsid w:val="00B16EFC"/>
    <w:rsid w:val="00B20EED"/>
    <w:rsid w:val="00B21B6A"/>
    <w:rsid w:val="00B26679"/>
    <w:rsid w:val="00B3397D"/>
    <w:rsid w:val="00B43CFF"/>
    <w:rsid w:val="00B45C0F"/>
    <w:rsid w:val="00B63037"/>
    <w:rsid w:val="00B74A9D"/>
    <w:rsid w:val="00B874CF"/>
    <w:rsid w:val="00B904C6"/>
    <w:rsid w:val="00B94A81"/>
    <w:rsid w:val="00B9529E"/>
    <w:rsid w:val="00BB5186"/>
    <w:rsid w:val="00BD0BE9"/>
    <w:rsid w:val="00BF5C32"/>
    <w:rsid w:val="00C219DE"/>
    <w:rsid w:val="00C300DF"/>
    <w:rsid w:val="00C32442"/>
    <w:rsid w:val="00C343B1"/>
    <w:rsid w:val="00C34630"/>
    <w:rsid w:val="00C3657F"/>
    <w:rsid w:val="00C40546"/>
    <w:rsid w:val="00C44C10"/>
    <w:rsid w:val="00C6693A"/>
    <w:rsid w:val="00C7069C"/>
    <w:rsid w:val="00C770AD"/>
    <w:rsid w:val="00C862EE"/>
    <w:rsid w:val="00C90FA1"/>
    <w:rsid w:val="00C95410"/>
    <w:rsid w:val="00CA11A5"/>
    <w:rsid w:val="00CA391B"/>
    <w:rsid w:val="00CB247F"/>
    <w:rsid w:val="00CB5381"/>
    <w:rsid w:val="00CB5C68"/>
    <w:rsid w:val="00CD4EB1"/>
    <w:rsid w:val="00D0092E"/>
    <w:rsid w:val="00D06809"/>
    <w:rsid w:val="00D109C8"/>
    <w:rsid w:val="00D47808"/>
    <w:rsid w:val="00D52E07"/>
    <w:rsid w:val="00D66676"/>
    <w:rsid w:val="00D6737D"/>
    <w:rsid w:val="00D67A84"/>
    <w:rsid w:val="00D81694"/>
    <w:rsid w:val="00D822F6"/>
    <w:rsid w:val="00D9449D"/>
    <w:rsid w:val="00DA081A"/>
    <w:rsid w:val="00DA0C78"/>
    <w:rsid w:val="00DA4414"/>
    <w:rsid w:val="00DB76DB"/>
    <w:rsid w:val="00DE0861"/>
    <w:rsid w:val="00DE0EDB"/>
    <w:rsid w:val="00DE3283"/>
    <w:rsid w:val="00DE4DB2"/>
    <w:rsid w:val="00DF17F8"/>
    <w:rsid w:val="00E13705"/>
    <w:rsid w:val="00E2144B"/>
    <w:rsid w:val="00E21B5D"/>
    <w:rsid w:val="00E22625"/>
    <w:rsid w:val="00E317F8"/>
    <w:rsid w:val="00E521BD"/>
    <w:rsid w:val="00E75897"/>
    <w:rsid w:val="00E86417"/>
    <w:rsid w:val="00E95160"/>
    <w:rsid w:val="00EA7DEC"/>
    <w:rsid w:val="00EB568B"/>
    <w:rsid w:val="00EB6B96"/>
    <w:rsid w:val="00EB6F89"/>
    <w:rsid w:val="00EC2D4D"/>
    <w:rsid w:val="00EE7607"/>
    <w:rsid w:val="00EF4716"/>
    <w:rsid w:val="00F06986"/>
    <w:rsid w:val="00F17E93"/>
    <w:rsid w:val="00F22713"/>
    <w:rsid w:val="00F5117F"/>
    <w:rsid w:val="00F528E5"/>
    <w:rsid w:val="00F5612F"/>
    <w:rsid w:val="00F67A1D"/>
    <w:rsid w:val="00F71A8C"/>
    <w:rsid w:val="00F83F87"/>
    <w:rsid w:val="00F90736"/>
    <w:rsid w:val="00F928FD"/>
    <w:rsid w:val="00FA7504"/>
    <w:rsid w:val="00FB2D45"/>
    <w:rsid w:val="00FB72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857F5E"/>
  <w15:chartTrackingRefBased/>
  <w15:docId w15:val="{AC061CBA-4577-4A3A-ACC2-406E86D951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D6839"/>
    <w:pPr>
      <w:spacing w:line="260" w:lineRule="atLeast"/>
      <w:jc w:val="both"/>
    </w:pPr>
    <w:rPr>
      <w:rFonts w:ascii="Palatino Linotype" w:hAnsi="Palatino Linotype"/>
      <w:noProof/>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DPI11articletype">
    <w:name w:val="MDPI_1.1_article_type"/>
    <w:next w:val="Normal"/>
    <w:qFormat/>
    <w:rsid w:val="000A0D56"/>
    <w:pPr>
      <w:adjustRightInd w:val="0"/>
      <w:snapToGrid w:val="0"/>
      <w:spacing w:before="240"/>
    </w:pPr>
    <w:rPr>
      <w:rFonts w:ascii="Palatino Linotype" w:eastAsia="Times New Roman" w:hAnsi="Palatino Linotype"/>
      <w:i/>
      <w:snapToGrid w:val="0"/>
      <w:color w:val="000000"/>
      <w:szCs w:val="22"/>
      <w:lang w:eastAsia="de-DE" w:bidi="en-US"/>
    </w:rPr>
  </w:style>
  <w:style w:type="paragraph" w:customStyle="1" w:styleId="MDPI12title">
    <w:name w:val="MDPI_1.2_title"/>
    <w:next w:val="Normal"/>
    <w:qFormat/>
    <w:rsid w:val="000A0D56"/>
    <w:pPr>
      <w:adjustRightInd w:val="0"/>
      <w:snapToGrid w:val="0"/>
      <w:spacing w:after="240" w:line="240" w:lineRule="atLeast"/>
    </w:pPr>
    <w:rPr>
      <w:rFonts w:ascii="Palatino Linotype" w:eastAsia="Times New Roman" w:hAnsi="Palatino Linotype"/>
      <w:b/>
      <w:snapToGrid w:val="0"/>
      <w:color w:val="000000"/>
      <w:sz w:val="36"/>
      <w:lang w:eastAsia="de-DE" w:bidi="en-US"/>
    </w:rPr>
  </w:style>
  <w:style w:type="paragraph" w:customStyle="1" w:styleId="MDPI13authornames">
    <w:name w:val="MDPI_1.3_authornames"/>
    <w:next w:val="Normal"/>
    <w:qFormat/>
    <w:rsid w:val="000A0D56"/>
    <w:pPr>
      <w:adjustRightInd w:val="0"/>
      <w:snapToGrid w:val="0"/>
      <w:spacing w:after="360" w:line="260" w:lineRule="atLeast"/>
    </w:pPr>
    <w:rPr>
      <w:rFonts w:ascii="Palatino Linotype" w:eastAsia="Times New Roman" w:hAnsi="Palatino Linotype"/>
      <w:b/>
      <w:color w:val="000000"/>
      <w:szCs w:val="22"/>
      <w:lang w:eastAsia="de-DE" w:bidi="en-US"/>
    </w:rPr>
  </w:style>
  <w:style w:type="paragraph" w:customStyle="1" w:styleId="MDPI14history">
    <w:name w:val="MDPI_1.4_history"/>
    <w:basedOn w:val="Normal"/>
    <w:next w:val="Normal"/>
    <w:qFormat/>
    <w:rsid w:val="000A0D56"/>
    <w:pPr>
      <w:adjustRightInd w:val="0"/>
      <w:snapToGrid w:val="0"/>
      <w:spacing w:line="240" w:lineRule="atLeast"/>
      <w:ind w:right="113"/>
      <w:jc w:val="left"/>
    </w:pPr>
    <w:rPr>
      <w:rFonts w:eastAsia="Times New Roman"/>
      <w:noProof w:val="0"/>
      <w:sz w:val="14"/>
      <w:lang w:eastAsia="de-DE" w:bidi="en-US"/>
    </w:rPr>
  </w:style>
  <w:style w:type="paragraph" w:customStyle="1" w:styleId="MDPI16affiliation">
    <w:name w:val="MDPI_1.6_affiliation"/>
    <w:qFormat/>
    <w:rsid w:val="000A0D56"/>
    <w:pPr>
      <w:adjustRightInd w:val="0"/>
      <w:snapToGrid w:val="0"/>
      <w:spacing w:line="200" w:lineRule="atLeast"/>
      <w:ind w:left="2806" w:hanging="198"/>
    </w:pPr>
    <w:rPr>
      <w:rFonts w:ascii="Palatino Linotype" w:eastAsia="Times New Roman" w:hAnsi="Palatino Linotype"/>
      <w:color w:val="000000"/>
      <w:sz w:val="16"/>
      <w:szCs w:val="18"/>
      <w:lang w:eastAsia="de-DE" w:bidi="en-US"/>
    </w:rPr>
  </w:style>
  <w:style w:type="paragraph" w:customStyle="1" w:styleId="MDPI17abstract">
    <w:name w:val="MDPI_1.7_abstract"/>
    <w:next w:val="Normal"/>
    <w:qFormat/>
    <w:rsid w:val="000A0D56"/>
    <w:pPr>
      <w:adjustRightInd w:val="0"/>
      <w:snapToGrid w:val="0"/>
      <w:spacing w:before="240" w:line="260" w:lineRule="atLeast"/>
      <w:ind w:left="2608"/>
      <w:jc w:val="both"/>
    </w:pPr>
    <w:rPr>
      <w:rFonts w:ascii="Palatino Linotype" w:eastAsia="Times New Roman" w:hAnsi="Palatino Linotype"/>
      <w:color w:val="000000"/>
      <w:sz w:val="18"/>
      <w:szCs w:val="22"/>
      <w:lang w:eastAsia="de-DE" w:bidi="en-US"/>
    </w:rPr>
  </w:style>
  <w:style w:type="paragraph" w:customStyle="1" w:styleId="MDPI18keywords">
    <w:name w:val="MDPI_1.8_keywords"/>
    <w:next w:val="Normal"/>
    <w:qFormat/>
    <w:rsid w:val="000A0D56"/>
    <w:pPr>
      <w:adjustRightInd w:val="0"/>
      <w:snapToGrid w:val="0"/>
      <w:spacing w:before="240" w:line="260" w:lineRule="atLeast"/>
      <w:ind w:left="2608"/>
      <w:jc w:val="both"/>
    </w:pPr>
    <w:rPr>
      <w:rFonts w:ascii="Palatino Linotype" w:eastAsia="Times New Roman" w:hAnsi="Palatino Linotype"/>
      <w:snapToGrid w:val="0"/>
      <w:color w:val="000000"/>
      <w:sz w:val="18"/>
      <w:szCs w:val="22"/>
      <w:lang w:eastAsia="de-DE" w:bidi="en-US"/>
    </w:rPr>
  </w:style>
  <w:style w:type="paragraph" w:customStyle="1" w:styleId="MDPI19line">
    <w:name w:val="MDPI_1.9_line"/>
    <w:qFormat/>
    <w:rsid w:val="000A0D56"/>
    <w:pPr>
      <w:pBdr>
        <w:bottom w:val="single" w:sz="6" w:space="1" w:color="auto"/>
      </w:pBdr>
      <w:adjustRightInd w:val="0"/>
      <w:snapToGrid w:val="0"/>
      <w:spacing w:after="480" w:line="260" w:lineRule="atLeast"/>
      <w:ind w:left="2608"/>
      <w:jc w:val="both"/>
    </w:pPr>
    <w:rPr>
      <w:rFonts w:ascii="Palatino Linotype" w:eastAsia="Times New Roman" w:hAnsi="Palatino Linotype" w:cs="Cordia New"/>
      <w:color w:val="000000"/>
      <w:szCs w:val="24"/>
      <w:lang w:eastAsia="de-DE" w:bidi="en-US"/>
    </w:rPr>
  </w:style>
  <w:style w:type="table" w:customStyle="1" w:styleId="Mdeck5tablebodythreelines">
    <w:name w:val="M_deck_5_table_body_three_lines"/>
    <w:basedOn w:val="TableNormal"/>
    <w:uiPriority w:val="99"/>
    <w:rsid w:val="003A55A8"/>
    <w:pPr>
      <w:adjustRightInd w:val="0"/>
      <w:snapToGrid w:val="0"/>
      <w:spacing w:line="300" w:lineRule="exact"/>
      <w:jc w:val="center"/>
    </w:pPr>
    <w:rPr>
      <w:rFonts w:ascii="Times New Roman" w:hAnsi="Times New Roman"/>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table" w:styleId="TableGrid">
    <w:name w:val="Table Grid"/>
    <w:basedOn w:val="TableNormal"/>
    <w:uiPriority w:val="59"/>
    <w:rsid w:val="000D6839"/>
    <w:pPr>
      <w:spacing w:line="260" w:lineRule="atLeast"/>
      <w:jc w:val="both"/>
    </w:pPr>
    <w:rPr>
      <w:rFonts w:ascii="Palatino Linotype" w:hAnsi="Palatino Linotype"/>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0D6839"/>
    <w:pPr>
      <w:tabs>
        <w:tab w:val="center" w:pos="4153"/>
        <w:tab w:val="right" w:pos="8306"/>
      </w:tabs>
      <w:snapToGrid w:val="0"/>
      <w:spacing w:line="240" w:lineRule="atLeast"/>
    </w:pPr>
    <w:rPr>
      <w:szCs w:val="18"/>
    </w:rPr>
  </w:style>
  <w:style w:type="character" w:customStyle="1" w:styleId="FooterChar">
    <w:name w:val="Footer Char"/>
    <w:link w:val="Footer"/>
    <w:uiPriority w:val="99"/>
    <w:rsid w:val="000D6839"/>
    <w:rPr>
      <w:rFonts w:ascii="Palatino Linotype" w:hAnsi="Palatino Linotype"/>
      <w:noProof/>
      <w:color w:val="000000"/>
      <w:szCs w:val="18"/>
    </w:rPr>
  </w:style>
  <w:style w:type="paragraph" w:styleId="Header">
    <w:name w:val="header"/>
    <w:basedOn w:val="Normal"/>
    <w:link w:val="HeaderChar"/>
    <w:uiPriority w:val="99"/>
    <w:rsid w:val="000D6839"/>
    <w:pPr>
      <w:pBdr>
        <w:bottom w:val="single" w:sz="6" w:space="1" w:color="auto"/>
      </w:pBdr>
      <w:tabs>
        <w:tab w:val="center" w:pos="4153"/>
        <w:tab w:val="right" w:pos="8306"/>
      </w:tabs>
      <w:snapToGrid w:val="0"/>
      <w:spacing w:line="240" w:lineRule="atLeast"/>
      <w:jc w:val="center"/>
    </w:pPr>
    <w:rPr>
      <w:szCs w:val="18"/>
    </w:rPr>
  </w:style>
  <w:style w:type="character" w:customStyle="1" w:styleId="HeaderChar">
    <w:name w:val="Header Char"/>
    <w:link w:val="Header"/>
    <w:uiPriority w:val="99"/>
    <w:rsid w:val="000D6839"/>
    <w:rPr>
      <w:rFonts w:ascii="Palatino Linotype" w:hAnsi="Palatino Linotype"/>
      <w:noProof/>
      <w:color w:val="000000"/>
      <w:szCs w:val="18"/>
    </w:rPr>
  </w:style>
  <w:style w:type="paragraph" w:customStyle="1" w:styleId="MDPIheaderjournallogo">
    <w:name w:val="MDPI_header_journal_logo"/>
    <w:qFormat/>
    <w:rsid w:val="000A0D56"/>
    <w:pPr>
      <w:adjustRightInd w:val="0"/>
      <w:snapToGrid w:val="0"/>
      <w:spacing w:line="260" w:lineRule="atLeast"/>
      <w:jc w:val="both"/>
    </w:pPr>
    <w:rPr>
      <w:rFonts w:ascii="Palatino Linotype" w:eastAsia="Times New Roman" w:hAnsi="Palatino Linotype"/>
      <w:i/>
      <w:color w:val="000000"/>
      <w:sz w:val="24"/>
      <w:szCs w:val="22"/>
      <w:lang w:eastAsia="de-CH"/>
    </w:rPr>
  </w:style>
  <w:style w:type="paragraph" w:customStyle="1" w:styleId="MDPI32textnoindent">
    <w:name w:val="MDPI_3.2_text_no_indent"/>
    <w:basedOn w:val="MDPI31text"/>
    <w:qFormat/>
    <w:rsid w:val="000A0D56"/>
    <w:pPr>
      <w:ind w:firstLine="0"/>
    </w:pPr>
  </w:style>
  <w:style w:type="paragraph" w:customStyle="1" w:styleId="MDPI31text">
    <w:name w:val="MDPI_3.1_text"/>
    <w:qFormat/>
    <w:rsid w:val="000A0D56"/>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3textspaceafter">
    <w:name w:val="MDPI_3.3_text_space_after"/>
    <w:qFormat/>
    <w:rsid w:val="000A0D56"/>
    <w:pPr>
      <w:adjustRightInd w:val="0"/>
      <w:snapToGrid w:val="0"/>
      <w:spacing w:after="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4textspacebefore">
    <w:name w:val="MDPI_3.4_text_space_before"/>
    <w:qFormat/>
    <w:rsid w:val="000A0D56"/>
    <w:pPr>
      <w:adjustRightInd w:val="0"/>
      <w:snapToGrid w:val="0"/>
      <w:spacing w:before="24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5textbeforelist">
    <w:name w:val="MDPI_3.5_text_before_list"/>
    <w:qFormat/>
    <w:rsid w:val="000A0D56"/>
    <w:pPr>
      <w:adjustRightInd w:val="0"/>
      <w:snapToGrid w:val="0"/>
      <w:spacing w:line="228" w:lineRule="auto"/>
      <w:ind w:left="2608" w:firstLine="425"/>
      <w:jc w:val="both"/>
    </w:pPr>
    <w:rPr>
      <w:rFonts w:ascii="Palatino Linotype" w:eastAsia="Times New Roman" w:hAnsi="Palatino Linotype"/>
      <w:snapToGrid w:val="0"/>
      <w:color w:val="000000"/>
      <w:szCs w:val="22"/>
      <w:lang w:eastAsia="de-DE" w:bidi="en-US"/>
    </w:rPr>
  </w:style>
  <w:style w:type="paragraph" w:customStyle="1" w:styleId="MDPI36textafterlist">
    <w:name w:val="MDPI_3.6_text_after_list"/>
    <w:qFormat/>
    <w:rsid w:val="000A0D56"/>
    <w:pPr>
      <w:adjustRightInd w:val="0"/>
      <w:snapToGrid w:val="0"/>
      <w:spacing w:before="120"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37itemize">
    <w:name w:val="MDPI_3.7_itemize"/>
    <w:qFormat/>
    <w:rsid w:val="000A0D56"/>
    <w:pPr>
      <w:numPr>
        <w:numId w:val="18"/>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8bullet">
    <w:name w:val="MDPI_3.8_bullet"/>
    <w:qFormat/>
    <w:rsid w:val="000A0D56"/>
    <w:pPr>
      <w:numPr>
        <w:numId w:val="19"/>
      </w:numPr>
      <w:adjustRightInd w:val="0"/>
      <w:snapToGrid w:val="0"/>
      <w:spacing w:line="228" w:lineRule="auto"/>
      <w:jc w:val="both"/>
    </w:pPr>
    <w:rPr>
      <w:rFonts w:ascii="Palatino Linotype" w:eastAsia="Times New Roman" w:hAnsi="Palatino Linotype"/>
      <w:color w:val="000000"/>
      <w:szCs w:val="22"/>
      <w:lang w:eastAsia="de-DE" w:bidi="en-US"/>
    </w:rPr>
  </w:style>
  <w:style w:type="paragraph" w:customStyle="1" w:styleId="MDPI39equation">
    <w:name w:val="MDPI_3.9_equation"/>
    <w:qFormat/>
    <w:rsid w:val="000A0D56"/>
    <w:pPr>
      <w:adjustRightInd w:val="0"/>
      <w:snapToGrid w:val="0"/>
      <w:spacing w:before="120" w:after="120" w:line="260" w:lineRule="atLeast"/>
      <w:ind w:left="709"/>
      <w:jc w:val="center"/>
    </w:pPr>
    <w:rPr>
      <w:rFonts w:ascii="Palatino Linotype" w:eastAsia="Times New Roman" w:hAnsi="Palatino Linotype"/>
      <w:snapToGrid w:val="0"/>
      <w:color w:val="000000"/>
      <w:szCs w:val="22"/>
      <w:lang w:eastAsia="de-DE" w:bidi="en-US"/>
    </w:rPr>
  </w:style>
  <w:style w:type="paragraph" w:customStyle="1" w:styleId="MDPI3aequationnumber">
    <w:name w:val="MDPI_3.a_equation_number"/>
    <w:qFormat/>
    <w:rsid w:val="000A0D56"/>
    <w:pPr>
      <w:spacing w:before="120" w:after="120"/>
      <w:jc w:val="right"/>
    </w:pPr>
    <w:rPr>
      <w:rFonts w:ascii="Palatino Linotype" w:eastAsia="Times New Roman" w:hAnsi="Palatino Linotype"/>
      <w:snapToGrid w:val="0"/>
      <w:color w:val="000000"/>
      <w:szCs w:val="22"/>
      <w:lang w:eastAsia="de-DE" w:bidi="en-US"/>
    </w:rPr>
  </w:style>
  <w:style w:type="paragraph" w:customStyle="1" w:styleId="MDPI41tablecaption">
    <w:name w:val="MDPI_4.1_table_caption"/>
    <w:qFormat/>
    <w:rsid w:val="000A0D56"/>
    <w:pPr>
      <w:adjustRightInd w:val="0"/>
      <w:snapToGrid w:val="0"/>
      <w:spacing w:before="240" w:after="120" w:line="228" w:lineRule="auto"/>
      <w:ind w:left="2608"/>
    </w:pPr>
    <w:rPr>
      <w:rFonts w:ascii="Palatino Linotype" w:eastAsia="Times New Roman" w:hAnsi="Palatino Linotype" w:cstheme="minorBidi"/>
      <w:color w:val="000000"/>
      <w:sz w:val="18"/>
      <w:szCs w:val="22"/>
      <w:lang w:eastAsia="de-DE" w:bidi="en-US"/>
    </w:rPr>
  </w:style>
  <w:style w:type="paragraph" w:customStyle="1" w:styleId="MDPI42tablebody">
    <w:name w:val="MDPI_4.2_table_body"/>
    <w:qFormat/>
    <w:rsid w:val="000A0D56"/>
    <w:pPr>
      <w:adjustRightInd w:val="0"/>
      <w:snapToGrid w:val="0"/>
      <w:jc w:val="center"/>
    </w:pPr>
    <w:rPr>
      <w:rFonts w:ascii="Palatino Linotype" w:eastAsia="Times New Roman" w:hAnsi="Palatino Linotype"/>
      <w:snapToGrid w:val="0"/>
      <w:color w:val="000000"/>
      <w:lang w:eastAsia="de-DE" w:bidi="en-US"/>
    </w:rPr>
  </w:style>
  <w:style w:type="paragraph" w:customStyle="1" w:styleId="MDPI43tablefooter">
    <w:name w:val="MDPI_4.3_table_footer"/>
    <w:next w:val="MDPI31text"/>
    <w:qFormat/>
    <w:rsid w:val="000A0D56"/>
    <w:pPr>
      <w:adjustRightInd w:val="0"/>
      <w:snapToGrid w:val="0"/>
      <w:spacing w:after="240" w:line="228" w:lineRule="auto"/>
      <w:ind w:left="2608"/>
    </w:pPr>
    <w:rPr>
      <w:rFonts w:ascii="Palatino Linotype" w:eastAsia="Times New Roman" w:hAnsi="Palatino Linotype" w:cs="Cordia New"/>
      <w:color w:val="000000"/>
      <w:sz w:val="18"/>
      <w:szCs w:val="22"/>
      <w:lang w:eastAsia="de-DE" w:bidi="en-US"/>
    </w:rPr>
  </w:style>
  <w:style w:type="paragraph" w:customStyle="1" w:styleId="MDPI51figurecaption">
    <w:name w:val="MDPI_5.1_figure_caption"/>
    <w:qFormat/>
    <w:rsid w:val="000A0D56"/>
    <w:pPr>
      <w:adjustRightInd w:val="0"/>
      <w:snapToGrid w:val="0"/>
      <w:spacing w:before="120" w:after="240" w:line="228" w:lineRule="auto"/>
      <w:ind w:left="2608"/>
    </w:pPr>
    <w:rPr>
      <w:rFonts w:ascii="Palatino Linotype" w:eastAsia="Times New Roman" w:hAnsi="Palatino Linotype"/>
      <w:color w:val="000000"/>
      <w:sz w:val="18"/>
      <w:lang w:eastAsia="de-DE" w:bidi="en-US"/>
    </w:rPr>
  </w:style>
  <w:style w:type="paragraph" w:customStyle="1" w:styleId="MDPI52figure">
    <w:name w:val="MDPI_5.2_figure"/>
    <w:qFormat/>
    <w:rsid w:val="000A0D56"/>
    <w:pPr>
      <w:adjustRightInd w:val="0"/>
      <w:snapToGrid w:val="0"/>
      <w:spacing w:before="240" w:after="120"/>
      <w:jc w:val="center"/>
    </w:pPr>
    <w:rPr>
      <w:rFonts w:ascii="Palatino Linotype" w:eastAsia="Times New Roman" w:hAnsi="Palatino Linotype"/>
      <w:snapToGrid w:val="0"/>
      <w:color w:val="000000"/>
      <w:lang w:eastAsia="de-DE" w:bidi="en-US"/>
    </w:rPr>
  </w:style>
  <w:style w:type="paragraph" w:customStyle="1" w:styleId="MDPI81theorem">
    <w:name w:val="MDPI_8.1_theorem"/>
    <w:qFormat/>
    <w:rsid w:val="000A0D56"/>
    <w:pPr>
      <w:adjustRightInd w:val="0"/>
      <w:snapToGrid w:val="0"/>
      <w:spacing w:line="228" w:lineRule="auto"/>
      <w:ind w:left="2608"/>
      <w:jc w:val="both"/>
    </w:pPr>
    <w:rPr>
      <w:rFonts w:ascii="Palatino Linotype" w:eastAsia="Times New Roman" w:hAnsi="Palatino Linotype"/>
      <w:i/>
      <w:snapToGrid w:val="0"/>
      <w:color w:val="000000"/>
      <w:szCs w:val="22"/>
      <w:lang w:eastAsia="de-DE" w:bidi="en-US"/>
    </w:rPr>
  </w:style>
  <w:style w:type="paragraph" w:customStyle="1" w:styleId="MDPI82proof">
    <w:name w:val="MDPI_8.2_proof"/>
    <w:qFormat/>
    <w:rsid w:val="000A0D56"/>
    <w:pPr>
      <w:adjustRightInd w:val="0"/>
      <w:snapToGrid w:val="0"/>
      <w:spacing w:line="228" w:lineRule="auto"/>
      <w:ind w:left="2608"/>
      <w:jc w:val="both"/>
    </w:pPr>
    <w:rPr>
      <w:rFonts w:ascii="Palatino Linotype" w:eastAsia="Times New Roman" w:hAnsi="Palatino Linotype"/>
      <w:snapToGrid w:val="0"/>
      <w:color w:val="000000"/>
      <w:szCs w:val="22"/>
      <w:lang w:eastAsia="de-DE" w:bidi="en-US"/>
    </w:rPr>
  </w:style>
  <w:style w:type="paragraph" w:customStyle="1" w:styleId="MDPIfooterfirstpage">
    <w:name w:val="MDPI_footer_firstpage"/>
    <w:qFormat/>
    <w:rsid w:val="000A0D56"/>
    <w:pPr>
      <w:tabs>
        <w:tab w:val="right" w:pos="8845"/>
      </w:tabs>
      <w:spacing w:line="160" w:lineRule="exact"/>
    </w:pPr>
    <w:rPr>
      <w:rFonts w:ascii="Palatino Linotype" w:eastAsia="Times New Roman" w:hAnsi="Palatino Linotype"/>
      <w:color w:val="000000"/>
      <w:sz w:val="16"/>
      <w:lang w:eastAsia="de-DE"/>
    </w:rPr>
  </w:style>
  <w:style w:type="paragraph" w:customStyle="1" w:styleId="MDPI23heading3">
    <w:name w:val="MDPI_2.3_heading3"/>
    <w:qFormat/>
    <w:rsid w:val="000A0D56"/>
    <w:pPr>
      <w:adjustRightInd w:val="0"/>
      <w:snapToGrid w:val="0"/>
      <w:spacing w:before="60" w:after="60" w:line="228" w:lineRule="auto"/>
      <w:ind w:left="2608"/>
      <w:outlineLvl w:val="2"/>
    </w:pPr>
    <w:rPr>
      <w:rFonts w:ascii="Palatino Linotype" w:eastAsia="Times New Roman" w:hAnsi="Palatino Linotype"/>
      <w:snapToGrid w:val="0"/>
      <w:color w:val="000000"/>
      <w:szCs w:val="22"/>
      <w:lang w:eastAsia="de-DE" w:bidi="en-US"/>
    </w:rPr>
  </w:style>
  <w:style w:type="paragraph" w:customStyle="1" w:styleId="MDPI21heading1">
    <w:name w:val="MDPI_2.1_heading1"/>
    <w:qFormat/>
    <w:rsid w:val="000A0D56"/>
    <w:pPr>
      <w:adjustRightInd w:val="0"/>
      <w:snapToGrid w:val="0"/>
      <w:spacing w:before="240" w:after="60" w:line="228" w:lineRule="auto"/>
      <w:ind w:left="2608"/>
      <w:outlineLvl w:val="0"/>
    </w:pPr>
    <w:rPr>
      <w:rFonts w:ascii="Palatino Linotype" w:eastAsia="Times New Roman" w:hAnsi="Palatino Linotype"/>
      <w:b/>
      <w:snapToGrid w:val="0"/>
      <w:color w:val="000000"/>
      <w:szCs w:val="22"/>
      <w:lang w:eastAsia="de-DE" w:bidi="en-US"/>
    </w:rPr>
  </w:style>
  <w:style w:type="paragraph" w:customStyle="1" w:styleId="MDPI22heading2">
    <w:name w:val="MDPI_2.2_heading2"/>
    <w:qFormat/>
    <w:rsid w:val="000A0D56"/>
    <w:pPr>
      <w:adjustRightInd w:val="0"/>
      <w:snapToGrid w:val="0"/>
      <w:spacing w:before="60" w:after="60" w:line="228" w:lineRule="auto"/>
      <w:ind w:left="2608"/>
      <w:outlineLvl w:val="1"/>
    </w:pPr>
    <w:rPr>
      <w:rFonts w:ascii="Palatino Linotype" w:eastAsia="Times New Roman" w:hAnsi="Palatino Linotype"/>
      <w:i/>
      <w:noProof/>
      <w:snapToGrid w:val="0"/>
      <w:color w:val="000000"/>
      <w:szCs w:val="22"/>
      <w:lang w:eastAsia="de-DE" w:bidi="en-US"/>
    </w:rPr>
  </w:style>
  <w:style w:type="paragraph" w:customStyle="1" w:styleId="MDPI71References">
    <w:name w:val="MDPI_7.1_References"/>
    <w:qFormat/>
    <w:rsid w:val="000A0D56"/>
    <w:pPr>
      <w:adjustRightInd w:val="0"/>
      <w:snapToGrid w:val="0"/>
      <w:spacing w:line="228" w:lineRule="auto"/>
      <w:ind w:left="425" w:hanging="425"/>
      <w:jc w:val="both"/>
    </w:pPr>
    <w:rPr>
      <w:rFonts w:ascii="Palatino Linotype" w:eastAsia="Times New Roman" w:hAnsi="Palatino Linotype"/>
      <w:color w:val="000000"/>
      <w:sz w:val="18"/>
      <w:lang w:eastAsia="de-DE" w:bidi="en-US"/>
    </w:rPr>
  </w:style>
  <w:style w:type="paragraph" w:styleId="BalloonText">
    <w:name w:val="Balloon Text"/>
    <w:basedOn w:val="Normal"/>
    <w:link w:val="BalloonTextChar"/>
    <w:uiPriority w:val="99"/>
    <w:rsid w:val="000D6839"/>
    <w:rPr>
      <w:rFonts w:cs="Tahoma"/>
      <w:szCs w:val="18"/>
    </w:rPr>
  </w:style>
  <w:style w:type="character" w:customStyle="1" w:styleId="BalloonTextChar">
    <w:name w:val="Balloon Text Char"/>
    <w:link w:val="BalloonText"/>
    <w:uiPriority w:val="99"/>
    <w:rsid w:val="000D6839"/>
    <w:rPr>
      <w:rFonts w:ascii="Palatino Linotype" w:hAnsi="Palatino Linotype" w:cs="Tahoma"/>
      <w:noProof/>
      <w:color w:val="000000"/>
      <w:szCs w:val="18"/>
    </w:rPr>
  </w:style>
  <w:style w:type="character" w:styleId="LineNumber">
    <w:name w:val="line number"/>
    <w:uiPriority w:val="99"/>
    <w:rsid w:val="00C343B1"/>
    <w:rPr>
      <w:rFonts w:ascii="Palatino Linotype" w:hAnsi="Palatino Linotype"/>
      <w:sz w:val="16"/>
    </w:rPr>
  </w:style>
  <w:style w:type="table" w:customStyle="1" w:styleId="MDPI41threelinetable">
    <w:name w:val="MDPI_4.1_three_line_table"/>
    <w:basedOn w:val="TableNormal"/>
    <w:uiPriority w:val="99"/>
    <w:rsid w:val="000A0D56"/>
    <w:pPr>
      <w:adjustRightInd w:val="0"/>
      <w:snapToGrid w:val="0"/>
      <w:jc w:val="center"/>
    </w:pPr>
    <w:rPr>
      <w:rFonts w:ascii="Palatino Linotype" w:eastAsiaTheme="minorEastAsia" w:hAnsi="Palatino Linotype"/>
      <w:color w:val="000000"/>
    </w:r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character" w:styleId="Hyperlink">
    <w:name w:val="Hyperlink"/>
    <w:uiPriority w:val="99"/>
    <w:rsid w:val="000D6839"/>
    <w:rPr>
      <w:color w:val="0000FF"/>
      <w:u w:val="single"/>
    </w:rPr>
  </w:style>
  <w:style w:type="character" w:customStyle="1" w:styleId="UnresolvedMention1">
    <w:name w:val="Unresolved Mention1"/>
    <w:uiPriority w:val="99"/>
    <w:semiHidden/>
    <w:unhideWhenUsed/>
    <w:rsid w:val="00963346"/>
    <w:rPr>
      <w:color w:val="605E5C"/>
      <w:shd w:val="clear" w:color="auto" w:fill="E1DFDD"/>
    </w:rPr>
  </w:style>
  <w:style w:type="table" w:styleId="PlainTable4">
    <w:name w:val="Plain Table 4"/>
    <w:basedOn w:val="TableNormal"/>
    <w:uiPriority w:val="44"/>
    <w:rsid w:val="00F71A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MDPI61Citation">
    <w:name w:val="MDPI_6.1_Citation"/>
    <w:qFormat/>
    <w:rsid w:val="000A0D56"/>
    <w:pPr>
      <w:adjustRightInd w:val="0"/>
      <w:snapToGrid w:val="0"/>
      <w:spacing w:line="240" w:lineRule="atLeast"/>
      <w:ind w:right="113"/>
    </w:pPr>
    <w:rPr>
      <w:rFonts w:ascii="Palatino Linotype" w:eastAsiaTheme="minorEastAsia" w:hAnsi="Palatino Linotype" w:cstheme="minorBidi"/>
      <w:sz w:val="14"/>
      <w:szCs w:val="22"/>
    </w:rPr>
  </w:style>
  <w:style w:type="paragraph" w:customStyle="1" w:styleId="MDPI62BackMatter">
    <w:name w:val="MDPI_6.2_BackMatter"/>
    <w:qFormat/>
    <w:rsid w:val="000A0D56"/>
    <w:pPr>
      <w:adjustRightInd w:val="0"/>
      <w:snapToGrid w:val="0"/>
      <w:spacing w:after="120" w:line="228" w:lineRule="auto"/>
      <w:ind w:left="2608"/>
      <w:jc w:val="both"/>
    </w:pPr>
    <w:rPr>
      <w:rFonts w:ascii="Palatino Linotype" w:eastAsia="Times New Roman" w:hAnsi="Palatino Linotype"/>
      <w:snapToGrid w:val="0"/>
      <w:color w:val="000000"/>
      <w:sz w:val="18"/>
      <w:lang w:eastAsia="en-US" w:bidi="en-US"/>
    </w:rPr>
  </w:style>
  <w:style w:type="paragraph" w:customStyle="1" w:styleId="MDPI63Notes">
    <w:name w:val="MDPI_6.3_Notes"/>
    <w:qFormat/>
    <w:rsid w:val="000A0D56"/>
    <w:pPr>
      <w:adjustRightInd w:val="0"/>
      <w:snapToGrid w:val="0"/>
      <w:spacing w:after="120" w:line="240" w:lineRule="atLeast"/>
      <w:ind w:right="113"/>
    </w:pPr>
    <w:rPr>
      <w:rFonts w:ascii="Palatino Linotype" w:hAnsi="Palatino Linotype"/>
      <w:snapToGrid w:val="0"/>
      <w:color w:val="000000" w:themeColor="text1"/>
      <w:sz w:val="14"/>
      <w:lang w:eastAsia="en-US" w:bidi="en-US"/>
    </w:rPr>
  </w:style>
  <w:style w:type="paragraph" w:customStyle="1" w:styleId="MDPI15academiceditor">
    <w:name w:val="MDPI_1.5_academic_editor"/>
    <w:qFormat/>
    <w:rsid w:val="000A0D56"/>
    <w:pPr>
      <w:adjustRightInd w:val="0"/>
      <w:snapToGrid w:val="0"/>
      <w:spacing w:before="240" w:line="240" w:lineRule="atLeast"/>
      <w:ind w:right="113"/>
    </w:pPr>
    <w:rPr>
      <w:rFonts w:ascii="Palatino Linotype" w:eastAsia="Times New Roman" w:hAnsi="Palatino Linotype"/>
      <w:color w:val="000000"/>
      <w:sz w:val="14"/>
      <w:szCs w:val="22"/>
      <w:lang w:eastAsia="de-DE" w:bidi="en-US"/>
    </w:rPr>
  </w:style>
  <w:style w:type="paragraph" w:customStyle="1" w:styleId="MDPI19classification">
    <w:name w:val="MDPI_1.9_classification"/>
    <w:qFormat/>
    <w:rsid w:val="000A0D56"/>
    <w:pPr>
      <w:spacing w:before="240" w:line="260" w:lineRule="atLeast"/>
      <w:ind w:left="113"/>
      <w:jc w:val="both"/>
    </w:pPr>
    <w:rPr>
      <w:rFonts w:ascii="Palatino Linotype" w:eastAsia="Times New Roman" w:hAnsi="Palatino Linotype"/>
      <w:b/>
      <w:color w:val="000000"/>
      <w:szCs w:val="22"/>
      <w:lang w:eastAsia="de-DE" w:bidi="en-US"/>
    </w:rPr>
  </w:style>
  <w:style w:type="paragraph" w:customStyle="1" w:styleId="MDPI411onetablecaption">
    <w:name w:val="MDPI_4.1.1_one_table_caption"/>
    <w:qFormat/>
    <w:rsid w:val="000A0D56"/>
    <w:pPr>
      <w:adjustRightInd w:val="0"/>
      <w:snapToGrid w:val="0"/>
      <w:spacing w:before="240" w:after="120" w:line="260" w:lineRule="atLeast"/>
      <w:jc w:val="center"/>
    </w:pPr>
    <w:rPr>
      <w:rFonts w:ascii="Palatino Linotype" w:eastAsiaTheme="minorEastAsia" w:hAnsi="Palatino Linotype" w:cstheme="minorBidi"/>
      <w:noProof/>
      <w:color w:val="000000"/>
      <w:sz w:val="18"/>
      <w:szCs w:val="22"/>
      <w:lang w:bidi="en-US"/>
    </w:rPr>
  </w:style>
  <w:style w:type="paragraph" w:customStyle="1" w:styleId="MDPI511onefigurecaption">
    <w:name w:val="MDPI_5.1.1_one_figure_caption"/>
    <w:qFormat/>
    <w:rsid w:val="000A0D56"/>
    <w:pPr>
      <w:adjustRightInd w:val="0"/>
      <w:snapToGrid w:val="0"/>
      <w:spacing w:before="240" w:after="120" w:line="260" w:lineRule="atLeast"/>
      <w:jc w:val="center"/>
    </w:pPr>
    <w:rPr>
      <w:rFonts w:ascii="Palatino Linotype" w:eastAsiaTheme="minorEastAsia" w:hAnsi="Palatino Linotype"/>
      <w:noProof/>
      <w:color w:val="000000"/>
      <w:sz w:val="18"/>
      <w:lang w:bidi="en-US"/>
    </w:rPr>
  </w:style>
  <w:style w:type="paragraph" w:customStyle="1" w:styleId="MDPI72Copyright">
    <w:name w:val="MDPI_7.2_Copyright"/>
    <w:qFormat/>
    <w:rsid w:val="000A0D56"/>
    <w:pPr>
      <w:adjustRightInd w:val="0"/>
      <w:snapToGrid w:val="0"/>
      <w:spacing w:before="240" w:line="240" w:lineRule="atLeast"/>
      <w:ind w:right="113"/>
    </w:pPr>
    <w:rPr>
      <w:rFonts w:ascii="Palatino Linotype" w:eastAsia="Times New Roman" w:hAnsi="Palatino Linotype"/>
      <w:noProof/>
      <w:snapToGrid w:val="0"/>
      <w:color w:val="000000"/>
      <w:spacing w:val="-2"/>
      <w:sz w:val="14"/>
      <w:lang w:val="en-GB" w:eastAsia="en-GB"/>
    </w:rPr>
  </w:style>
  <w:style w:type="paragraph" w:customStyle="1" w:styleId="MDPI73CopyrightImage">
    <w:name w:val="MDPI_7.3_CopyrightImage"/>
    <w:rsid w:val="000A0D56"/>
    <w:pPr>
      <w:adjustRightInd w:val="0"/>
      <w:snapToGrid w:val="0"/>
      <w:spacing w:after="100" w:line="260" w:lineRule="atLeast"/>
      <w:jc w:val="right"/>
    </w:pPr>
    <w:rPr>
      <w:rFonts w:ascii="Palatino Linotype" w:eastAsia="Times New Roman" w:hAnsi="Palatino Linotype"/>
      <w:color w:val="000000"/>
      <w:lang w:eastAsia="de-CH"/>
    </w:rPr>
  </w:style>
  <w:style w:type="paragraph" w:customStyle="1" w:styleId="MDPIequationFram">
    <w:name w:val="MDPI_equationFram"/>
    <w:qFormat/>
    <w:rsid w:val="000A0D56"/>
    <w:pPr>
      <w:adjustRightInd w:val="0"/>
      <w:snapToGrid w:val="0"/>
      <w:spacing w:before="120" w:after="120"/>
      <w:jc w:val="center"/>
    </w:pPr>
    <w:rPr>
      <w:rFonts w:ascii="Palatino Linotype" w:eastAsia="Times New Roman" w:hAnsi="Palatino Linotype"/>
      <w:snapToGrid w:val="0"/>
      <w:color w:val="000000"/>
      <w:szCs w:val="22"/>
      <w:lang w:eastAsia="de-DE" w:bidi="en-US"/>
    </w:rPr>
  </w:style>
  <w:style w:type="paragraph" w:customStyle="1" w:styleId="MDPIfooter">
    <w:name w:val="MDPI_footer"/>
    <w:qFormat/>
    <w:rsid w:val="000A0D56"/>
    <w:pPr>
      <w:adjustRightInd w:val="0"/>
      <w:snapToGrid w:val="0"/>
      <w:spacing w:before="120" w:line="260" w:lineRule="atLeast"/>
      <w:jc w:val="center"/>
    </w:pPr>
    <w:rPr>
      <w:rFonts w:ascii="Palatino Linotype" w:eastAsia="Times New Roman" w:hAnsi="Palatino Linotype"/>
      <w:color w:val="000000"/>
      <w:lang w:eastAsia="de-DE"/>
    </w:rPr>
  </w:style>
  <w:style w:type="paragraph" w:customStyle="1" w:styleId="MDPIheader">
    <w:name w:val="MDPI_header"/>
    <w:qFormat/>
    <w:rsid w:val="000A0D56"/>
    <w:pPr>
      <w:adjustRightInd w:val="0"/>
      <w:snapToGrid w:val="0"/>
      <w:spacing w:after="240" w:line="260" w:lineRule="atLeast"/>
      <w:jc w:val="both"/>
    </w:pPr>
    <w:rPr>
      <w:rFonts w:ascii="Palatino Linotype" w:eastAsia="Times New Roman" w:hAnsi="Palatino Linotype"/>
      <w:iCs/>
      <w:color w:val="000000"/>
      <w:sz w:val="16"/>
      <w:lang w:eastAsia="de-DE"/>
    </w:rPr>
  </w:style>
  <w:style w:type="paragraph" w:customStyle="1" w:styleId="MDPIheadercitation">
    <w:name w:val="MDPI_header_citation"/>
    <w:rsid w:val="000A0D56"/>
    <w:pPr>
      <w:spacing w:after="240"/>
    </w:pPr>
    <w:rPr>
      <w:rFonts w:ascii="Palatino Linotype" w:eastAsia="Times New Roman" w:hAnsi="Palatino Linotype"/>
      <w:snapToGrid w:val="0"/>
      <w:color w:val="000000"/>
      <w:sz w:val="18"/>
      <w:lang w:eastAsia="de-DE" w:bidi="en-US"/>
    </w:rPr>
  </w:style>
  <w:style w:type="paragraph" w:customStyle="1" w:styleId="MDPIheadermdpilogo">
    <w:name w:val="MDPI_header_mdpi_logo"/>
    <w:qFormat/>
    <w:rsid w:val="000A0D56"/>
    <w:pPr>
      <w:adjustRightInd w:val="0"/>
      <w:snapToGrid w:val="0"/>
      <w:spacing w:line="260" w:lineRule="atLeast"/>
      <w:jc w:val="right"/>
    </w:pPr>
    <w:rPr>
      <w:rFonts w:ascii="Palatino Linotype" w:eastAsia="Times New Roman" w:hAnsi="Palatino Linotype"/>
      <w:color w:val="000000"/>
      <w:sz w:val="24"/>
      <w:szCs w:val="22"/>
      <w:lang w:eastAsia="de-CH"/>
    </w:rPr>
  </w:style>
  <w:style w:type="table" w:customStyle="1" w:styleId="MDPITable">
    <w:name w:val="MDPI_Table"/>
    <w:basedOn w:val="TableNormal"/>
    <w:uiPriority w:val="99"/>
    <w:rsid w:val="000A0D56"/>
    <w:rPr>
      <w:rFonts w:ascii="Palatino Linotype" w:hAnsi="Palatino Linotype"/>
      <w:color w:val="000000" w:themeColor="text1"/>
      <w:lang w:val="en-CA" w:eastAsia="en-US"/>
    </w:rPr>
    <w:tblPr>
      <w:tblCellMar>
        <w:left w:w="0" w:type="dxa"/>
        <w:right w:w="0" w:type="dxa"/>
      </w:tblCellMar>
    </w:tblPr>
  </w:style>
  <w:style w:type="paragraph" w:customStyle="1" w:styleId="MDPItext">
    <w:name w:val="MDPI_text"/>
    <w:qFormat/>
    <w:rsid w:val="000A0D56"/>
    <w:pPr>
      <w:spacing w:line="260" w:lineRule="atLeast"/>
      <w:ind w:left="425" w:right="425" w:firstLine="284"/>
      <w:jc w:val="both"/>
    </w:pPr>
    <w:rPr>
      <w:rFonts w:ascii="Times New Roman" w:eastAsia="Times New Roman" w:hAnsi="Times New Roman"/>
      <w:noProof/>
      <w:snapToGrid w:val="0"/>
      <w:color w:val="000000"/>
      <w:sz w:val="22"/>
      <w:szCs w:val="22"/>
      <w:lang w:eastAsia="de-DE" w:bidi="en-US"/>
    </w:rPr>
  </w:style>
  <w:style w:type="paragraph" w:customStyle="1" w:styleId="MDPItitle">
    <w:name w:val="MDPI_title"/>
    <w:qFormat/>
    <w:rsid w:val="000A0D56"/>
    <w:pPr>
      <w:adjustRightInd w:val="0"/>
      <w:snapToGrid w:val="0"/>
      <w:spacing w:after="240" w:line="260" w:lineRule="atLeast"/>
      <w:jc w:val="both"/>
    </w:pPr>
    <w:rPr>
      <w:rFonts w:ascii="Palatino Linotype" w:eastAsia="Times New Roman" w:hAnsi="Palatino Linotype"/>
      <w:b/>
      <w:snapToGrid w:val="0"/>
      <w:color w:val="000000"/>
      <w:sz w:val="36"/>
      <w:lang w:eastAsia="de-DE" w:bidi="en-US"/>
    </w:rPr>
  </w:style>
  <w:style w:type="character" w:customStyle="1" w:styleId="apple-converted-space">
    <w:name w:val="apple-converted-space"/>
    <w:rsid w:val="000D6839"/>
  </w:style>
  <w:style w:type="paragraph" w:styleId="Bibliography">
    <w:name w:val="Bibliography"/>
    <w:basedOn w:val="Normal"/>
    <w:next w:val="Normal"/>
    <w:uiPriority w:val="37"/>
    <w:semiHidden/>
    <w:unhideWhenUsed/>
    <w:rsid w:val="000D6839"/>
  </w:style>
  <w:style w:type="paragraph" w:styleId="BodyText">
    <w:name w:val="Body Text"/>
    <w:link w:val="BodyTextChar"/>
    <w:rsid w:val="000D6839"/>
    <w:pPr>
      <w:spacing w:after="120" w:line="340" w:lineRule="atLeast"/>
      <w:jc w:val="both"/>
    </w:pPr>
    <w:rPr>
      <w:rFonts w:ascii="Palatino Linotype" w:hAnsi="Palatino Linotype"/>
      <w:color w:val="000000"/>
      <w:sz w:val="24"/>
      <w:lang w:eastAsia="de-DE"/>
    </w:rPr>
  </w:style>
  <w:style w:type="character" w:customStyle="1" w:styleId="BodyTextChar">
    <w:name w:val="Body Text Char"/>
    <w:link w:val="BodyText"/>
    <w:rsid w:val="000D6839"/>
    <w:rPr>
      <w:rFonts w:ascii="Palatino Linotype" w:hAnsi="Palatino Linotype"/>
      <w:color w:val="000000"/>
      <w:sz w:val="24"/>
      <w:lang w:eastAsia="de-DE"/>
    </w:rPr>
  </w:style>
  <w:style w:type="character" w:styleId="CommentReference">
    <w:name w:val="annotation reference"/>
    <w:uiPriority w:val="99"/>
    <w:qFormat/>
    <w:rsid w:val="000D6839"/>
    <w:rPr>
      <w:sz w:val="21"/>
      <w:szCs w:val="21"/>
    </w:rPr>
  </w:style>
  <w:style w:type="paragraph" w:styleId="CommentText">
    <w:name w:val="annotation text"/>
    <w:basedOn w:val="Normal"/>
    <w:link w:val="CommentTextChar"/>
    <w:uiPriority w:val="99"/>
    <w:qFormat/>
    <w:rsid w:val="000D6839"/>
  </w:style>
  <w:style w:type="character" w:customStyle="1" w:styleId="CommentTextChar">
    <w:name w:val="Comment Text Char"/>
    <w:link w:val="CommentText"/>
    <w:uiPriority w:val="99"/>
    <w:qFormat/>
    <w:rsid w:val="000D6839"/>
    <w:rPr>
      <w:rFonts w:ascii="Palatino Linotype" w:hAnsi="Palatino Linotype"/>
      <w:noProof/>
      <w:color w:val="000000"/>
    </w:rPr>
  </w:style>
  <w:style w:type="paragraph" w:styleId="CommentSubject">
    <w:name w:val="annotation subject"/>
    <w:basedOn w:val="CommentText"/>
    <w:next w:val="CommentText"/>
    <w:link w:val="CommentSubjectChar"/>
    <w:rsid w:val="000D6839"/>
    <w:rPr>
      <w:b/>
      <w:bCs/>
    </w:rPr>
  </w:style>
  <w:style w:type="character" w:customStyle="1" w:styleId="CommentSubjectChar">
    <w:name w:val="Comment Subject Char"/>
    <w:link w:val="CommentSubject"/>
    <w:rsid w:val="000D6839"/>
    <w:rPr>
      <w:rFonts w:ascii="Palatino Linotype" w:hAnsi="Palatino Linotype"/>
      <w:b/>
      <w:bCs/>
      <w:noProof/>
      <w:color w:val="000000"/>
    </w:rPr>
  </w:style>
  <w:style w:type="character" w:styleId="EndnoteReference">
    <w:name w:val="endnote reference"/>
    <w:rsid w:val="000D6839"/>
    <w:rPr>
      <w:vertAlign w:val="superscript"/>
    </w:rPr>
  </w:style>
  <w:style w:type="paragraph" w:styleId="EndnoteText">
    <w:name w:val="endnote text"/>
    <w:basedOn w:val="Normal"/>
    <w:link w:val="EndnoteTextChar"/>
    <w:semiHidden/>
    <w:unhideWhenUsed/>
    <w:rsid w:val="000D6839"/>
    <w:pPr>
      <w:spacing w:line="240" w:lineRule="auto"/>
    </w:pPr>
  </w:style>
  <w:style w:type="character" w:customStyle="1" w:styleId="EndnoteTextChar">
    <w:name w:val="Endnote Text Char"/>
    <w:link w:val="EndnoteText"/>
    <w:semiHidden/>
    <w:rsid w:val="000D6839"/>
    <w:rPr>
      <w:rFonts w:ascii="Palatino Linotype" w:hAnsi="Palatino Linotype"/>
      <w:noProof/>
      <w:color w:val="000000"/>
    </w:rPr>
  </w:style>
  <w:style w:type="character" w:styleId="FollowedHyperlink">
    <w:name w:val="FollowedHyperlink"/>
    <w:rsid w:val="000D6839"/>
    <w:rPr>
      <w:color w:val="954F72"/>
      <w:u w:val="single"/>
    </w:rPr>
  </w:style>
  <w:style w:type="paragraph" w:styleId="FootnoteText">
    <w:name w:val="footnote text"/>
    <w:basedOn w:val="Normal"/>
    <w:link w:val="FootnoteTextChar"/>
    <w:semiHidden/>
    <w:unhideWhenUsed/>
    <w:rsid w:val="000D6839"/>
    <w:pPr>
      <w:spacing w:line="240" w:lineRule="auto"/>
    </w:pPr>
  </w:style>
  <w:style w:type="character" w:customStyle="1" w:styleId="FootnoteTextChar">
    <w:name w:val="Footnote Text Char"/>
    <w:link w:val="FootnoteText"/>
    <w:semiHidden/>
    <w:rsid w:val="000D6839"/>
    <w:rPr>
      <w:rFonts w:ascii="Palatino Linotype" w:hAnsi="Palatino Linotype"/>
      <w:noProof/>
      <w:color w:val="000000"/>
    </w:rPr>
  </w:style>
  <w:style w:type="paragraph" w:styleId="NormalWeb">
    <w:name w:val="Normal (Web)"/>
    <w:basedOn w:val="Normal"/>
    <w:uiPriority w:val="99"/>
    <w:rsid w:val="000D6839"/>
    <w:rPr>
      <w:szCs w:val="24"/>
    </w:rPr>
  </w:style>
  <w:style w:type="paragraph" w:customStyle="1" w:styleId="MsoFootnoteText0">
    <w:name w:val="MsoFootnoteText"/>
    <w:basedOn w:val="NormalWeb"/>
    <w:qFormat/>
    <w:rsid w:val="000D6839"/>
    <w:rPr>
      <w:rFonts w:ascii="Times New Roman" w:hAnsi="Times New Roman"/>
    </w:rPr>
  </w:style>
  <w:style w:type="character" w:styleId="PageNumber">
    <w:name w:val="page number"/>
    <w:rsid w:val="000D6839"/>
  </w:style>
  <w:style w:type="character" w:styleId="PlaceholderText">
    <w:name w:val="Placeholder Text"/>
    <w:uiPriority w:val="99"/>
    <w:semiHidden/>
    <w:rsid w:val="000D6839"/>
    <w:rPr>
      <w:color w:val="808080"/>
    </w:rPr>
  </w:style>
  <w:style w:type="character" w:customStyle="1" w:styleId="object">
    <w:name w:val="object"/>
    <w:qFormat/>
    <w:rsid w:val="002032BF"/>
  </w:style>
  <w:style w:type="paragraph" w:customStyle="1" w:styleId="MDPI62Acknowledgments">
    <w:name w:val="MDPI_6.2_Acknowledgments"/>
    <w:qFormat/>
    <w:rsid w:val="000A0D56"/>
    <w:pPr>
      <w:adjustRightInd w:val="0"/>
      <w:snapToGrid w:val="0"/>
      <w:spacing w:before="120" w:line="200" w:lineRule="atLeast"/>
      <w:jc w:val="both"/>
    </w:pPr>
    <w:rPr>
      <w:rFonts w:ascii="Palatino Linotype" w:eastAsia="Times New Roman" w:hAnsi="Palatino Linotype"/>
      <w:snapToGrid w:val="0"/>
      <w:color w:val="000000"/>
      <w:sz w:val="18"/>
      <w:lang w:eastAsia="de-DE" w:bidi="en-US"/>
    </w:rPr>
  </w:style>
  <w:style w:type="paragraph" w:customStyle="1" w:styleId="MDPI61Supplementary">
    <w:name w:val="MDPI_6.1_Supplementary"/>
    <w:basedOn w:val="MDPI62Acknowledgments"/>
    <w:qFormat/>
    <w:rsid w:val="000A0D56"/>
    <w:pPr>
      <w:spacing w:before="240"/>
    </w:pPr>
    <w:rPr>
      <w:lang w:eastAsia="en-US"/>
    </w:rPr>
  </w:style>
  <w:style w:type="paragraph" w:customStyle="1" w:styleId="MDPI63AuthorContributions">
    <w:name w:val="MDPI_6.3_AuthorContributions"/>
    <w:basedOn w:val="MDPI62Acknowledgments"/>
    <w:qFormat/>
    <w:rsid w:val="000A0D56"/>
    <w:rPr>
      <w:rFonts w:eastAsia="宋体"/>
      <w:color w:val="auto"/>
      <w:lang w:eastAsia="en-US"/>
    </w:rPr>
  </w:style>
  <w:style w:type="paragraph" w:customStyle="1" w:styleId="MDPI64CoI">
    <w:name w:val="MDPI_6.4_CoI"/>
    <w:basedOn w:val="MDPI62Acknowledgments"/>
    <w:qFormat/>
    <w:rsid w:val="000A0D56"/>
  </w:style>
  <w:style w:type="paragraph" w:customStyle="1" w:styleId="MDPI74PublishersNote">
    <w:name w:val="MDPI_7.4_Publisher'sNote"/>
    <w:qFormat/>
    <w:rsid w:val="000A0D56"/>
    <w:pPr>
      <w:adjustRightInd w:val="0"/>
      <w:snapToGrid w:val="0"/>
      <w:spacing w:before="240" w:after="240" w:line="200" w:lineRule="atLeast"/>
    </w:pPr>
    <w:rPr>
      <w:rFonts w:ascii="Palatino Linotype" w:hAnsi="Palatino Linotype"/>
      <w:sz w:val="18"/>
      <w:szCs w:val="22"/>
    </w:rPr>
  </w:style>
  <w:style w:type="paragraph" w:styleId="ListParagraph">
    <w:name w:val="List Paragraph"/>
    <w:basedOn w:val="Normal"/>
    <w:uiPriority w:val="34"/>
    <w:qFormat/>
    <w:rsid w:val="007D7642"/>
    <w:pPr>
      <w:ind w:left="720"/>
      <w:contextualSpacing/>
    </w:pPr>
  </w:style>
  <w:style w:type="character" w:customStyle="1" w:styleId="acopre">
    <w:name w:val="acopre"/>
    <w:basedOn w:val="DefaultParagraphFont"/>
    <w:rsid w:val="008040BE"/>
  </w:style>
  <w:style w:type="character" w:styleId="UnresolvedMention">
    <w:name w:val="Unresolved Mention"/>
    <w:basedOn w:val="DefaultParagraphFont"/>
    <w:uiPriority w:val="99"/>
    <w:semiHidden/>
    <w:unhideWhenUsed/>
    <w:rsid w:val="006D60C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1444446">
      <w:bodyDiv w:val="1"/>
      <w:marLeft w:val="0"/>
      <w:marRight w:val="0"/>
      <w:marTop w:val="0"/>
      <w:marBottom w:val="0"/>
      <w:divBdr>
        <w:top w:val="none" w:sz="0" w:space="0" w:color="auto"/>
        <w:left w:val="none" w:sz="0" w:space="0" w:color="auto"/>
        <w:bottom w:val="none" w:sz="0" w:space="0" w:color="auto"/>
        <w:right w:val="none" w:sz="0" w:space="0" w:color="auto"/>
      </w:divBdr>
    </w:div>
    <w:div w:id="1931884940">
      <w:bodyDiv w:val="1"/>
      <w:marLeft w:val="0"/>
      <w:marRight w:val="0"/>
      <w:marTop w:val="0"/>
      <w:marBottom w:val="0"/>
      <w:divBdr>
        <w:top w:val="none" w:sz="0" w:space="0" w:color="auto"/>
        <w:left w:val="none" w:sz="0" w:space="0" w:color="auto"/>
        <w:bottom w:val="none" w:sz="0" w:space="0" w:color="auto"/>
        <w:right w:val="none" w:sz="0" w:space="0" w:color="auto"/>
      </w:divBdr>
    </w:div>
  </w:divs>
  <w:encoding w:val="iso-8859-6"/>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2.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DPI\Desktop\Word%20templates\cancers-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cancers-template.dot</Template>
  <TotalTime>41</TotalTime>
  <Pages>7</Pages>
  <Words>635</Words>
  <Characters>3622</Characters>
  <Application>Microsoft Office Word</Application>
  <DocSecurity>0</DocSecurity>
  <Lines>30</Lines>
  <Paragraphs>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Type of the Paper (Article</vt:lpstr>
      <vt:lpstr>Type of the Paper (Article</vt:lpstr>
    </vt:vector>
  </TitlesOfParts>
  <Company/>
  <LinksUpToDate>false</LinksUpToDate>
  <CharactersWithSpaces>4249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MDPI</dc:creator>
  <cp:keywords/>
  <dc:description/>
  <cp:lastModifiedBy>MDPI</cp:lastModifiedBy>
  <cp:revision>9</cp:revision>
  <cp:lastPrinted>2021-01-01T02:19:00Z</cp:lastPrinted>
  <dcterms:created xsi:type="dcterms:W3CDTF">2021-01-06T06:02:00Z</dcterms:created>
  <dcterms:modified xsi:type="dcterms:W3CDTF">2021-01-07T06:13:00Z</dcterms:modified>
</cp:coreProperties>
</file>