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23783" w14:textId="77777777" w:rsidR="00D756D6" w:rsidRDefault="00D756D6"/>
    <w:p w14:paraId="2F987C46" w14:textId="77777777" w:rsidR="00D756D6" w:rsidRDefault="00D756D6"/>
    <w:p w14:paraId="07E4618D" w14:textId="77777777" w:rsidR="00D756D6" w:rsidRPr="00053798" w:rsidRDefault="00D756D6" w:rsidP="00D756D6">
      <w:pPr>
        <w:jc w:val="center"/>
        <w:rPr>
          <w:rFonts w:ascii="Palatino Linotype" w:hAnsi="Palatino Linotype"/>
          <w:b/>
          <w:sz w:val="24"/>
          <w:szCs w:val="24"/>
          <w:lang w:val="en-US"/>
        </w:rPr>
      </w:pPr>
      <w:r w:rsidRPr="00053798">
        <w:rPr>
          <w:rFonts w:ascii="Palatino Linotype" w:hAnsi="Palatino Linotype"/>
          <w:b/>
          <w:sz w:val="24"/>
          <w:szCs w:val="24"/>
          <w:lang w:val="en-US"/>
        </w:rPr>
        <w:t>Supplementary Figure</w:t>
      </w:r>
      <w:r w:rsidR="00053798" w:rsidRPr="00053798">
        <w:rPr>
          <w:rFonts w:ascii="Palatino Linotype" w:hAnsi="Palatino Linotype"/>
          <w:b/>
          <w:sz w:val="24"/>
          <w:szCs w:val="24"/>
          <w:lang w:val="en-US"/>
        </w:rPr>
        <w:t>s</w:t>
      </w:r>
    </w:p>
    <w:p w14:paraId="5F7F02B6" w14:textId="5FD93669" w:rsidR="00053798" w:rsidRPr="00053798" w:rsidRDefault="00B61CF3" w:rsidP="00053798">
      <w:pPr>
        <w:pStyle w:val="MDPI12title"/>
        <w:spacing w:line="240" w:lineRule="atLeast"/>
        <w:jc w:val="center"/>
        <w:rPr>
          <w:sz w:val="24"/>
          <w:szCs w:val="24"/>
        </w:rPr>
      </w:pPr>
      <w:r w:rsidRPr="00B61CF3">
        <w:rPr>
          <w:sz w:val="24"/>
          <w:szCs w:val="24"/>
          <w:lang w:val="fr-FR"/>
        </w:rPr>
        <w:t xml:space="preserve">The interactome of the LOX </w:t>
      </w:r>
      <w:proofErr w:type="spellStart"/>
      <w:r w:rsidRPr="00B61CF3">
        <w:rPr>
          <w:sz w:val="24"/>
          <w:szCs w:val="24"/>
          <w:lang w:val="fr-FR"/>
        </w:rPr>
        <w:t>family</w:t>
      </w:r>
      <w:proofErr w:type="spellEnd"/>
      <w:r w:rsidRPr="00B61CF3">
        <w:rPr>
          <w:sz w:val="24"/>
          <w:szCs w:val="24"/>
          <w:lang w:val="fr-FR"/>
        </w:rPr>
        <w:t xml:space="preserve">, </w:t>
      </w:r>
      <w:r>
        <w:rPr>
          <w:sz w:val="24"/>
          <w:szCs w:val="24"/>
          <w:lang w:val="fr-FR"/>
        </w:rPr>
        <w:t>a cancer-</w:t>
      </w:r>
      <w:proofErr w:type="spellStart"/>
      <w:r>
        <w:rPr>
          <w:sz w:val="24"/>
          <w:szCs w:val="24"/>
          <w:lang w:val="fr-FR"/>
        </w:rPr>
        <w:t>related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protein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family</w:t>
      </w:r>
      <w:bookmarkStart w:id="0" w:name="_GoBack"/>
      <w:bookmarkEnd w:id="0"/>
      <w:proofErr w:type="spellEnd"/>
      <w:r w:rsidR="00053798" w:rsidRPr="00053798">
        <w:rPr>
          <w:sz w:val="24"/>
          <w:szCs w:val="24"/>
        </w:rPr>
        <w:t>.</w:t>
      </w:r>
    </w:p>
    <w:p w14:paraId="2697EB91" w14:textId="77777777" w:rsidR="00053798" w:rsidRPr="00864993" w:rsidRDefault="00053798" w:rsidP="00053798">
      <w:pPr>
        <w:pStyle w:val="MDPI13authornames"/>
      </w:pPr>
      <w:r>
        <w:t>Sylvain D. Vallet</w:t>
      </w:r>
      <w:r w:rsidRPr="00864993">
        <w:rPr>
          <w:vertAlign w:val="superscript"/>
        </w:rPr>
        <w:t>1</w:t>
      </w:r>
      <w:r w:rsidRPr="00864993">
        <w:t xml:space="preserve">, </w:t>
      </w:r>
      <w:proofErr w:type="spellStart"/>
      <w:r>
        <w:t>Coline</w:t>
      </w:r>
      <w:proofErr w:type="spellEnd"/>
      <w:r>
        <w:t xml:space="preserve"> Berthollier</w:t>
      </w:r>
      <w:r w:rsidRPr="00C846FF">
        <w:rPr>
          <w:vertAlign w:val="superscript"/>
        </w:rPr>
        <w:t>1</w:t>
      </w:r>
      <w:r>
        <w:rPr>
          <w:vertAlign w:val="superscript"/>
        </w:rPr>
        <w:t>‡</w:t>
      </w:r>
      <w:r>
        <w:t xml:space="preserve">, </w:t>
      </w:r>
      <w:proofErr w:type="spellStart"/>
      <w:r>
        <w:t>Romain</w:t>
      </w:r>
      <w:proofErr w:type="spellEnd"/>
      <w:r>
        <w:t xml:space="preserve"> Salza</w:t>
      </w:r>
      <w:r w:rsidRPr="00C846FF">
        <w:rPr>
          <w:vertAlign w:val="superscript"/>
        </w:rPr>
        <w:t>1</w:t>
      </w:r>
      <w:r>
        <w:rPr>
          <w:vertAlign w:val="superscript"/>
        </w:rPr>
        <w:t>‡</w:t>
      </w:r>
      <w:r>
        <w:t>, Laurent Muller</w:t>
      </w:r>
      <w:r w:rsidRPr="009A785F">
        <w:rPr>
          <w:vertAlign w:val="superscript"/>
        </w:rPr>
        <w:t>2</w:t>
      </w:r>
      <w:r w:rsidRPr="00864993">
        <w:t xml:space="preserve"> and </w:t>
      </w:r>
      <w:r>
        <w:t>Sylvie Ricard-Blum</w:t>
      </w:r>
      <w:r>
        <w:rPr>
          <w:vertAlign w:val="superscript"/>
        </w:rPr>
        <w:t>1</w:t>
      </w:r>
      <w:r w:rsidRPr="00864993">
        <w:rPr>
          <w:vertAlign w:val="superscript"/>
        </w:rPr>
        <w:t>,</w:t>
      </w:r>
      <w:r w:rsidRPr="00864993">
        <w:t>*</w:t>
      </w:r>
    </w:p>
    <w:p w14:paraId="2D34DF49" w14:textId="77777777" w:rsidR="00053798" w:rsidRDefault="00053798" w:rsidP="00D756D6">
      <w:pPr>
        <w:jc w:val="center"/>
        <w:rPr>
          <w:rFonts w:ascii="Palatino Linotype" w:hAnsi="Palatino Linotype"/>
          <w:b/>
          <w:lang w:val="en-US"/>
        </w:rPr>
      </w:pPr>
    </w:p>
    <w:p w14:paraId="6066C38B" w14:textId="77777777" w:rsidR="00053798" w:rsidRPr="00053798" w:rsidRDefault="00053798" w:rsidP="00B52215">
      <w:pPr>
        <w:rPr>
          <w:rFonts w:ascii="Palatino Linotype" w:hAnsi="Palatino Linotype"/>
          <w:b/>
          <w:lang w:val="en-US"/>
        </w:rPr>
      </w:pPr>
    </w:p>
    <w:p w14:paraId="61688509" w14:textId="77777777" w:rsidR="00AC5D7F" w:rsidRDefault="00AC5D7F" w:rsidP="00AC5D7F">
      <w:pPr>
        <w:rPr>
          <w:b/>
          <w:lang w:val="en-US"/>
        </w:rPr>
      </w:pPr>
    </w:p>
    <w:p w14:paraId="01C4866F" w14:textId="77777777" w:rsidR="007D2207" w:rsidRDefault="007D2207" w:rsidP="00AC5D7F">
      <w:pPr>
        <w:rPr>
          <w:b/>
          <w:lang w:val="en-US"/>
        </w:rPr>
      </w:pPr>
      <w:r>
        <w:rPr>
          <w:noProof/>
          <w:color w:val="000000" w:themeColor="text1"/>
          <w:szCs w:val="20"/>
          <w:lang w:eastAsia="fr-FR"/>
        </w:rPr>
        <w:drawing>
          <wp:anchor distT="0" distB="0" distL="114300" distR="114300" simplePos="0" relativeHeight="251658240" behindDoc="0" locked="0" layoutInCell="1" allowOverlap="1" wp14:anchorId="4B318124" wp14:editId="698EECB7">
            <wp:simplePos x="0" y="0"/>
            <wp:positionH relativeFrom="margin">
              <wp:align>center</wp:align>
            </wp:positionH>
            <wp:positionV relativeFrom="paragraph">
              <wp:posOffset>90805</wp:posOffset>
            </wp:positionV>
            <wp:extent cx="6483600" cy="312840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pplementary_Figure_S2_20200831.jpg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3600" cy="312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6613D5" w14:textId="77777777" w:rsidR="007D2207" w:rsidRDefault="007D2207" w:rsidP="00AC5D7F">
      <w:pPr>
        <w:rPr>
          <w:b/>
          <w:lang w:val="en-US"/>
        </w:rPr>
      </w:pPr>
    </w:p>
    <w:p w14:paraId="4613C579" w14:textId="77777777" w:rsidR="007D2207" w:rsidRDefault="007D2207" w:rsidP="007D2207">
      <w:pPr>
        <w:rPr>
          <w:color w:val="000000" w:themeColor="text1"/>
          <w:szCs w:val="20"/>
          <w:lang w:val="en-US"/>
        </w:rPr>
      </w:pPr>
    </w:p>
    <w:p w14:paraId="7F8B7D82" w14:textId="5C3F8CB5" w:rsidR="007D2207" w:rsidRPr="00266037" w:rsidRDefault="007D2207" w:rsidP="007D2207">
      <w:pPr>
        <w:spacing w:after="0"/>
        <w:jc w:val="both"/>
        <w:rPr>
          <w:rFonts w:ascii="Palatino Linotype" w:hAnsi="Palatino Linotype"/>
          <w:color w:val="000000" w:themeColor="text1"/>
          <w:sz w:val="20"/>
          <w:szCs w:val="20"/>
          <w:lang w:val="en-US"/>
        </w:rPr>
      </w:pPr>
      <w:r w:rsidRPr="00CB4D0F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>Supplementary Figure S1.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</w:t>
      </w:r>
      <w:r w:rsidRPr="00CB4D0F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 xml:space="preserve">LOXL2 binds to full-length </w:t>
      </w:r>
      <w:r w:rsidRPr="00CB4D0F">
        <w:rPr>
          <w:rFonts w:ascii="Symbol" w:hAnsi="Symbol"/>
          <w:b/>
          <w:color w:val="000000" w:themeColor="text1"/>
          <w:sz w:val="20"/>
          <w:szCs w:val="20"/>
          <w:lang w:val="en-US"/>
        </w:rPr>
        <w:t></w:t>
      </w:r>
      <w:r w:rsidRPr="00CB4D0F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>5</w:t>
      </w:r>
      <w:r w:rsidRPr="00CB4D0F">
        <w:rPr>
          <w:rFonts w:ascii="Symbol" w:hAnsi="Symbol"/>
          <w:b/>
          <w:color w:val="000000" w:themeColor="text1"/>
          <w:sz w:val="20"/>
          <w:szCs w:val="20"/>
          <w:lang w:val="en-US"/>
        </w:rPr>
        <w:t></w:t>
      </w:r>
      <w:r w:rsidRPr="00CB4D0F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 xml:space="preserve">1 integrin </w:t>
      </w:r>
      <w:r w:rsidRPr="00CB4D0F">
        <w:rPr>
          <w:rFonts w:ascii="Palatino Linotype" w:hAnsi="Palatino Linotype"/>
          <w:b/>
          <w:i/>
          <w:color w:val="000000" w:themeColor="text1"/>
          <w:sz w:val="20"/>
          <w:szCs w:val="20"/>
          <w:lang w:val="en-US"/>
        </w:rPr>
        <w:t>in vitro</w:t>
      </w:r>
      <w:r w:rsidRPr="00CB4D0F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 xml:space="preserve">. 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Direct interaction of LOXL2 covalently immobilized on a CM5 sensor chip to soluble</w:t>
      </w:r>
      <w:r w:rsid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</w:t>
      </w:r>
      <w:r w:rsidRPr="00CB4D0F">
        <w:rPr>
          <w:rFonts w:ascii="Symbol" w:hAnsi="Symbol" w:cs="Times New Roman"/>
          <w:color w:val="000000" w:themeColor="text1"/>
          <w:sz w:val="20"/>
          <w:szCs w:val="20"/>
          <w:lang w:val="en-US"/>
        </w:rPr>
        <w:t>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5</w:t>
      </w:r>
      <w:r w:rsidRPr="00CB4D0F">
        <w:rPr>
          <w:rFonts w:ascii="Symbol" w:hAnsi="Symbol"/>
          <w:color w:val="000000" w:themeColor="text1"/>
          <w:sz w:val="20"/>
          <w:szCs w:val="20"/>
          <w:lang w:val="en-US"/>
        </w:rPr>
        <w:t>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1 integrin identified by </w:t>
      </w:r>
      <w:r w:rsid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>surface plasmon resonance (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SPR</w:t>
      </w:r>
      <w:r w:rsid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>)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binding assay. Direct binding of LOXL2 covalently immobilized on </w:t>
      </w:r>
      <w:proofErr w:type="gramStart"/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a</w:t>
      </w:r>
      <w:proofErr w:type="gramEnd"/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AR2G biosensor to soluble</w:t>
      </w:r>
      <w:r w:rsid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</w:t>
      </w:r>
      <w:r w:rsidRPr="00CB4D0F">
        <w:rPr>
          <w:rFonts w:ascii="Symbol" w:hAnsi="Symbol"/>
          <w:color w:val="000000" w:themeColor="text1"/>
          <w:sz w:val="20"/>
          <w:szCs w:val="20"/>
          <w:lang w:val="en-US"/>
        </w:rPr>
        <w:t>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5</w:t>
      </w:r>
      <w:r w:rsidRPr="00CB4D0F">
        <w:rPr>
          <w:rFonts w:ascii="Symbol" w:hAnsi="Symbol"/>
          <w:color w:val="000000" w:themeColor="text1"/>
          <w:sz w:val="20"/>
          <w:szCs w:val="20"/>
          <w:lang w:val="en-US"/>
        </w:rPr>
        <w:t>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1 integrin by </w:t>
      </w:r>
      <w:r w:rsid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>bio-layer interferometry (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BLI</w:t>
      </w:r>
      <w:r w:rsid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>)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binding assay. Orange: experimental </w:t>
      </w:r>
      <w:proofErr w:type="spellStart"/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sensorgrams</w:t>
      </w:r>
      <w:proofErr w:type="spellEnd"/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, black:  </w:t>
      </w:r>
      <w:proofErr w:type="spellStart"/>
      <w:r w:rsid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>sensorgrams</w:t>
      </w:r>
      <w:proofErr w:type="spellEnd"/>
      <w:r w:rsid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fitted 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to the heterogeneous ligand model (</w:t>
      </w:r>
      <w:r w:rsidRPr="00CB4D0F">
        <w:rPr>
          <w:rFonts w:ascii="Symbol" w:hAnsi="Symbol"/>
          <w:color w:val="000000" w:themeColor="text1"/>
          <w:sz w:val="20"/>
          <w:szCs w:val="20"/>
          <w:lang w:val="en-US"/>
        </w:rPr>
        <w:t></w:t>
      </w:r>
      <w:r w:rsidRPr="00CB4D0F">
        <w:rPr>
          <w:rFonts w:ascii="Symbol" w:hAnsi="Symbol"/>
          <w:color w:val="000000" w:themeColor="text1"/>
          <w:sz w:val="20"/>
          <w:szCs w:val="20"/>
          <w:vertAlign w:val="superscript"/>
          <w:lang w:val="en-US"/>
        </w:rPr>
        <w:t></w:t>
      </w:r>
      <w:r w:rsidRPr="00CB4D0F">
        <w:rPr>
          <w:rFonts w:ascii="Symbol" w:hAnsi="Symbol"/>
          <w:color w:val="000000" w:themeColor="text1"/>
          <w:sz w:val="20"/>
          <w:szCs w:val="20"/>
          <w:lang w:val="en-US"/>
        </w:rPr>
        <w:t></w:t>
      </w:r>
      <w:r w:rsidRPr="00CB4D0F">
        <w:rPr>
          <w:rFonts w:ascii="Symbol" w:hAnsi="Symbol"/>
          <w:color w:val="000000" w:themeColor="text1"/>
          <w:sz w:val="20"/>
          <w:szCs w:val="20"/>
          <w:lang w:val="en-US"/>
        </w:rPr>
        <w:t>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0.0095). Inhibition experiments of </w:t>
      </w:r>
      <w:r w:rsidRPr="00CB4D0F">
        <w:rPr>
          <w:rFonts w:ascii="Symbol" w:hAnsi="Symbol"/>
          <w:color w:val="000000" w:themeColor="text1"/>
          <w:sz w:val="20"/>
          <w:szCs w:val="20"/>
          <w:lang w:val="en-US"/>
        </w:rPr>
        <w:t>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5</w:t>
      </w:r>
      <w:r w:rsidRPr="00CB4D0F">
        <w:rPr>
          <w:rFonts w:ascii="Symbol" w:hAnsi="Symbol"/>
          <w:color w:val="000000" w:themeColor="text1"/>
          <w:sz w:val="20"/>
          <w:szCs w:val="20"/>
          <w:lang w:val="en-US"/>
        </w:rPr>
        <w:t>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1 integrin binding to </w:t>
      </w:r>
      <w:r w:rsid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immobilized 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LOXL2 by preincubating the </w:t>
      </w:r>
      <w:r w:rsidR="00CB4D0F" w:rsidRPr="00CB4D0F">
        <w:rPr>
          <w:rFonts w:ascii="Symbol" w:hAnsi="Symbol" w:cs="Times New Roman"/>
          <w:color w:val="000000" w:themeColor="text1"/>
          <w:sz w:val="20"/>
          <w:szCs w:val="20"/>
          <w:lang w:val="en-US"/>
        </w:rPr>
        <w:t></w:t>
      </w:r>
      <w:r w:rsidR="00CB4D0F"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5</w:t>
      </w:r>
      <w:r w:rsidR="00CB4D0F" w:rsidRPr="00CB4D0F">
        <w:rPr>
          <w:rFonts w:ascii="Symbol" w:hAnsi="Symbol"/>
          <w:color w:val="000000" w:themeColor="text1"/>
          <w:sz w:val="20"/>
          <w:szCs w:val="20"/>
          <w:lang w:val="en-US"/>
        </w:rPr>
        <w:t></w:t>
      </w:r>
      <w:r w:rsidR="00CB4D0F"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1 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integrin with the RGD peptide (50 µg/ml) as described in the Material and Methods section. The concentration of immobilized </w:t>
      </w:r>
      <w:r w:rsid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LOXL2 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w</w:t>
      </w:r>
      <w:r w:rsid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as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5</w:t>
      </w:r>
      <w:r w:rsidR="00CB4D0F"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µg/ml and 25 µg/ml </w:t>
      </w:r>
      <w:r w:rsid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for </w:t>
      </w:r>
      <w:r w:rsidR="004A1861" w:rsidRP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SPR </w:t>
      </w:r>
      <w:r w:rsid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and 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BLI assays</w:t>
      </w:r>
      <w:r w:rsidR="004A1861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respectively</w:t>
      </w:r>
      <w:r w:rsidRP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>.</w:t>
      </w:r>
    </w:p>
    <w:p w14:paraId="255ADA2A" w14:textId="77777777" w:rsidR="007D2207" w:rsidRDefault="007D2207" w:rsidP="007D2207">
      <w:pPr>
        <w:jc w:val="both"/>
        <w:rPr>
          <w:color w:val="000000" w:themeColor="text1"/>
          <w:szCs w:val="20"/>
          <w:lang w:val="en-US"/>
        </w:rPr>
      </w:pPr>
    </w:p>
    <w:p w14:paraId="29705381" w14:textId="77777777" w:rsidR="007D2207" w:rsidRDefault="007D2207" w:rsidP="00AC5D7F">
      <w:pPr>
        <w:rPr>
          <w:b/>
          <w:lang w:val="en-US"/>
        </w:rPr>
      </w:pPr>
    </w:p>
    <w:p w14:paraId="554031F6" w14:textId="77777777" w:rsidR="007D2207" w:rsidRDefault="007D2207" w:rsidP="00AC5D7F">
      <w:pPr>
        <w:rPr>
          <w:b/>
          <w:lang w:val="en-US"/>
        </w:rPr>
      </w:pPr>
    </w:p>
    <w:p w14:paraId="1AC989C1" w14:textId="77777777" w:rsidR="007D2207" w:rsidRDefault="007D2207" w:rsidP="00AC5D7F">
      <w:pPr>
        <w:rPr>
          <w:b/>
          <w:lang w:val="en-US"/>
        </w:rPr>
      </w:pPr>
    </w:p>
    <w:p w14:paraId="40B66D5B" w14:textId="77777777" w:rsidR="007D2207" w:rsidRDefault="007D2207" w:rsidP="00AC5D7F">
      <w:pPr>
        <w:rPr>
          <w:b/>
          <w:lang w:val="en-US"/>
        </w:rPr>
      </w:pPr>
    </w:p>
    <w:p w14:paraId="318E1766" w14:textId="77777777" w:rsidR="007D2207" w:rsidRDefault="007D2207" w:rsidP="007D2207">
      <w:pPr>
        <w:rPr>
          <w:color w:val="FF0000"/>
          <w:szCs w:val="20"/>
          <w:lang w:val="en-US"/>
        </w:rPr>
      </w:pPr>
    </w:p>
    <w:p w14:paraId="332467A4" w14:textId="77777777" w:rsidR="007D2207" w:rsidRDefault="007D2207" w:rsidP="007D2207">
      <w:pPr>
        <w:rPr>
          <w:color w:val="FF0000"/>
          <w:szCs w:val="20"/>
          <w:lang w:val="en-US"/>
        </w:rPr>
      </w:pPr>
    </w:p>
    <w:p w14:paraId="16A8D247" w14:textId="77777777" w:rsidR="007D2207" w:rsidRDefault="00821E8D" w:rsidP="007D2207">
      <w:pPr>
        <w:rPr>
          <w:color w:val="FF0000"/>
          <w:szCs w:val="20"/>
          <w:lang w:val="en-US"/>
        </w:rPr>
      </w:pPr>
      <w:r>
        <w:rPr>
          <w:noProof/>
          <w:color w:val="FF0000"/>
          <w:szCs w:val="20"/>
          <w:lang w:eastAsia="fr-FR"/>
        </w:rPr>
        <w:drawing>
          <wp:anchor distT="0" distB="0" distL="114300" distR="114300" simplePos="0" relativeHeight="251665408" behindDoc="1" locked="0" layoutInCell="1" allowOverlap="1" wp14:anchorId="7E0576AC" wp14:editId="2C56960D">
            <wp:simplePos x="0" y="0"/>
            <wp:positionH relativeFrom="margin">
              <wp:align>center</wp:align>
            </wp:positionH>
            <wp:positionV relativeFrom="paragraph">
              <wp:posOffset>3175</wp:posOffset>
            </wp:positionV>
            <wp:extent cx="5324856" cy="5145024"/>
            <wp:effectExtent l="0" t="0" r="9525" b="0"/>
            <wp:wrapTight wrapText="bothSides">
              <wp:wrapPolygon edited="0">
                <wp:start x="0" y="0"/>
                <wp:lineTo x="0" y="21515"/>
                <wp:lineTo x="21561" y="21515"/>
                <wp:lineTo x="21561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_Figure_S2_202009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856" cy="5145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979D25" w14:textId="77777777" w:rsidR="007D2207" w:rsidRDefault="007D2207" w:rsidP="007D2207">
      <w:pPr>
        <w:rPr>
          <w:color w:val="FF0000"/>
          <w:szCs w:val="20"/>
          <w:lang w:val="en-US"/>
        </w:rPr>
      </w:pPr>
    </w:p>
    <w:p w14:paraId="5BBF7E29" w14:textId="31ED61F0" w:rsidR="00CB4D0F" w:rsidRPr="004D609D" w:rsidRDefault="007D2207" w:rsidP="00CB4D0F">
      <w:pPr>
        <w:jc w:val="both"/>
        <w:rPr>
          <w:rFonts w:ascii="Palatino Linotype" w:hAnsi="Palatino Linotype"/>
          <w:color w:val="000000" w:themeColor="text1"/>
          <w:sz w:val="20"/>
          <w:szCs w:val="20"/>
          <w:lang w:val="en-US"/>
        </w:rPr>
      </w:pPr>
      <w:r w:rsidRPr="00163DC7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>Supplementary Figure S</w:t>
      </w:r>
      <w:r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>2</w:t>
      </w:r>
      <w:r w:rsidRPr="00163DC7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. </w:t>
      </w:r>
      <w:r w:rsidRPr="006C2AA0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>P</w:t>
      </w:r>
      <w:r w:rsidR="00CB4D0F" w:rsidRPr="006C2AA0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>artners of</w:t>
      </w:r>
      <w:r w:rsidRPr="006C2AA0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 xml:space="preserve"> LOXL2 and </w:t>
      </w:r>
      <w:r w:rsidR="00CB4D0F" w:rsidRPr="006C2AA0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 xml:space="preserve">of </w:t>
      </w:r>
      <w:r w:rsidRPr="006C2AA0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>its N-terminal domains SRCR 1-2</w:t>
      </w:r>
      <w:r w:rsidRPr="00163DC7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</w:t>
      </w:r>
      <w:r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(residues 58-302) </w:t>
      </w:r>
      <w:r w:rsidRPr="006C2AA0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>and SRCR 1-4</w:t>
      </w:r>
      <w:r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 (</w:t>
      </w:r>
      <w:r w:rsidR="00CB4D0F"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residues </w:t>
      </w:r>
      <w:r>
        <w:rPr>
          <w:rFonts w:ascii="Palatino Linotype" w:hAnsi="Palatino Linotype"/>
          <w:color w:val="000000" w:themeColor="text1"/>
          <w:sz w:val="20"/>
          <w:szCs w:val="20"/>
          <w:lang w:val="en-US"/>
        </w:rPr>
        <w:t xml:space="preserve">58-544) </w:t>
      </w:r>
      <w:r w:rsidRPr="006C2AA0">
        <w:rPr>
          <w:rFonts w:ascii="Palatino Linotype" w:hAnsi="Palatino Linotype"/>
          <w:b/>
          <w:color w:val="000000" w:themeColor="text1"/>
          <w:sz w:val="20"/>
          <w:szCs w:val="20"/>
          <w:lang w:val="en-US"/>
        </w:rPr>
        <w:t>identified by SPR binding assays.</w:t>
      </w:r>
      <w:r w:rsidRPr="00694955">
        <w:rPr>
          <w:lang w:val="en-US"/>
        </w:rPr>
        <w:t xml:space="preserve"> </w:t>
      </w:r>
    </w:p>
    <w:p w14:paraId="064C5D11" w14:textId="77777777" w:rsidR="007D2207" w:rsidRDefault="007D2207" w:rsidP="00AC5D7F">
      <w:pPr>
        <w:rPr>
          <w:b/>
          <w:lang w:val="en-US"/>
        </w:rPr>
      </w:pPr>
    </w:p>
    <w:p w14:paraId="3A9B0ECC" w14:textId="77777777" w:rsidR="007D2207" w:rsidRPr="00DF0AF7" w:rsidRDefault="007D2207" w:rsidP="00AC5D7F">
      <w:pPr>
        <w:rPr>
          <w:b/>
          <w:lang w:val="en-US"/>
        </w:rPr>
      </w:pPr>
    </w:p>
    <w:p w14:paraId="699375BC" w14:textId="77777777" w:rsidR="00123690" w:rsidRPr="00821E8D" w:rsidRDefault="00123690" w:rsidP="00AC5D7F">
      <w:pPr>
        <w:rPr>
          <w:color w:val="000000" w:themeColor="text1"/>
          <w:szCs w:val="20"/>
          <w:lang w:val="en-US"/>
        </w:rPr>
      </w:pPr>
    </w:p>
    <w:p w14:paraId="1E0D8F7E" w14:textId="77777777" w:rsidR="007D2207" w:rsidRPr="00CB4D0F" w:rsidRDefault="007D2207" w:rsidP="00A551EF">
      <w:pPr>
        <w:pStyle w:val="MDPI22heading2"/>
        <w:spacing w:before="0" w:after="0" w:line="200" w:lineRule="atLeast"/>
        <w:jc w:val="both"/>
        <w:rPr>
          <w:i w:val="0"/>
          <w:color w:val="000000" w:themeColor="text1"/>
          <w:szCs w:val="20"/>
        </w:rPr>
      </w:pPr>
      <w:r>
        <w:rPr>
          <w:lang w:val="fr-FR" w:eastAsia="fr-FR" w:bidi="ar-SA"/>
        </w:rPr>
        <w:lastRenderedPageBreak/>
        <w:drawing>
          <wp:anchor distT="0" distB="0" distL="114300" distR="114300" simplePos="0" relativeHeight="251664384" behindDoc="1" locked="0" layoutInCell="1" allowOverlap="1" wp14:anchorId="3F9B3394" wp14:editId="0A613BAA">
            <wp:simplePos x="0" y="0"/>
            <wp:positionH relativeFrom="margin">
              <wp:align>center</wp:align>
            </wp:positionH>
            <wp:positionV relativeFrom="paragraph">
              <wp:posOffset>155575</wp:posOffset>
            </wp:positionV>
            <wp:extent cx="6336000" cy="4204800"/>
            <wp:effectExtent l="0" t="0" r="8255" b="5715"/>
            <wp:wrapTight wrapText="bothSides">
              <wp:wrapPolygon edited="0">
                <wp:start x="0" y="0"/>
                <wp:lineTo x="0" y="21531"/>
                <wp:lineTo x="21563" y="21531"/>
                <wp:lineTo x="21563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00" cy="42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468C4D" w14:textId="77777777" w:rsidR="007D2207" w:rsidRPr="00CB4D0F" w:rsidRDefault="007D2207" w:rsidP="00A551EF">
      <w:pPr>
        <w:pStyle w:val="MDPI22heading2"/>
        <w:spacing w:before="0" w:after="0" w:line="200" w:lineRule="atLeast"/>
        <w:jc w:val="both"/>
        <w:rPr>
          <w:i w:val="0"/>
          <w:color w:val="000000" w:themeColor="text1"/>
          <w:szCs w:val="20"/>
        </w:rPr>
      </w:pPr>
    </w:p>
    <w:p w14:paraId="728109EF" w14:textId="1E18487C" w:rsidR="00DF0AF7" w:rsidRPr="008413DA" w:rsidRDefault="00053798" w:rsidP="00A551EF">
      <w:pPr>
        <w:pStyle w:val="MDPI22heading2"/>
        <w:spacing w:before="0" w:after="0" w:line="200" w:lineRule="atLeast"/>
        <w:jc w:val="both"/>
        <w:rPr>
          <w:b/>
          <w:i w:val="0"/>
          <w:szCs w:val="20"/>
        </w:rPr>
      </w:pPr>
      <w:r w:rsidRPr="008413DA">
        <w:rPr>
          <w:b/>
          <w:i w:val="0"/>
          <w:color w:val="000000" w:themeColor="text1"/>
          <w:szCs w:val="20"/>
        </w:rPr>
        <w:t xml:space="preserve">Supplementary </w:t>
      </w:r>
      <w:r w:rsidR="00123690" w:rsidRPr="008413DA">
        <w:rPr>
          <w:b/>
          <w:i w:val="0"/>
          <w:color w:val="000000" w:themeColor="text1"/>
          <w:szCs w:val="20"/>
        </w:rPr>
        <w:t xml:space="preserve">Figure </w:t>
      </w:r>
      <w:r w:rsidR="007D2207" w:rsidRPr="008413DA">
        <w:rPr>
          <w:b/>
          <w:i w:val="0"/>
          <w:color w:val="000000" w:themeColor="text1"/>
          <w:szCs w:val="20"/>
        </w:rPr>
        <w:t>S</w:t>
      </w:r>
      <w:r w:rsidR="007D2207">
        <w:rPr>
          <w:b/>
          <w:i w:val="0"/>
          <w:color w:val="000000" w:themeColor="text1"/>
          <w:szCs w:val="20"/>
        </w:rPr>
        <w:t>3</w:t>
      </w:r>
      <w:r w:rsidR="005308DC">
        <w:rPr>
          <w:b/>
          <w:i w:val="0"/>
          <w:color w:val="000000" w:themeColor="text1"/>
          <w:szCs w:val="20"/>
        </w:rPr>
        <w:t>.</w:t>
      </w:r>
      <w:r w:rsidR="005308DC" w:rsidRPr="008413DA">
        <w:rPr>
          <w:b/>
          <w:color w:val="000000" w:themeColor="text1"/>
          <w:szCs w:val="20"/>
        </w:rPr>
        <w:t xml:space="preserve"> </w:t>
      </w:r>
      <w:r w:rsidR="00227EAC" w:rsidRPr="008413DA">
        <w:rPr>
          <w:b/>
          <w:i w:val="0"/>
          <w:szCs w:val="20"/>
        </w:rPr>
        <w:t xml:space="preserve">Partners of the SRCR 1-4 domain of LOXL2 identified by surface plasmon resonance imaging </w:t>
      </w:r>
      <w:r w:rsidR="00CB4D0F">
        <w:rPr>
          <w:b/>
          <w:i w:val="0"/>
          <w:szCs w:val="20"/>
        </w:rPr>
        <w:t xml:space="preserve">(SPRi) </w:t>
      </w:r>
      <w:r w:rsidR="00227EAC" w:rsidRPr="008413DA">
        <w:rPr>
          <w:b/>
          <w:i w:val="0"/>
          <w:szCs w:val="20"/>
        </w:rPr>
        <w:t>binding assays.</w:t>
      </w:r>
      <w:r w:rsidR="00227EAC" w:rsidRPr="00CB4D0F">
        <w:rPr>
          <w:i w:val="0"/>
          <w:szCs w:val="20"/>
        </w:rPr>
        <w:t xml:space="preserve"> The </w:t>
      </w:r>
      <w:r w:rsidR="00227EAC" w:rsidRPr="008413DA">
        <w:rPr>
          <w:i w:val="0"/>
          <w:szCs w:val="20"/>
        </w:rPr>
        <w:t>N-terminal SRCR domain 1-4 was injected and recirculated over ECM protein and GAG arrays probed by SPR imaging. Non-specific binding to the array surface was subtracted from the raw signal</w:t>
      </w:r>
      <w:r w:rsidR="00CB4D0F">
        <w:rPr>
          <w:i w:val="0"/>
          <w:szCs w:val="20"/>
        </w:rPr>
        <w:t>s</w:t>
      </w:r>
      <w:r w:rsidR="00227EAC" w:rsidRPr="008413DA">
        <w:rPr>
          <w:i w:val="0"/>
          <w:szCs w:val="20"/>
        </w:rPr>
        <w:t xml:space="preserve"> obtained on protein and </w:t>
      </w:r>
      <w:r w:rsidR="00CB4D0F">
        <w:rPr>
          <w:i w:val="0"/>
          <w:szCs w:val="20"/>
        </w:rPr>
        <w:t xml:space="preserve">glycosaminoglycan </w:t>
      </w:r>
      <w:r w:rsidR="00227EAC" w:rsidRPr="008413DA">
        <w:rPr>
          <w:i w:val="0"/>
          <w:szCs w:val="20"/>
        </w:rPr>
        <w:t>spots to get specific binding.</w:t>
      </w:r>
      <w:r w:rsidR="00CB4D0F">
        <w:rPr>
          <w:i w:val="0"/>
          <w:szCs w:val="20"/>
        </w:rPr>
        <w:t xml:space="preserve"> (HMW: high molecular weight</w:t>
      </w:r>
      <w:r w:rsidR="0056681A">
        <w:rPr>
          <w:i w:val="0"/>
          <w:szCs w:val="20"/>
        </w:rPr>
        <w:t>, vertical dotted lines: start and end of the association phase).</w:t>
      </w:r>
    </w:p>
    <w:p w14:paraId="5B671D38" w14:textId="77777777" w:rsidR="00DF0AF7" w:rsidRPr="00227EAC" w:rsidRDefault="00DF0AF7" w:rsidP="00AC5D7F">
      <w:pPr>
        <w:rPr>
          <w:rFonts w:ascii="Palatino Linotype" w:hAnsi="Palatino Linotype"/>
          <w:color w:val="000000" w:themeColor="text1"/>
          <w:szCs w:val="20"/>
          <w:lang w:val="en-US"/>
        </w:rPr>
      </w:pPr>
    </w:p>
    <w:p w14:paraId="1DD8CFE0" w14:textId="77777777" w:rsidR="00DF0AF7" w:rsidRDefault="00DF0AF7" w:rsidP="00AC5D7F">
      <w:pPr>
        <w:rPr>
          <w:color w:val="000000" w:themeColor="text1"/>
          <w:szCs w:val="20"/>
          <w:lang w:val="en-US"/>
        </w:rPr>
      </w:pPr>
    </w:p>
    <w:p w14:paraId="7F250B5A" w14:textId="77777777" w:rsidR="002B6FE0" w:rsidRPr="005F528E" w:rsidRDefault="002B6FE0" w:rsidP="005F528E">
      <w:pPr>
        <w:rPr>
          <w:rFonts w:cstheme="minorHAnsi"/>
          <w:lang w:val="en-US"/>
        </w:rPr>
      </w:pPr>
    </w:p>
    <w:sectPr w:rsidR="002B6FE0" w:rsidRPr="005F5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00351"/>
    <w:multiLevelType w:val="hybridMultilevel"/>
    <w:tmpl w:val="CE368C2A"/>
    <w:lvl w:ilvl="0" w:tplc="F56244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D6"/>
    <w:rsid w:val="00004335"/>
    <w:rsid w:val="00021B8E"/>
    <w:rsid w:val="00053798"/>
    <w:rsid w:val="000B5B6A"/>
    <w:rsid w:val="000E2167"/>
    <w:rsid w:val="00123690"/>
    <w:rsid w:val="00163DC7"/>
    <w:rsid w:val="001802A4"/>
    <w:rsid w:val="001B4C8A"/>
    <w:rsid w:val="001D657F"/>
    <w:rsid w:val="00227EAC"/>
    <w:rsid w:val="00266037"/>
    <w:rsid w:val="002B6FE0"/>
    <w:rsid w:val="00312FF5"/>
    <w:rsid w:val="00341701"/>
    <w:rsid w:val="00373352"/>
    <w:rsid w:val="004642E1"/>
    <w:rsid w:val="004A1861"/>
    <w:rsid w:val="004D55C2"/>
    <w:rsid w:val="004D609D"/>
    <w:rsid w:val="004F000C"/>
    <w:rsid w:val="00507010"/>
    <w:rsid w:val="005308DC"/>
    <w:rsid w:val="0056681A"/>
    <w:rsid w:val="00580ECD"/>
    <w:rsid w:val="005F3BB8"/>
    <w:rsid w:val="005F528E"/>
    <w:rsid w:val="00617B90"/>
    <w:rsid w:val="00634F3A"/>
    <w:rsid w:val="00694955"/>
    <w:rsid w:val="006B1496"/>
    <w:rsid w:val="006C2AA0"/>
    <w:rsid w:val="006C5952"/>
    <w:rsid w:val="00753FE5"/>
    <w:rsid w:val="007D2207"/>
    <w:rsid w:val="007D74EA"/>
    <w:rsid w:val="0081055F"/>
    <w:rsid w:val="00821E8D"/>
    <w:rsid w:val="008413DA"/>
    <w:rsid w:val="008A3693"/>
    <w:rsid w:val="008C5585"/>
    <w:rsid w:val="00921AA8"/>
    <w:rsid w:val="009D5378"/>
    <w:rsid w:val="009D73BA"/>
    <w:rsid w:val="009F528B"/>
    <w:rsid w:val="00A3786D"/>
    <w:rsid w:val="00A551EF"/>
    <w:rsid w:val="00AA2107"/>
    <w:rsid w:val="00AC5D7F"/>
    <w:rsid w:val="00B32BB6"/>
    <w:rsid w:val="00B52215"/>
    <w:rsid w:val="00B61CF3"/>
    <w:rsid w:val="00B76D2F"/>
    <w:rsid w:val="00BC0B7C"/>
    <w:rsid w:val="00C119B7"/>
    <w:rsid w:val="00CB4D0F"/>
    <w:rsid w:val="00D64DE8"/>
    <w:rsid w:val="00D756D6"/>
    <w:rsid w:val="00DF0AF7"/>
    <w:rsid w:val="00E230B3"/>
    <w:rsid w:val="00E30E7E"/>
    <w:rsid w:val="00E900BE"/>
    <w:rsid w:val="00EF1CCC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C5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5D7F"/>
    <w:pPr>
      <w:ind w:left="720"/>
      <w:contextualSpacing/>
    </w:pPr>
  </w:style>
  <w:style w:type="paragraph" w:customStyle="1" w:styleId="MDPI34textspacebefore">
    <w:name w:val="MDPI_3.4_text_space_before"/>
    <w:basedOn w:val="Normal"/>
    <w:qFormat/>
    <w:rsid w:val="00341701"/>
    <w:pPr>
      <w:adjustRightInd w:val="0"/>
      <w:snapToGrid w:val="0"/>
      <w:spacing w:before="240"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basedOn w:val="Normal"/>
    <w:qFormat/>
    <w:rsid w:val="00227EAC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053798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053798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4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42E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5F3B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F3B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F3B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F3B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F3BB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7D22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5D7F"/>
    <w:pPr>
      <w:ind w:left="720"/>
      <w:contextualSpacing/>
    </w:pPr>
  </w:style>
  <w:style w:type="paragraph" w:customStyle="1" w:styleId="MDPI34textspacebefore">
    <w:name w:val="MDPI_3.4_text_space_before"/>
    <w:basedOn w:val="Normal"/>
    <w:qFormat/>
    <w:rsid w:val="00341701"/>
    <w:pPr>
      <w:adjustRightInd w:val="0"/>
      <w:snapToGrid w:val="0"/>
      <w:spacing w:before="240"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basedOn w:val="Normal"/>
    <w:qFormat/>
    <w:rsid w:val="00227EAC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053798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053798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4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42E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5F3B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F3B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F3B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F3B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F3BB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7D22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5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Ricard-Blum</dc:creator>
  <cp:lastModifiedBy>Sylvain</cp:lastModifiedBy>
  <cp:revision>2</cp:revision>
  <dcterms:created xsi:type="dcterms:W3CDTF">2020-11-05T00:37:00Z</dcterms:created>
  <dcterms:modified xsi:type="dcterms:W3CDTF">2020-11-05T00:37:00Z</dcterms:modified>
</cp:coreProperties>
</file>