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FFDAF" w14:textId="644A8E29" w:rsidR="00DA3909" w:rsidRDefault="00DA3909" w:rsidP="004C3C82">
      <w:pPr>
        <w:pStyle w:val="NormalWeb"/>
        <w:spacing w:before="0" w:beforeAutospacing="0" w:after="0" w:afterAutospacing="0"/>
        <w:jc w:val="both"/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</w:pPr>
      <w:r>
        <w:rPr>
          <w:noProof/>
        </w:rPr>
        <w:drawing>
          <wp:inline distT="0" distB="0" distL="0" distR="0" wp14:anchorId="32195EAE" wp14:editId="3CFE6630">
            <wp:extent cx="5943600" cy="28968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F610C" w14:textId="2F67979C" w:rsidR="004C3C82" w:rsidRPr="0035390C" w:rsidRDefault="004C3C82" w:rsidP="004C3C82">
      <w:pPr>
        <w:pStyle w:val="NormalWeb"/>
        <w:spacing w:before="0" w:beforeAutospacing="0" w:after="0" w:afterAutospacing="0"/>
        <w:jc w:val="both"/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</w:pPr>
      <w:r w:rsidRPr="0035390C"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  <w:t xml:space="preserve">Figure </w:t>
      </w:r>
      <w:r w:rsidR="00EA0782" w:rsidRPr="0035390C"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  <w:t>S1</w:t>
      </w:r>
      <w:r w:rsidR="0035390C" w:rsidRPr="0035390C"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  <w:t>.</w:t>
      </w:r>
      <w:r w:rsidRPr="0035390C">
        <w:rPr>
          <w:rFonts w:ascii="Palatino Linotype" w:eastAsia="+mn-ea" w:hAnsi="Palatino Linotype"/>
          <w:b/>
          <w:bCs/>
          <w:color w:val="000000" w:themeColor="text1"/>
          <w:kern w:val="24"/>
          <w:sz w:val="18"/>
          <w:szCs w:val="18"/>
        </w:rPr>
        <w:t xml:space="preserve"> The positive controls of FACS</w:t>
      </w:r>
      <w:r w:rsidRPr="0035390C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. T</w:t>
      </w:r>
      <w:r w:rsidRPr="0035390C">
        <w:rPr>
          <w:rFonts w:ascii="Palatino Linotype" w:eastAsia="Calibri" w:hAnsi="Palatino Linotype"/>
          <w:color w:val="000000" w:themeColor="text1"/>
          <w:kern w:val="24"/>
          <w:sz w:val="18"/>
          <w:szCs w:val="18"/>
        </w:rPr>
        <w:t xml:space="preserve">he reliability of FACS experiments was confirmed, by using the following substances in a specific time window: a) thymidine (2mM thymidine -18hrs, release 9hrs-2mM thymidine-17 hours) was used to disrupt the cell cycle in the G1 phase and b) nocodazole (0.4 μg/ml nocodazole-16 hours) was employed to disrupt the cell cycle in the G2 phase. </w:t>
      </w:r>
      <w:r w:rsidRPr="0035390C">
        <w:rPr>
          <w:rFonts w:ascii="Palatino Linotype" w:eastAsia="+mn-ea" w:hAnsi="Palatino Linotype"/>
          <w:color w:val="000000" w:themeColor="text1"/>
          <w:kern w:val="24"/>
          <w:sz w:val="18"/>
          <w:szCs w:val="18"/>
        </w:rPr>
        <w:t>Cells stained with PI were counted using BD FACS Calibur and CellQuest Pro software. Indicative images of the cell cycle of positive controls were represented.</w:t>
      </w:r>
    </w:p>
    <w:p w14:paraId="622ACC91" w14:textId="77777777" w:rsidR="00A635B7" w:rsidRDefault="00A635B7"/>
    <w:sectPr w:rsidR="00A635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zQ1MjIxMDCzNDNS0lEKTi0uzszPAykwrgUArLH1nywAAAA="/>
  </w:docVars>
  <w:rsids>
    <w:rsidRoot w:val="004C3C82"/>
    <w:rsid w:val="0035390C"/>
    <w:rsid w:val="003E7CF0"/>
    <w:rsid w:val="004C3C82"/>
    <w:rsid w:val="00A635B7"/>
    <w:rsid w:val="00DA3909"/>
    <w:rsid w:val="00EA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3F0B"/>
  <w15:chartTrackingRefBased/>
  <w15:docId w15:val="{37E4D543-4307-4797-A409-CF7247F1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C3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462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baliou</dc:creator>
  <cp:keywords/>
  <dc:description/>
  <cp:lastModifiedBy>stella baliou</cp:lastModifiedBy>
  <cp:revision>5</cp:revision>
  <dcterms:created xsi:type="dcterms:W3CDTF">2020-11-28T18:25:00Z</dcterms:created>
  <dcterms:modified xsi:type="dcterms:W3CDTF">2021-01-06T11:39:00Z</dcterms:modified>
</cp:coreProperties>
</file>