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6464E3" w14:textId="77777777" w:rsidR="00F51E3F" w:rsidRPr="0020136D" w:rsidRDefault="00F51E3F" w:rsidP="00F51E3F">
      <w:pPr>
        <w:pStyle w:val="Header"/>
        <w:rPr>
          <w:b/>
        </w:rPr>
      </w:pPr>
      <w:bookmarkStart w:id="0" w:name="_Toc49941442"/>
      <w:r w:rsidRPr="0020136D">
        <w:rPr>
          <w:b/>
        </w:rPr>
        <w:t>Supplementary File 2: Materials and methods</w:t>
      </w:r>
    </w:p>
    <w:p w14:paraId="001D9998" w14:textId="50F197EC" w:rsidR="00F51E3F" w:rsidRPr="00F51E3F" w:rsidRDefault="00F51E3F" w:rsidP="00F51E3F">
      <w:pPr>
        <w:spacing w:line="276" w:lineRule="auto"/>
        <w:jc w:val="center"/>
        <w:rPr>
          <w:rFonts w:cs="Calibri"/>
          <w:sz w:val="22"/>
          <w:szCs w:val="22"/>
        </w:rPr>
      </w:pPr>
      <w:r w:rsidRPr="00F51E3F">
        <w:rPr>
          <w:rFonts w:cs="Calibri"/>
          <w:b/>
          <w:bCs/>
          <w:sz w:val="22"/>
          <w:szCs w:val="22"/>
        </w:rPr>
        <w:t xml:space="preserve">Table 2.1. </w:t>
      </w:r>
      <w:r w:rsidRPr="00F51E3F">
        <w:rPr>
          <w:rFonts w:cs="Calibri"/>
          <w:bCs/>
          <w:sz w:val="22"/>
          <w:szCs w:val="22"/>
        </w:rPr>
        <w:t>The neuroblastoma cell lines and PDXs used in this study.</w:t>
      </w:r>
    </w:p>
    <w:tbl>
      <w:tblPr>
        <w:tblStyle w:val="PlainTable21"/>
        <w:tblW w:w="9091" w:type="dxa"/>
        <w:jc w:val="center"/>
        <w:tblBorders>
          <w:top w:val="single" w:sz="8" w:space="0" w:color="auto"/>
          <w:bottom w:val="single" w:sz="8" w:space="0" w:color="auto"/>
          <w:insideH w:val="single" w:sz="4" w:space="0" w:color="7F7F7F"/>
        </w:tblBorders>
        <w:tblLayout w:type="fixed"/>
        <w:tblCellMar>
          <w:left w:w="0" w:type="dxa"/>
          <w:right w:w="0" w:type="dxa"/>
        </w:tblCellMar>
        <w:tblLook w:val="04A0" w:firstRow="1" w:lastRow="0" w:firstColumn="1" w:lastColumn="0" w:noHBand="0" w:noVBand="1"/>
      </w:tblPr>
      <w:tblGrid>
        <w:gridCol w:w="1516"/>
        <w:gridCol w:w="1515"/>
        <w:gridCol w:w="1515"/>
        <w:gridCol w:w="1515"/>
        <w:gridCol w:w="1515"/>
        <w:gridCol w:w="1515"/>
      </w:tblGrid>
      <w:tr w:rsidR="00F51E3F" w:rsidRPr="0020136D" w14:paraId="781736EE" w14:textId="77777777" w:rsidTr="00F51E3F">
        <w:trPr>
          <w:cnfStyle w:val="100000000000" w:firstRow="1" w:lastRow="0" w:firstColumn="0" w:lastColumn="0" w:oddVBand="0" w:evenVBand="0" w:oddHBand="0" w:evenHBand="0" w:firstRowFirstColumn="0" w:firstRowLastColumn="0" w:lastRowFirstColumn="0" w:lastRowLastColumn="0"/>
          <w:trHeight w:val="435"/>
          <w:jc w:val="center"/>
        </w:trPr>
        <w:tc>
          <w:tcPr>
            <w:cnfStyle w:val="001000000000" w:firstRow="0" w:lastRow="0" w:firstColumn="1" w:lastColumn="0" w:oddVBand="0" w:evenVBand="0" w:oddHBand="0" w:evenHBand="0" w:firstRowFirstColumn="0" w:firstRowLastColumn="0" w:lastRowFirstColumn="0" w:lastRowLastColumn="0"/>
            <w:tcW w:w="1516" w:type="dxa"/>
            <w:tcBorders>
              <w:top w:val="single" w:sz="8" w:space="0" w:color="auto"/>
            </w:tcBorders>
            <w:shd w:val="clear" w:color="auto" w:fill="auto"/>
            <w:noWrap/>
            <w:vAlign w:val="center"/>
            <w:hideMark/>
          </w:tcPr>
          <w:p w14:paraId="0A9A1D1C" w14:textId="77777777" w:rsidR="00F51E3F" w:rsidRPr="00F51E3F" w:rsidRDefault="00F51E3F" w:rsidP="001D39C6">
            <w:pPr>
              <w:autoSpaceDE w:val="0"/>
              <w:autoSpaceDN w:val="0"/>
              <w:adjustRightInd w:val="0"/>
              <w:snapToGrid w:val="0"/>
              <w:spacing w:line="240" w:lineRule="auto"/>
              <w:jc w:val="center"/>
              <w:rPr>
                <w:rFonts w:cs="Calibri"/>
                <w:sz w:val="18"/>
                <w:szCs w:val="22"/>
              </w:rPr>
            </w:pPr>
            <w:r w:rsidRPr="00F51E3F">
              <w:rPr>
                <w:rFonts w:cs="Calibri"/>
                <w:sz w:val="18"/>
                <w:szCs w:val="22"/>
              </w:rPr>
              <w:t>Cell Line/</w:t>
            </w:r>
          </w:p>
          <w:p w14:paraId="555B7A30" w14:textId="77777777" w:rsidR="00F51E3F" w:rsidRPr="00F51E3F" w:rsidRDefault="00F51E3F" w:rsidP="001D39C6">
            <w:pPr>
              <w:autoSpaceDE w:val="0"/>
              <w:autoSpaceDN w:val="0"/>
              <w:adjustRightInd w:val="0"/>
              <w:snapToGrid w:val="0"/>
              <w:spacing w:line="240" w:lineRule="auto"/>
              <w:jc w:val="center"/>
              <w:rPr>
                <w:rFonts w:cs="Calibri"/>
                <w:sz w:val="18"/>
                <w:szCs w:val="22"/>
              </w:rPr>
            </w:pPr>
            <w:r w:rsidRPr="00F51E3F">
              <w:rPr>
                <w:rFonts w:cs="Calibri"/>
                <w:sz w:val="18"/>
                <w:szCs w:val="22"/>
              </w:rPr>
              <w:t>PDX</w:t>
            </w:r>
          </w:p>
        </w:tc>
        <w:tc>
          <w:tcPr>
            <w:tcW w:w="1515" w:type="dxa"/>
            <w:tcBorders>
              <w:top w:val="single" w:sz="8" w:space="0" w:color="auto"/>
            </w:tcBorders>
            <w:shd w:val="clear" w:color="auto" w:fill="auto"/>
            <w:noWrap/>
            <w:vAlign w:val="center"/>
            <w:hideMark/>
          </w:tcPr>
          <w:p w14:paraId="316B6270" w14:textId="77777777" w:rsidR="00F51E3F" w:rsidRPr="00F51E3F" w:rsidRDefault="00F51E3F" w:rsidP="001D39C6">
            <w:pPr>
              <w:autoSpaceDE w:val="0"/>
              <w:autoSpaceDN w:val="0"/>
              <w:adjustRightInd w:val="0"/>
              <w:snapToGrid w:val="0"/>
              <w:spacing w:line="240" w:lineRule="auto"/>
              <w:jc w:val="center"/>
              <w:cnfStyle w:val="100000000000" w:firstRow="1" w:lastRow="0" w:firstColumn="0" w:lastColumn="0" w:oddVBand="0" w:evenVBand="0" w:oddHBand="0" w:evenHBand="0" w:firstRowFirstColumn="0" w:firstRowLastColumn="0" w:lastRowFirstColumn="0" w:lastRowLastColumn="0"/>
              <w:rPr>
                <w:rFonts w:cs="Calibri"/>
                <w:sz w:val="18"/>
                <w:szCs w:val="22"/>
              </w:rPr>
            </w:pPr>
            <w:r w:rsidRPr="00F51E3F">
              <w:rPr>
                <w:rFonts w:cs="Calibri"/>
                <w:sz w:val="18"/>
                <w:szCs w:val="22"/>
              </w:rPr>
              <w:t>MYCN Amplified</w:t>
            </w:r>
          </w:p>
        </w:tc>
        <w:tc>
          <w:tcPr>
            <w:tcW w:w="1515" w:type="dxa"/>
            <w:tcBorders>
              <w:top w:val="single" w:sz="8" w:space="0" w:color="auto"/>
            </w:tcBorders>
            <w:shd w:val="clear" w:color="auto" w:fill="auto"/>
            <w:noWrap/>
            <w:vAlign w:val="center"/>
            <w:hideMark/>
          </w:tcPr>
          <w:p w14:paraId="7FAC3987" w14:textId="77777777" w:rsidR="00F51E3F" w:rsidRPr="00F51E3F" w:rsidRDefault="00F51E3F" w:rsidP="001D39C6">
            <w:pPr>
              <w:autoSpaceDE w:val="0"/>
              <w:autoSpaceDN w:val="0"/>
              <w:adjustRightInd w:val="0"/>
              <w:snapToGrid w:val="0"/>
              <w:spacing w:line="240" w:lineRule="auto"/>
              <w:jc w:val="center"/>
              <w:cnfStyle w:val="100000000000" w:firstRow="1" w:lastRow="0" w:firstColumn="0" w:lastColumn="0" w:oddVBand="0" w:evenVBand="0" w:oddHBand="0" w:evenHBand="0" w:firstRowFirstColumn="0" w:firstRowLastColumn="0" w:lastRowFirstColumn="0" w:lastRowLastColumn="0"/>
              <w:rPr>
                <w:rFonts w:cs="Calibri"/>
                <w:sz w:val="18"/>
                <w:szCs w:val="22"/>
              </w:rPr>
            </w:pPr>
            <w:r w:rsidRPr="00F51E3F">
              <w:rPr>
                <w:rFonts w:cs="Calibri"/>
                <w:sz w:val="18"/>
                <w:szCs w:val="22"/>
              </w:rPr>
              <w:t>Chromosome 1p Alteration</w:t>
            </w:r>
          </w:p>
        </w:tc>
        <w:tc>
          <w:tcPr>
            <w:tcW w:w="1515" w:type="dxa"/>
            <w:tcBorders>
              <w:top w:val="single" w:sz="8" w:space="0" w:color="auto"/>
            </w:tcBorders>
            <w:shd w:val="clear" w:color="auto" w:fill="auto"/>
            <w:noWrap/>
            <w:vAlign w:val="center"/>
            <w:hideMark/>
          </w:tcPr>
          <w:p w14:paraId="0D27DDE4" w14:textId="77777777" w:rsidR="00F51E3F" w:rsidRPr="00F51E3F" w:rsidRDefault="00F51E3F" w:rsidP="001D39C6">
            <w:pPr>
              <w:autoSpaceDE w:val="0"/>
              <w:autoSpaceDN w:val="0"/>
              <w:adjustRightInd w:val="0"/>
              <w:snapToGrid w:val="0"/>
              <w:spacing w:line="240" w:lineRule="auto"/>
              <w:jc w:val="center"/>
              <w:cnfStyle w:val="100000000000" w:firstRow="1" w:lastRow="0" w:firstColumn="0" w:lastColumn="0" w:oddVBand="0" w:evenVBand="0" w:oddHBand="0" w:evenHBand="0" w:firstRowFirstColumn="0" w:firstRowLastColumn="0" w:lastRowFirstColumn="0" w:lastRowLastColumn="0"/>
              <w:rPr>
                <w:rFonts w:cs="Calibri"/>
                <w:sz w:val="18"/>
                <w:szCs w:val="22"/>
              </w:rPr>
            </w:pPr>
            <w:r w:rsidRPr="00F51E3F">
              <w:rPr>
                <w:rFonts w:cs="Calibri"/>
                <w:sz w:val="18"/>
                <w:szCs w:val="22"/>
              </w:rPr>
              <w:t>Chromosome 17q Alteration</w:t>
            </w:r>
          </w:p>
        </w:tc>
        <w:tc>
          <w:tcPr>
            <w:tcW w:w="1515" w:type="dxa"/>
            <w:tcBorders>
              <w:top w:val="single" w:sz="8" w:space="0" w:color="auto"/>
            </w:tcBorders>
            <w:shd w:val="clear" w:color="auto" w:fill="auto"/>
            <w:noWrap/>
            <w:vAlign w:val="center"/>
            <w:hideMark/>
          </w:tcPr>
          <w:p w14:paraId="4D783265" w14:textId="77777777" w:rsidR="00F51E3F" w:rsidRPr="00F51E3F" w:rsidRDefault="00F51E3F" w:rsidP="001D39C6">
            <w:pPr>
              <w:autoSpaceDE w:val="0"/>
              <w:autoSpaceDN w:val="0"/>
              <w:adjustRightInd w:val="0"/>
              <w:snapToGrid w:val="0"/>
              <w:spacing w:line="240" w:lineRule="auto"/>
              <w:jc w:val="center"/>
              <w:cnfStyle w:val="100000000000" w:firstRow="1" w:lastRow="0" w:firstColumn="0" w:lastColumn="0" w:oddVBand="0" w:evenVBand="0" w:oddHBand="0" w:evenHBand="0" w:firstRowFirstColumn="0" w:firstRowLastColumn="0" w:lastRowFirstColumn="0" w:lastRowLastColumn="0"/>
              <w:rPr>
                <w:rFonts w:cs="Calibri"/>
                <w:sz w:val="18"/>
                <w:szCs w:val="22"/>
              </w:rPr>
            </w:pPr>
            <w:r w:rsidRPr="00F51E3F">
              <w:rPr>
                <w:rFonts w:cs="Calibri"/>
                <w:sz w:val="18"/>
                <w:szCs w:val="22"/>
              </w:rPr>
              <w:t>ALK Mutation</w:t>
            </w:r>
          </w:p>
        </w:tc>
        <w:tc>
          <w:tcPr>
            <w:tcW w:w="1515" w:type="dxa"/>
            <w:tcBorders>
              <w:top w:val="single" w:sz="8" w:space="0" w:color="auto"/>
            </w:tcBorders>
            <w:shd w:val="clear" w:color="auto" w:fill="auto"/>
            <w:vAlign w:val="center"/>
          </w:tcPr>
          <w:p w14:paraId="173219DF" w14:textId="77777777" w:rsidR="00F51E3F" w:rsidRPr="00F51E3F" w:rsidRDefault="00F51E3F" w:rsidP="001D39C6">
            <w:pPr>
              <w:autoSpaceDE w:val="0"/>
              <w:autoSpaceDN w:val="0"/>
              <w:adjustRightInd w:val="0"/>
              <w:snapToGrid w:val="0"/>
              <w:spacing w:line="240" w:lineRule="auto"/>
              <w:jc w:val="center"/>
              <w:cnfStyle w:val="100000000000" w:firstRow="1" w:lastRow="0" w:firstColumn="0" w:lastColumn="0" w:oddVBand="0" w:evenVBand="0" w:oddHBand="0" w:evenHBand="0" w:firstRowFirstColumn="0" w:firstRowLastColumn="0" w:lastRowFirstColumn="0" w:lastRowLastColumn="0"/>
              <w:rPr>
                <w:rFonts w:cs="Calibri"/>
                <w:sz w:val="18"/>
                <w:szCs w:val="22"/>
              </w:rPr>
            </w:pPr>
            <w:r w:rsidRPr="00F51E3F">
              <w:rPr>
                <w:rFonts w:cs="Calibri"/>
                <w:sz w:val="18"/>
                <w:szCs w:val="22"/>
              </w:rPr>
              <w:t>Culture Medium</w:t>
            </w:r>
          </w:p>
        </w:tc>
      </w:tr>
      <w:tr w:rsidR="00F51E3F" w:rsidRPr="0020136D" w14:paraId="23A4AC88" w14:textId="77777777" w:rsidTr="00F51E3F">
        <w:trPr>
          <w:cnfStyle w:val="000000100000" w:firstRow="0" w:lastRow="0" w:firstColumn="0" w:lastColumn="0" w:oddVBand="0" w:evenVBand="0" w:oddHBand="1" w:evenHBand="0" w:firstRowFirstColumn="0" w:firstRowLastColumn="0" w:lastRowFirstColumn="0" w:lastRowLastColumn="0"/>
          <w:trHeight w:val="221"/>
          <w:jc w:val="center"/>
        </w:trPr>
        <w:tc>
          <w:tcPr>
            <w:cnfStyle w:val="001000000000" w:firstRow="0" w:lastRow="0" w:firstColumn="1" w:lastColumn="0" w:oddVBand="0" w:evenVBand="0" w:oddHBand="0" w:evenHBand="0" w:firstRowFirstColumn="0" w:firstRowLastColumn="0" w:lastRowFirstColumn="0" w:lastRowLastColumn="0"/>
            <w:tcW w:w="1516" w:type="dxa"/>
            <w:shd w:val="clear" w:color="auto" w:fill="auto"/>
            <w:noWrap/>
            <w:vAlign w:val="center"/>
            <w:hideMark/>
          </w:tcPr>
          <w:p w14:paraId="2DA34E22" w14:textId="77777777" w:rsidR="00F51E3F" w:rsidRPr="00F51E3F" w:rsidRDefault="00F51E3F" w:rsidP="001D39C6">
            <w:pPr>
              <w:autoSpaceDE w:val="0"/>
              <w:autoSpaceDN w:val="0"/>
              <w:adjustRightInd w:val="0"/>
              <w:snapToGrid w:val="0"/>
              <w:spacing w:line="240" w:lineRule="auto"/>
              <w:jc w:val="center"/>
              <w:rPr>
                <w:rFonts w:cs="Calibri"/>
                <w:sz w:val="18"/>
                <w:szCs w:val="22"/>
              </w:rPr>
            </w:pPr>
          </w:p>
        </w:tc>
        <w:tc>
          <w:tcPr>
            <w:tcW w:w="1515" w:type="dxa"/>
            <w:shd w:val="clear" w:color="auto" w:fill="auto"/>
            <w:noWrap/>
            <w:vAlign w:val="center"/>
            <w:hideMark/>
          </w:tcPr>
          <w:p w14:paraId="6CF949FD"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p>
        </w:tc>
        <w:tc>
          <w:tcPr>
            <w:tcW w:w="1515" w:type="dxa"/>
            <w:shd w:val="clear" w:color="auto" w:fill="auto"/>
            <w:noWrap/>
            <w:vAlign w:val="center"/>
            <w:hideMark/>
          </w:tcPr>
          <w:p w14:paraId="32984E5F"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p>
        </w:tc>
        <w:tc>
          <w:tcPr>
            <w:tcW w:w="1515" w:type="dxa"/>
            <w:shd w:val="clear" w:color="auto" w:fill="auto"/>
            <w:noWrap/>
            <w:vAlign w:val="center"/>
            <w:hideMark/>
          </w:tcPr>
          <w:p w14:paraId="180355E0"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p>
        </w:tc>
        <w:tc>
          <w:tcPr>
            <w:tcW w:w="1515" w:type="dxa"/>
            <w:shd w:val="clear" w:color="auto" w:fill="auto"/>
            <w:noWrap/>
            <w:vAlign w:val="center"/>
            <w:hideMark/>
          </w:tcPr>
          <w:p w14:paraId="5302312A"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p>
        </w:tc>
        <w:tc>
          <w:tcPr>
            <w:tcW w:w="1515" w:type="dxa"/>
            <w:shd w:val="clear" w:color="auto" w:fill="auto"/>
            <w:vAlign w:val="center"/>
          </w:tcPr>
          <w:p w14:paraId="1624FA58"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p>
        </w:tc>
      </w:tr>
      <w:tr w:rsidR="00F51E3F" w:rsidRPr="0020136D" w14:paraId="3E69961C" w14:textId="77777777" w:rsidTr="00F51E3F">
        <w:trPr>
          <w:trHeight w:val="221"/>
          <w:jc w:val="center"/>
        </w:trPr>
        <w:tc>
          <w:tcPr>
            <w:cnfStyle w:val="001000000000" w:firstRow="0" w:lastRow="0" w:firstColumn="1" w:lastColumn="0" w:oddVBand="0" w:evenVBand="0" w:oddHBand="0" w:evenHBand="0" w:firstRowFirstColumn="0" w:firstRowLastColumn="0" w:lastRowFirstColumn="0" w:lastRowLastColumn="0"/>
            <w:tcW w:w="1516" w:type="dxa"/>
            <w:shd w:val="clear" w:color="auto" w:fill="auto"/>
            <w:noWrap/>
            <w:vAlign w:val="center"/>
            <w:hideMark/>
          </w:tcPr>
          <w:p w14:paraId="7F7B9779" w14:textId="77777777" w:rsidR="00F51E3F" w:rsidRPr="00F51E3F" w:rsidRDefault="00F51E3F" w:rsidP="001D39C6">
            <w:pPr>
              <w:autoSpaceDE w:val="0"/>
              <w:autoSpaceDN w:val="0"/>
              <w:adjustRightInd w:val="0"/>
              <w:snapToGrid w:val="0"/>
              <w:spacing w:line="240" w:lineRule="auto"/>
              <w:jc w:val="center"/>
              <w:rPr>
                <w:rFonts w:cs="Calibri"/>
                <w:sz w:val="18"/>
                <w:szCs w:val="22"/>
              </w:rPr>
            </w:pPr>
            <w:r w:rsidRPr="00F51E3F">
              <w:rPr>
                <w:rFonts w:cs="Calibri"/>
                <w:sz w:val="18"/>
                <w:szCs w:val="22"/>
              </w:rPr>
              <w:t>Kelly</w:t>
            </w:r>
          </w:p>
        </w:tc>
        <w:tc>
          <w:tcPr>
            <w:tcW w:w="1515" w:type="dxa"/>
            <w:shd w:val="clear" w:color="auto" w:fill="auto"/>
            <w:noWrap/>
            <w:vAlign w:val="center"/>
            <w:hideMark/>
          </w:tcPr>
          <w:p w14:paraId="436EF465"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r w:rsidRPr="0020136D">
              <w:rPr>
                <w:rFonts w:ascii="Segoe UI Symbol" w:hAnsi="Segoe UI Symbol" w:cs="Segoe UI Symbol"/>
                <w:sz w:val="18"/>
                <w:szCs w:val="22"/>
              </w:rPr>
              <w:t>✓</w:t>
            </w:r>
          </w:p>
        </w:tc>
        <w:tc>
          <w:tcPr>
            <w:tcW w:w="1515" w:type="dxa"/>
            <w:shd w:val="clear" w:color="auto" w:fill="auto"/>
            <w:noWrap/>
            <w:vAlign w:val="center"/>
            <w:hideMark/>
          </w:tcPr>
          <w:p w14:paraId="12A28EDA"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p>
        </w:tc>
        <w:tc>
          <w:tcPr>
            <w:tcW w:w="1515" w:type="dxa"/>
            <w:shd w:val="clear" w:color="auto" w:fill="auto"/>
            <w:noWrap/>
            <w:vAlign w:val="center"/>
            <w:hideMark/>
          </w:tcPr>
          <w:p w14:paraId="014EF19A"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r w:rsidRPr="00F51E3F">
              <w:rPr>
                <w:rFonts w:cs="Calibri"/>
                <w:sz w:val="18"/>
                <w:szCs w:val="22"/>
              </w:rPr>
              <w:t>gain</w:t>
            </w:r>
          </w:p>
        </w:tc>
        <w:tc>
          <w:tcPr>
            <w:tcW w:w="1515" w:type="dxa"/>
            <w:shd w:val="clear" w:color="auto" w:fill="auto"/>
            <w:noWrap/>
            <w:vAlign w:val="center"/>
            <w:hideMark/>
          </w:tcPr>
          <w:p w14:paraId="4C976175"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r w:rsidRPr="00F51E3F">
              <w:rPr>
                <w:rFonts w:cs="Calibri"/>
                <w:sz w:val="18"/>
                <w:szCs w:val="22"/>
              </w:rPr>
              <w:t>ALK F1174L</w:t>
            </w:r>
          </w:p>
        </w:tc>
        <w:tc>
          <w:tcPr>
            <w:tcW w:w="1515" w:type="dxa"/>
            <w:shd w:val="clear" w:color="auto" w:fill="auto"/>
            <w:vAlign w:val="center"/>
          </w:tcPr>
          <w:p w14:paraId="6682AE67"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r w:rsidRPr="0020136D">
              <w:rPr>
                <w:sz w:val="18"/>
                <w:szCs w:val="22"/>
              </w:rPr>
              <w:t>RPMI, 10% FBS, P/S</w:t>
            </w:r>
          </w:p>
        </w:tc>
      </w:tr>
      <w:tr w:rsidR="00F51E3F" w:rsidRPr="0020136D" w14:paraId="34CBB01B" w14:textId="77777777" w:rsidTr="00F51E3F">
        <w:trPr>
          <w:cnfStyle w:val="000000100000" w:firstRow="0" w:lastRow="0" w:firstColumn="0" w:lastColumn="0" w:oddVBand="0" w:evenVBand="0" w:oddHBand="1" w:evenHBand="0" w:firstRowFirstColumn="0" w:firstRowLastColumn="0" w:lastRowFirstColumn="0" w:lastRowLastColumn="0"/>
          <w:trHeight w:val="435"/>
          <w:jc w:val="center"/>
        </w:trPr>
        <w:tc>
          <w:tcPr>
            <w:cnfStyle w:val="001000000000" w:firstRow="0" w:lastRow="0" w:firstColumn="1" w:lastColumn="0" w:oddVBand="0" w:evenVBand="0" w:oddHBand="0" w:evenHBand="0" w:firstRowFirstColumn="0" w:firstRowLastColumn="0" w:lastRowFirstColumn="0" w:lastRowLastColumn="0"/>
            <w:tcW w:w="1516" w:type="dxa"/>
            <w:shd w:val="clear" w:color="auto" w:fill="auto"/>
            <w:noWrap/>
            <w:vAlign w:val="center"/>
            <w:hideMark/>
          </w:tcPr>
          <w:p w14:paraId="73B09134" w14:textId="77777777" w:rsidR="00F51E3F" w:rsidRPr="00F51E3F" w:rsidRDefault="00F51E3F" w:rsidP="001D39C6">
            <w:pPr>
              <w:autoSpaceDE w:val="0"/>
              <w:autoSpaceDN w:val="0"/>
              <w:adjustRightInd w:val="0"/>
              <w:snapToGrid w:val="0"/>
              <w:spacing w:line="240" w:lineRule="auto"/>
              <w:jc w:val="center"/>
              <w:rPr>
                <w:rFonts w:cs="Calibri"/>
                <w:sz w:val="18"/>
                <w:szCs w:val="22"/>
              </w:rPr>
            </w:pPr>
            <w:r w:rsidRPr="00F51E3F">
              <w:rPr>
                <w:rFonts w:cs="Calibri"/>
                <w:sz w:val="18"/>
                <w:szCs w:val="22"/>
              </w:rPr>
              <w:t>CHP212</w:t>
            </w:r>
          </w:p>
        </w:tc>
        <w:tc>
          <w:tcPr>
            <w:tcW w:w="1515" w:type="dxa"/>
            <w:shd w:val="clear" w:color="auto" w:fill="auto"/>
            <w:noWrap/>
            <w:vAlign w:val="center"/>
            <w:hideMark/>
          </w:tcPr>
          <w:p w14:paraId="57BF5A58"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r w:rsidRPr="0020136D">
              <w:rPr>
                <w:rFonts w:ascii="Segoe UI Symbol" w:hAnsi="Segoe UI Symbol" w:cs="Segoe UI Symbol"/>
                <w:sz w:val="18"/>
                <w:szCs w:val="22"/>
              </w:rPr>
              <w:t>✓</w:t>
            </w:r>
          </w:p>
        </w:tc>
        <w:tc>
          <w:tcPr>
            <w:tcW w:w="1515" w:type="dxa"/>
            <w:shd w:val="clear" w:color="auto" w:fill="auto"/>
            <w:noWrap/>
            <w:vAlign w:val="center"/>
            <w:hideMark/>
          </w:tcPr>
          <w:p w14:paraId="62F9D5E2"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r w:rsidRPr="00F51E3F">
              <w:rPr>
                <w:rFonts w:cs="Calibri"/>
                <w:sz w:val="18"/>
                <w:szCs w:val="22"/>
              </w:rPr>
              <w:t>loss</w:t>
            </w:r>
          </w:p>
        </w:tc>
        <w:tc>
          <w:tcPr>
            <w:tcW w:w="1515" w:type="dxa"/>
            <w:shd w:val="clear" w:color="auto" w:fill="auto"/>
            <w:noWrap/>
            <w:vAlign w:val="center"/>
            <w:hideMark/>
          </w:tcPr>
          <w:p w14:paraId="258F18DE"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r w:rsidRPr="00F51E3F">
              <w:rPr>
                <w:rFonts w:cs="Calibri"/>
                <w:sz w:val="18"/>
                <w:szCs w:val="22"/>
              </w:rPr>
              <w:t>gain</w:t>
            </w:r>
          </w:p>
        </w:tc>
        <w:tc>
          <w:tcPr>
            <w:tcW w:w="1515" w:type="dxa"/>
            <w:shd w:val="clear" w:color="auto" w:fill="auto"/>
            <w:noWrap/>
            <w:vAlign w:val="center"/>
            <w:hideMark/>
          </w:tcPr>
          <w:p w14:paraId="7DB9C759"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r w:rsidRPr="00F51E3F">
              <w:rPr>
                <w:rFonts w:cs="Calibri"/>
                <w:sz w:val="18"/>
                <w:szCs w:val="22"/>
              </w:rPr>
              <w:t>WT</w:t>
            </w:r>
          </w:p>
        </w:tc>
        <w:tc>
          <w:tcPr>
            <w:tcW w:w="1515" w:type="dxa"/>
            <w:shd w:val="clear" w:color="auto" w:fill="auto"/>
            <w:vAlign w:val="center"/>
          </w:tcPr>
          <w:p w14:paraId="5B21A534"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r w:rsidRPr="0020136D">
              <w:rPr>
                <w:sz w:val="18"/>
                <w:szCs w:val="22"/>
              </w:rPr>
              <w:t>MEM:F12, 10% FBS, 1% L-glut, P/S</w:t>
            </w:r>
          </w:p>
        </w:tc>
      </w:tr>
      <w:tr w:rsidR="00F51E3F" w:rsidRPr="0020136D" w14:paraId="07E5EFAF" w14:textId="77777777" w:rsidTr="00F51E3F">
        <w:trPr>
          <w:trHeight w:val="443"/>
          <w:jc w:val="center"/>
        </w:trPr>
        <w:tc>
          <w:tcPr>
            <w:cnfStyle w:val="001000000000" w:firstRow="0" w:lastRow="0" w:firstColumn="1" w:lastColumn="0" w:oddVBand="0" w:evenVBand="0" w:oddHBand="0" w:evenHBand="0" w:firstRowFirstColumn="0" w:firstRowLastColumn="0" w:lastRowFirstColumn="0" w:lastRowLastColumn="0"/>
            <w:tcW w:w="1516" w:type="dxa"/>
            <w:shd w:val="clear" w:color="auto" w:fill="auto"/>
            <w:noWrap/>
            <w:vAlign w:val="center"/>
            <w:hideMark/>
          </w:tcPr>
          <w:p w14:paraId="052FCB16" w14:textId="77777777" w:rsidR="00F51E3F" w:rsidRPr="00F51E3F" w:rsidRDefault="00F51E3F" w:rsidP="001D39C6">
            <w:pPr>
              <w:autoSpaceDE w:val="0"/>
              <w:autoSpaceDN w:val="0"/>
              <w:adjustRightInd w:val="0"/>
              <w:snapToGrid w:val="0"/>
              <w:spacing w:line="240" w:lineRule="auto"/>
              <w:jc w:val="center"/>
              <w:rPr>
                <w:rFonts w:cs="Calibri"/>
                <w:sz w:val="18"/>
                <w:szCs w:val="22"/>
              </w:rPr>
            </w:pPr>
            <w:r w:rsidRPr="00F51E3F">
              <w:rPr>
                <w:rFonts w:cs="Calibri"/>
                <w:sz w:val="18"/>
                <w:szCs w:val="22"/>
              </w:rPr>
              <w:t>SHSY-5Y</w:t>
            </w:r>
          </w:p>
        </w:tc>
        <w:tc>
          <w:tcPr>
            <w:tcW w:w="1515" w:type="dxa"/>
            <w:shd w:val="clear" w:color="auto" w:fill="auto"/>
            <w:noWrap/>
            <w:vAlign w:val="center"/>
            <w:hideMark/>
          </w:tcPr>
          <w:p w14:paraId="158EC537"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r w:rsidRPr="0020136D">
              <w:rPr>
                <w:rFonts w:ascii="Segoe UI Symbol" w:hAnsi="Segoe UI Symbol" w:cs="Segoe UI Symbol"/>
                <w:sz w:val="18"/>
                <w:szCs w:val="22"/>
              </w:rPr>
              <w:t>✕</w:t>
            </w:r>
          </w:p>
        </w:tc>
        <w:tc>
          <w:tcPr>
            <w:tcW w:w="1515" w:type="dxa"/>
            <w:shd w:val="clear" w:color="auto" w:fill="auto"/>
            <w:noWrap/>
            <w:vAlign w:val="center"/>
            <w:hideMark/>
          </w:tcPr>
          <w:p w14:paraId="213087A1"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r w:rsidRPr="00F51E3F">
              <w:rPr>
                <w:rFonts w:cs="Calibri"/>
                <w:sz w:val="18"/>
                <w:szCs w:val="22"/>
              </w:rPr>
              <w:t>gain</w:t>
            </w:r>
          </w:p>
        </w:tc>
        <w:tc>
          <w:tcPr>
            <w:tcW w:w="1515" w:type="dxa"/>
            <w:shd w:val="clear" w:color="auto" w:fill="auto"/>
            <w:noWrap/>
            <w:vAlign w:val="center"/>
            <w:hideMark/>
          </w:tcPr>
          <w:p w14:paraId="5DCFEB40"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p>
        </w:tc>
        <w:tc>
          <w:tcPr>
            <w:tcW w:w="1515" w:type="dxa"/>
            <w:shd w:val="clear" w:color="auto" w:fill="auto"/>
            <w:noWrap/>
            <w:vAlign w:val="center"/>
            <w:hideMark/>
          </w:tcPr>
          <w:p w14:paraId="0C80E632"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r w:rsidRPr="00F51E3F">
              <w:rPr>
                <w:rFonts w:cs="Calibri"/>
                <w:sz w:val="18"/>
                <w:szCs w:val="22"/>
              </w:rPr>
              <w:t>ALK F1174L</w:t>
            </w:r>
          </w:p>
        </w:tc>
        <w:tc>
          <w:tcPr>
            <w:tcW w:w="1515" w:type="dxa"/>
            <w:shd w:val="clear" w:color="auto" w:fill="auto"/>
            <w:vAlign w:val="center"/>
          </w:tcPr>
          <w:p w14:paraId="480BCDE0"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r w:rsidRPr="00F51E3F">
              <w:rPr>
                <w:rFonts w:cs="Calibri"/>
                <w:sz w:val="18"/>
                <w:szCs w:val="22"/>
              </w:rPr>
              <w:t>MEM:F12, 10% FBS, P/S</w:t>
            </w:r>
          </w:p>
        </w:tc>
      </w:tr>
      <w:tr w:rsidR="00F51E3F" w:rsidRPr="0020136D" w14:paraId="76883495" w14:textId="77777777" w:rsidTr="00F51E3F">
        <w:trPr>
          <w:cnfStyle w:val="000000100000" w:firstRow="0" w:lastRow="0" w:firstColumn="0" w:lastColumn="0" w:oddVBand="0" w:evenVBand="0" w:oddHBand="1" w:evenHBand="0" w:firstRowFirstColumn="0" w:firstRowLastColumn="0" w:lastRowFirstColumn="0" w:lastRowLastColumn="0"/>
          <w:trHeight w:val="213"/>
          <w:jc w:val="center"/>
        </w:trPr>
        <w:tc>
          <w:tcPr>
            <w:cnfStyle w:val="001000000000" w:firstRow="0" w:lastRow="0" w:firstColumn="1" w:lastColumn="0" w:oddVBand="0" w:evenVBand="0" w:oddHBand="0" w:evenHBand="0" w:firstRowFirstColumn="0" w:firstRowLastColumn="0" w:lastRowFirstColumn="0" w:lastRowLastColumn="0"/>
            <w:tcW w:w="1516" w:type="dxa"/>
            <w:shd w:val="clear" w:color="auto" w:fill="auto"/>
            <w:noWrap/>
            <w:vAlign w:val="center"/>
            <w:hideMark/>
          </w:tcPr>
          <w:p w14:paraId="1B28AFDE" w14:textId="77777777" w:rsidR="00F51E3F" w:rsidRPr="00F51E3F" w:rsidRDefault="00F51E3F" w:rsidP="001D39C6">
            <w:pPr>
              <w:autoSpaceDE w:val="0"/>
              <w:autoSpaceDN w:val="0"/>
              <w:adjustRightInd w:val="0"/>
              <w:snapToGrid w:val="0"/>
              <w:spacing w:line="240" w:lineRule="auto"/>
              <w:jc w:val="center"/>
              <w:rPr>
                <w:rFonts w:cs="Calibri"/>
                <w:sz w:val="18"/>
                <w:szCs w:val="22"/>
              </w:rPr>
            </w:pPr>
            <w:r w:rsidRPr="00F51E3F">
              <w:rPr>
                <w:rFonts w:cs="Calibri"/>
                <w:sz w:val="18"/>
                <w:szCs w:val="22"/>
              </w:rPr>
              <w:t>SHEP-21N</w:t>
            </w:r>
          </w:p>
        </w:tc>
        <w:tc>
          <w:tcPr>
            <w:tcW w:w="1515" w:type="dxa"/>
            <w:shd w:val="clear" w:color="auto" w:fill="auto"/>
            <w:noWrap/>
            <w:vAlign w:val="center"/>
            <w:hideMark/>
          </w:tcPr>
          <w:p w14:paraId="02EFA055"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r w:rsidRPr="00F51E3F">
              <w:rPr>
                <w:rFonts w:cs="Calibri"/>
                <w:sz w:val="18"/>
                <w:szCs w:val="22"/>
              </w:rPr>
              <w:t>repressible</w:t>
            </w:r>
          </w:p>
        </w:tc>
        <w:tc>
          <w:tcPr>
            <w:tcW w:w="1515" w:type="dxa"/>
            <w:shd w:val="clear" w:color="auto" w:fill="auto"/>
            <w:noWrap/>
            <w:vAlign w:val="center"/>
            <w:hideMark/>
          </w:tcPr>
          <w:p w14:paraId="3DE697B3"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p>
        </w:tc>
        <w:tc>
          <w:tcPr>
            <w:tcW w:w="1515" w:type="dxa"/>
            <w:shd w:val="clear" w:color="auto" w:fill="auto"/>
            <w:noWrap/>
            <w:vAlign w:val="center"/>
            <w:hideMark/>
          </w:tcPr>
          <w:p w14:paraId="5256780F"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r w:rsidRPr="00F51E3F">
              <w:rPr>
                <w:rFonts w:cs="Calibri"/>
                <w:sz w:val="18"/>
                <w:szCs w:val="22"/>
              </w:rPr>
              <w:t>gain</w:t>
            </w:r>
          </w:p>
        </w:tc>
        <w:tc>
          <w:tcPr>
            <w:tcW w:w="1515" w:type="dxa"/>
            <w:shd w:val="clear" w:color="auto" w:fill="auto"/>
            <w:noWrap/>
            <w:vAlign w:val="center"/>
            <w:hideMark/>
          </w:tcPr>
          <w:p w14:paraId="5A48B39C"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r w:rsidRPr="00F51E3F">
              <w:rPr>
                <w:rFonts w:cs="Calibri"/>
                <w:sz w:val="18"/>
                <w:szCs w:val="22"/>
              </w:rPr>
              <w:t>ALK F1174L</w:t>
            </w:r>
          </w:p>
        </w:tc>
        <w:tc>
          <w:tcPr>
            <w:tcW w:w="1515" w:type="dxa"/>
            <w:shd w:val="clear" w:color="auto" w:fill="auto"/>
            <w:vAlign w:val="center"/>
          </w:tcPr>
          <w:p w14:paraId="321F518C"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r w:rsidRPr="0020136D">
              <w:rPr>
                <w:sz w:val="18"/>
                <w:szCs w:val="22"/>
              </w:rPr>
              <w:t>RPMI, 10% FBS, P/S</w:t>
            </w:r>
          </w:p>
        </w:tc>
      </w:tr>
      <w:tr w:rsidR="00F51E3F" w:rsidRPr="0020136D" w14:paraId="1C92DB75" w14:textId="77777777" w:rsidTr="00F51E3F">
        <w:trPr>
          <w:trHeight w:val="443"/>
          <w:jc w:val="center"/>
        </w:trPr>
        <w:tc>
          <w:tcPr>
            <w:cnfStyle w:val="001000000000" w:firstRow="0" w:lastRow="0" w:firstColumn="1" w:lastColumn="0" w:oddVBand="0" w:evenVBand="0" w:oddHBand="0" w:evenHBand="0" w:firstRowFirstColumn="0" w:firstRowLastColumn="0" w:lastRowFirstColumn="0" w:lastRowLastColumn="0"/>
            <w:tcW w:w="1516" w:type="dxa"/>
            <w:shd w:val="clear" w:color="auto" w:fill="auto"/>
            <w:noWrap/>
            <w:vAlign w:val="center"/>
            <w:hideMark/>
          </w:tcPr>
          <w:p w14:paraId="62563854" w14:textId="77777777" w:rsidR="00F51E3F" w:rsidRPr="00F51E3F" w:rsidRDefault="00F51E3F" w:rsidP="001D39C6">
            <w:pPr>
              <w:autoSpaceDE w:val="0"/>
              <w:autoSpaceDN w:val="0"/>
              <w:adjustRightInd w:val="0"/>
              <w:snapToGrid w:val="0"/>
              <w:spacing w:line="240" w:lineRule="auto"/>
              <w:jc w:val="center"/>
              <w:rPr>
                <w:rFonts w:cs="Calibri"/>
                <w:sz w:val="18"/>
                <w:szCs w:val="22"/>
              </w:rPr>
            </w:pPr>
            <w:r w:rsidRPr="00F51E3F">
              <w:rPr>
                <w:rFonts w:cs="Calibri"/>
                <w:sz w:val="18"/>
                <w:szCs w:val="22"/>
              </w:rPr>
              <w:t>Lan-1</w:t>
            </w:r>
          </w:p>
        </w:tc>
        <w:tc>
          <w:tcPr>
            <w:tcW w:w="1515" w:type="dxa"/>
            <w:shd w:val="clear" w:color="auto" w:fill="auto"/>
            <w:noWrap/>
            <w:vAlign w:val="center"/>
            <w:hideMark/>
          </w:tcPr>
          <w:p w14:paraId="20BBE6A1"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r w:rsidRPr="0020136D">
              <w:rPr>
                <w:rFonts w:ascii="Segoe UI Symbol" w:hAnsi="Segoe UI Symbol" w:cs="Segoe UI Symbol"/>
                <w:sz w:val="18"/>
                <w:szCs w:val="22"/>
              </w:rPr>
              <w:t>✓</w:t>
            </w:r>
          </w:p>
        </w:tc>
        <w:tc>
          <w:tcPr>
            <w:tcW w:w="1515" w:type="dxa"/>
            <w:shd w:val="clear" w:color="auto" w:fill="auto"/>
            <w:noWrap/>
            <w:vAlign w:val="center"/>
            <w:hideMark/>
          </w:tcPr>
          <w:p w14:paraId="638B687B"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r w:rsidRPr="00F51E3F">
              <w:rPr>
                <w:rFonts w:cs="Calibri"/>
                <w:sz w:val="18"/>
                <w:szCs w:val="22"/>
              </w:rPr>
              <w:t>deletion</w:t>
            </w:r>
          </w:p>
        </w:tc>
        <w:tc>
          <w:tcPr>
            <w:tcW w:w="1515" w:type="dxa"/>
            <w:shd w:val="clear" w:color="auto" w:fill="auto"/>
            <w:noWrap/>
            <w:vAlign w:val="center"/>
            <w:hideMark/>
          </w:tcPr>
          <w:p w14:paraId="76342726"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p>
        </w:tc>
        <w:tc>
          <w:tcPr>
            <w:tcW w:w="1515" w:type="dxa"/>
            <w:shd w:val="clear" w:color="auto" w:fill="auto"/>
            <w:noWrap/>
            <w:vAlign w:val="center"/>
            <w:hideMark/>
          </w:tcPr>
          <w:p w14:paraId="49CECF4B"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r w:rsidRPr="00F51E3F">
              <w:rPr>
                <w:rFonts w:cs="Calibri"/>
                <w:sz w:val="18"/>
                <w:szCs w:val="22"/>
              </w:rPr>
              <w:t>ALK F1174L</w:t>
            </w:r>
          </w:p>
        </w:tc>
        <w:tc>
          <w:tcPr>
            <w:tcW w:w="1515" w:type="dxa"/>
            <w:shd w:val="clear" w:color="auto" w:fill="auto"/>
            <w:vAlign w:val="center"/>
          </w:tcPr>
          <w:p w14:paraId="1DF35F11"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r w:rsidRPr="00F51E3F">
              <w:rPr>
                <w:rFonts w:cs="Calibri"/>
                <w:sz w:val="18"/>
                <w:szCs w:val="22"/>
              </w:rPr>
              <w:t>MEM:F12, 10% FBS, P/S</w:t>
            </w:r>
          </w:p>
        </w:tc>
      </w:tr>
      <w:tr w:rsidR="00F51E3F" w:rsidRPr="0020136D" w14:paraId="1BD043A8" w14:textId="77777777" w:rsidTr="00F51E3F">
        <w:trPr>
          <w:cnfStyle w:val="000000100000" w:firstRow="0" w:lastRow="0" w:firstColumn="0" w:lastColumn="0" w:oddVBand="0" w:evenVBand="0" w:oddHBand="1" w:evenHBand="0" w:firstRowFirstColumn="0" w:firstRowLastColumn="0" w:lastRowFirstColumn="0" w:lastRowLastColumn="0"/>
          <w:trHeight w:val="435"/>
          <w:jc w:val="center"/>
        </w:trPr>
        <w:tc>
          <w:tcPr>
            <w:cnfStyle w:val="001000000000" w:firstRow="0" w:lastRow="0" w:firstColumn="1" w:lastColumn="0" w:oddVBand="0" w:evenVBand="0" w:oddHBand="0" w:evenHBand="0" w:firstRowFirstColumn="0" w:firstRowLastColumn="0" w:lastRowFirstColumn="0" w:lastRowLastColumn="0"/>
            <w:tcW w:w="1516" w:type="dxa"/>
            <w:shd w:val="clear" w:color="auto" w:fill="auto"/>
            <w:noWrap/>
            <w:vAlign w:val="center"/>
            <w:hideMark/>
          </w:tcPr>
          <w:p w14:paraId="48F9C788" w14:textId="77777777" w:rsidR="00F51E3F" w:rsidRPr="00F51E3F" w:rsidRDefault="00F51E3F" w:rsidP="001D39C6">
            <w:pPr>
              <w:autoSpaceDE w:val="0"/>
              <w:autoSpaceDN w:val="0"/>
              <w:adjustRightInd w:val="0"/>
              <w:snapToGrid w:val="0"/>
              <w:spacing w:line="240" w:lineRule="auto"/>
              <w:jc w:val="center"/>
              <w:rPr>
                <w:rFonts w:cs="Calibri"/>
                <w:sz w:val="18"/>
                <w:szCs w:val="22"/>
              </w:rPr>
            </w:pPr>
            <w:r w:rsidRPr="00F51E3F">
              <w:rPr>
                <w:rFonts w:cs="Calibri"/>
                <w:sz w:val="18"/>
                <w:szCs w:val="22"/>
              </w:rPr>
              <w:t>Felix-PDX</w:t>
            </w:r>
          </w:p>
        </w:tc>
        <w:tc>
          <w:tcPr>
            <w:tcW w:w="1515" w:type="dxa"/>
            <w:shd w:val="clear" w:color="auto" w:fill="auto"/>
            <w:noWrap/>
            <w:vAlign w:val="center"/>
            <w:hideMark/>
          </w:tcPr>
          <w:p w14:paraId="316896CE"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r w:rsidRPr="0020136D">
              <w:rPr>
                <w:rFonts w:ascii="Segoe UI Symbol" w:hAnsi="Segoe UI Symbol" w:cs="Segoe UI Symbol"/>
                <w:sz w:val="18"/>
                <w:szCs w:val="22"/>
              </w:rPr>
              <w:t>✕</w:t>
            </w:r>
          </w:p>
        </w:tc>
        <w:tc>
          <w:tcPr>
            <w:tcW w:w="1515" w:type="dxa"/>
            <w:shd w:val="clear" w:color="auto" w:fill="auto"/>
            <w:noWrap/>
            <w:vAlign w:val="center"/>
            <w:hideMark/>
          </w:tcPr>
          <w:p w14:paraId="146E33FB"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p>
        </w:tc>
        <w:tc>
          <w:tcPr>
            <w:tcW w:w="1515" w:type="dxa"/>
            <w:shd w:val="clear" w:color="auto" w:fill="auto"/>
            <w:noWrap/>
            <w:vAlign w:val="center"/>
            <w:hideMark/>
          </w:tcPr>
          <w:p w14:paraId="62CCE12C"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p>
        </w:tc>
        <w:tc>
          <w:tcPr>
            <w:tcW w:w="1515" w:type="dxa"/>
            <w:shd w:val="clear" w:color="auto" w:fill="auto"/>
            <w:noWrap/>
            <w:vAlign w:val="center"/>
            <w:hideMark/>
          </w:tcPr>
          <w:p w14:paraId="68E74FA4"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r w:rsidRPr="00F51E3F">
              <w:rPr>
                <w:rFonts w:cs="Calibri"/>
                <w:sz w:val="18"/>
                <w:szCs w:val="22"/>
              </w:rPr>
              <w:t>ALK F1245C</w:t>
            </w:r>
          </w:p>
        </w:tc>
        <w:tc>
          <w:tcPr>
            <w:tcW w:w="1515" w:type="dxa"/>
            <w:shd w:val="clear" w:color="auto" w:fill="auto"/>
            <w:vAlign w:val="center"/>
          </w:tcPr>
          <w:p w14:paraId="0CE72DAF"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r w:rsidRPr="0020136D">
              <w:rPr>
                <w:sz w:val="18"/>
              </w:rPr>
              <w:t>DMEM/F12, P/S, 1% ITS</w:t>
            </w:r>
          </w:p>
        </w:tc>
      </w:tr>
      <w:tr w:rsidR="00F51E3F" w:rsidRPr="0020136D" w14:paraId="212E5203" w14:textId="77777777" w:rsidTr="00F51E3F">
        <w:trPr>
          <w:trHeight w:val="443"/>
          <w:jc w:val="center"/>
        </w:trPr>
        <w:tc>
          <w:tcPr>
            <w:cnfStyle w:val="001000000000" w:firstRow="0" w:lastRow="0" w:firstColumn="1" w:lastColumn="0" w:oddVBand="0" w:evenVBand="0" w:oddHBand="0" w:evenHBand="0" w:firstRowFirstColumn="0" w:firstRowLastColumn="0" w:lastRowFirstColumn="0" w:lastRowLastColumn="0"/>
            <w:tcW w:w="1516" w:type="dxa"/>
            <w:shd w:val="clear" w:color="auto" w:fill="auto"/>
            <w:noWrap/>
            <w:vAlign w:val="center"/>
            <w:hideMark/>
          </w:tcPr>
          <w:p w14:paraId="1FC03689" w14:textId="77777777" w:rsidR="00F51E3F" w:rsidRPr="00F51E3F" w:rsidRDefault="00F51E3F" w:rsidP="001D39C6">
            <w:pPr>
              <w:autoSpaceDE w:val="0"/>
              <w:autoSpaceDN w:val="0"/>
              <w:adjustRightInd w:val="0"/>
              <w:snapToGrid w:val="0"/>
              <w:spacing w:line="240" w:lineRule="auto"/>
              <w:jc w:val="center"/>
              <w:rPr>
                <w:rFonts w:cs="Calibri"/>
                <w:sz w:val="18"/>
                <w:szCs w:val="22"/>
              </w:rPr>
            </w:pPr>
            <w:r w:rsidRPr="00F51E3F">
              <w:rPr>
                <w:rFonts w:cs="Calibri"/>
                <w:sz w:val="18"/>
                <w:szCs w:val="22"/>
              </w:rPr>
              <w:t>COG-N-424x</w:t>
            </w:r>
          </w:p>
        </w:tc>
        <w:tc>
          <w:tcPr>
            <w:tcW w:w="1515" w:type="dxa"/>
            <w:shd w:val="clear" w:color="auto" w:fill="auto"/>
            <w:noWrap/>
            <w:vAlign w:val="center"/>
            <w:hideMark/>
          </w:tcPr>
          <w:p w14:paraId="2BF8E995"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r w:rsidRPr="0020136D">
              <w:rPr>
                <w:rFonts w:ascii="Segoe UI Symbol" w:hAnsi="Segoe UI Symbol" w:cs="Segoe UI Symbol"/>
                <w:sz w:val="18"/>
                <w:szCs w:val="22"/>
              </w:rPr>
              <w:t>✓</w:t>
            </w:r>
          </w:p>
        </w:tc>
        <w:tc>
          <w:tcPr>
            <w:tcW w:w="1515" w:type="dxa"/>
            <w:shd w:val="clear" w:color="auto" w:fill="auto"/>
            <w:noWrap/>
            <w:vAlign w:val="center"/>
            <w:hideMark/>
          </w:tcPr>
          <w:p w14:paraId="0725BB5F"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p>
        </w:tc>
        <w:tc>
          <w:tcPr>
            <w:tcW w:w="1515" w:type="dxa"/>
            <w:shd w:val="clear" w:color="auto" w:fill="auto"/>
            <w:noWrap/>
            <w:vAlign w:val="center"/>
            <w:hideMark/>
          </w:tcPr>
          <w:p w14:paraId="4D91CE81"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p>
        </w:tc>
        <w:tc>
          <w:tcPr>
            <w:tcW w:w="1515" w:type="dxa"/>
            <w:shd w:val="clear" w:color="auto" w:fill="auto"/>
            <w:noWrap/>
            <w:vAlign w:val="center"/>
            <w:hideMark/>
          </w:tcPr>
          <w:p w14:paraId="6DABFE08"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r w:rsidRPr="00F51E3F">
              <w:rPr>
                <w:rFonts w:cs="Calibri"/>
                <w:sz w:val="18"/>
                <w:szCs w:val="22"/>
              </w:rPr>
              <w:t>WT</w:t>
            </w:r>
          </w:p>
        </w:tc>
        <w:tc>
          <w:tcPr>
            <w:tcW w:w="1515" w:type="dxa"/>
            <w:shd w:val="clear" w:color="auto" w:fill="auto"/>
            <w:vAlign w:val="center"/>
          </w:tcPr>
          <w:p w14:paraId="7A3D6A92"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r w:rsidRPr="0020136D">
              <w:rPr>
                <w:sz w:val="18"/>
              </w:rPr>
              <w:t>DMEM/F12, 1% P/S, 1% ITS</w:t>
            </w:r>
          </w:p>
        </w:tc>
      </w:tr>
      <w:tr w:rsidR="00F51E3F" w:rsidRPr="0020136D" w14:paraId="7B5DD754" w14:textId="77777777" w:rsidTr="00F51E3F">
        <w:trPr>
          <w:cnfStyle w:val="000000100000" w:firstRow="0" w:lastRow="0" w:firstColumn="0" w:lastColumn="0" w:oddVBand="0" w:evenVBand="0" w:oddHBand="1" w:evenHBand="0" w:firstRowFirstColumn="0" w:firstRowLastColumn="0" w:lastRowFirstColumn="0" w:lastRowLastColumn="0"/>
          <w:trHeight w:val="435"/>
          <w:jc w:val="center"/>
        </w:trPr>
        <w:tc>
          <w:tcPr>
            <w:cnfStyle w:val="001000000000" w:firstRow="0" w:lastRow="0" w:firstColumn="1" w:lastColumn="0" w:oddVBand="0" w:evenVBand="0" w:oddHBand="0" w:evenHBand="0" w:firstRowFirstColumn="0" w:firstRowLastColumn="0" w:lastRowFirstColumn="0" w:lastRowLastColumn="0"/>
            <w:tcW w:w="1516" w:type="dxa"/>
            <w:shd w:val="clear" w:color="auto" w:fill="auto"/>
            <w:noWrap/>
            <w:vAlign w:val="center"/>
            <w:hideMark/>
          </w:tcPr>
          <w:p w14:paraId="090CF105" w14:textId="77777777" w:rsidR="00F51E3F" w:rsidRPr="00F51E3F" w:rsidRDefault="00F51E3F" w:rsidP="001D39C6">
            <w:pPr>
              <w:autoSpaceDE w:val="0"/>
              <w:autoSpaceDN w:val="0"/>
              <w:adjustRightInd w:val="0"/>
              <w:snapToGrid w:val="0"/>
              <w:spacing w:line="240" w:lineRule="auto"/>
              <w:jc w:val="center"/>
              <w:rPr>
                <w:rFonts w:cs="Calibri"/>
                <w:sz w:val="18"/>
                <w:szCs w:val="22"/>
              </w:rPr>
            </w:pPr>
            <w:r w:rsidRPr="00F51E3F">
              <w:rPr>
                <w:rFonts w:cs="Calibri"/>
                <w:sz w:val="18"/>
                <w:szCs w:val="22"/>
              </w:rPr>
              <w:t>COG-N-573x</w:t>
            </w:r>
          </w:p>
        </w:tc>
        <w:tc>
          <w:tcPr>
            <w:tcW w:w="1515" w:type="dxa"/>
            <w:shd w:val="clear" w:color="auto" w:fill="auto"/>
            <w:noWrap/>
            <w:vAlign w:val="center"/>
            <w:hideMark/>
          </w:tcPr>
          <w:p w14:paraId="5086FB92"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r w:rsidRPr="0020136D">
              <w:rPr>
                <w:rFonts w:ascii="Segoe UI Symbol" w:hAnsi="Segoe UI Symbol" w:cs="Segoe UI Symbol"/>
                <w:sz w:val="18"/>
                <w:szCs w:val="22"/>
              </w:rPr>
              <w:t>✓</w:t>
            </w:r>
          </w:p>
        </w:tc>
        <w:tc>
          <w:tcPr>
            <w:tcW w:w="1515" w:type="dxa"/>
            <w:shd w:val="clear" w:color="auto" w:fill="auto"/>
            <w:noWrap/>
            <w:vAlign w:val="center"/>
            <w:hideMark/>
          </w:tcPr>
          <w:p w14:paraId="656DF710"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p>
        </w:tc>
        <w:tc>
          <w:tcPr>
            <w:tcW w:w="1515" w:type="dxa"/>
            <w:shd w:val="clear" w:color="auto" w:fill="auto"/>
            <w:noWrap/>
            <w:vAlign w:val="center"/>
            <w:hideMark/>
          </w:tcPr>
          <w:p w14:paraId="46AC17A6"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p>
        </w:tc>
        <w:tc>
          <w:tcPr>
            <w:tcW w:w="1515" w:type="dxa"/>
            <w:shd w:val="clear" w:color="auto" w:fill="auto"/>
            <w:noWrap/>
            <w:vAlign w:val="center"/>
            <w:hideMark/>
          </w:tcPr>
          <w:p w14:paraId="5314184A"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r w:rsidRPr="00F51E3F">
              <w:rPr>
                <w:rFonts w:cs="Calibri"/>
                <w:sz w:val="18"/>
                <w:szCs w:val="22"/>
              </w:rPr>
              <w:t>WT</w:t>
            </w:r>
          </w:p>
        </w:tc>
        <w:tc>
          <w:tcPr>
            <w:tcW w:w="1515" w:type="dxa"/>
            <w:shd w:val="clear" w:color="auto" w:fill="auto"/>
            <w:vAlign w:val="center"/>
          </w:tcPr>
          <w:p w14:paraId="44F4B8AE" w14:textId="77777777" w:rsidR="00F51E3F" w:rsidRPr="00F51E3F" w:rsidRDefault="00F51E3F" w:rsidP="001D39C6">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cs="Calibri"/>
                <w:sz w:val="18"/>
                <w:szCs w:val="22"/>
              </w:rPr>
            </w:pPr>
            <w:r w:rsidRPr="0020136D">
              <w:rPr>
                <w:sz w:val="18"/>
              </w:rPr>
              <w:t>DMEM/F12, P/S, 1% ITS</w:t>
            </w:r>
          </w:p>
        </w:tc>
      </w:tr>
      <w:tr w:rsidR="00F51E3F" w:rsidRPr="0020136D" w14:paraId="1FADB186" w14:textId="77777777" w:rsidTr="00F51E3F">
        <w:trPr>
          <w:trHeight w:val="443"/>
          <w:jc w:val="center"/>
        </w:trPr>
        <w:tc>
          <w:tcPr>
            <w:cnfStyle w:val="001000000000" w:firstRow="0" w:lastRow="0" w:firstColumn="1" w:lastColumn="0" w:oddVBand="0" w:evenVBand="0" w:oddHBand="0" w:evenHBand="0" w:firstRowFirstColumn="0" w:firstRowLastColumn="0" w:lastRowFirstColumn="0" w:lastRowLastColumn="0"/>
            <w:tcW w:w="1516" w:type="dxa"/>
            <w:shd w:val="clear" w:color="auto" w:fill="auto"/>
            <w:noWrap/>
            <w:vAlign w:val="center"/>
            <w:hideMark/>
          </w:tcPr>
          <w:p w14:paraId="5A1AB5D6" w14:textId="77777777" w:rsidR="00F51E3F" w:rsidRPr="00F51E3F" w:rsidRDefault="00F51E3F" w:rsidP="001D39C6">
            <w:pPr>
              <w:autoSpaceDE w:val="0"/>
              <w:autoSpaceDN w:val="0"/>
              <w:adjustRightInd w:val="0"/>
              <w:snapToGrid w:val="0"/>
              <w:spacing w:line="240" w:lineRule="auto"/>
              <w:jc w:val="center"/>
              <w:rPr>
                <w:rFonts w:cs="Calibri"/>
                <w:sz w:val="18"/>
                <w:szCs w:val="22"/>
              </w:rPr>
            </w:pPr>
            <w:r w:rsidRPr="00F51E3F">
              <w:rPr>
                <w:rFonts w:cs="Calibri"/>
                <w:sz w:val="18"/>
                <w:szCs w:val="22"/>
              </w:rPr>
              <w:t>COG-N-603x</w:t>
            </w:r>
          </w:p>
        </w:tc>
        <w:tc>
          <w:tcPr>
            <w:tcW w:w="1515" w:type="dxa"/>
            <w:shd w:val="clear" w:color="auto" w:fill="auto"/>
            <w:noWrap/>
            <w:vAlign w:val="center"/>
            <w:hideMark/>
          </w:tcPr>
          <w:p w14:paraId="4DBECA8D"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r w:rsidRPr="0020136D">
              <w:rPr>
                <w:rFonts w:ascii="Segoe UI Symbol" w:hAnsi="Segoe UI Symbol" w:cs="Segoe UI Symbol"/>
                <w:sz w:val="18"/>
                <w:szCs w:val="22"/>
              </w:rPr>
              <w:t>✓</w:t>
            </w:r>
          </w:p>
        </w:tc>
        <w:tc>
          <w:tcPr>
            <w:tcW w:w="1515" w:type="dxa"/>
            <w:shd w:val="clear" w:color="auto" w:fill="auto"/>
            <w:noWrap/>
            <w:vAlign w:val="center"/>
            <w:hideMark/>
          </w:tcPr>
          <w:p w14:paraId="2B6D6E12"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p>
        </w:tc>
        <w:tc>
          <w:tcPr>
            <w:tcW w:w="1515" w:type="dxa"/>
            <w:shd w:val="clear" w:color="auto" w:fill="auto"/>
            <w:noWrap/>
            <w:vAlign w:val="center"/>
            <w:hideMark/>
          </w:tcPr>
          <w:p w14:paraId="20248321"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p>
        </w:tc>
        <w:tc>
          <w:tcPr>
            <w:tcW w:w="1515" w:type="dxa"/>
            <w:shd w:val="clear" w:color="auto" w:fill="auto"/>
            <w:noWrap/>
            <w:vAlign w:val="center"/>
            <w:hideMark/>
          </w:tcPr>
          <w:p w14:paraId="33C7539E"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r w:rsidRPr="00F51E3F">
              <w:rPr>
                <w:rFonts w:cs="Calibri"/>
                <w:sz w:val="18"/>
                <w:szCs w:val="22"/>
              </w:rPr>
              <w:t>WT</w:t>
            </w:r>
          </w:p>
        </w:tc>
        <w:tc>
          <w:tcPr>
            <w:tcW w:w="1515" w:type="dxa"/>
            <w:shd w:val="clear" w:color="auto" w:fill="auto"/>
            <w:vAlign w:val="center"/>
          </w:tcPr>
          <w:p w14:paraId="00DFAAF2" w14:textId="77777777" w:rsidR="00F51E3F" w:rsidRPr="00F51E3F" w:rsidRDefault="00F51E3F" w:rsidP="001D39C6">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cs="Calibri"/>
                <w:sz w:val="18"/>
                <w:szCs w:val="22"/>
              </w:rPr>
            </w:pPr>
            <w:r w:rsidRPr="0020136D">
              <w:rPr>
                <w:sz w:val="18"/>
              </w:rPr>
              <w:t>DMEM/F12, P/S, 1% ITS</w:t>
            </w:r>
          </w:p>
        </w:tc>
      </w:tr>
    </w:tbl>
    <w:p w14:paraId="65803094" w14:textId="77777777" w:rsidR="00F51E3F" w:rsidRPr="0020136D" w:rsidRDefault="00F51E3F" w:rsidP="00F51E3F">
      <w:pPr>
        <w:spacing w:line="360" w:lineRule="auto"/>
        <w:jc w:val="left"/>
      </w:pPr>
      <w:r w:rsidRPr="0020136D">
        <w:t>FBS; fetal bovine serum, P/S; 50 U of penicillin per mL, 0.1 mg of streptomycin per mL, ITS, insulin-transferrin-selenium</w:t>
      </w:r>
    </w:p>
    <w:p w14:paraId="01D48D60" w14:textId="77777777" w:rsidR="00F51E3F" w:rsidRPr="0020136D" w:rsidRDefault="00F51E3F" w:rsidP="00F51E3F">
      <w:pPr>
        <w:pStyle w:val="Heading2"/>
        <w:rPr>
          <w:rFonts w:ascii="Palatino Linotype" w:hAnsi="Palatino Linotype"/>
        </w:rPr>
      </w:pPr>
      <w:r w:rsidRPr="0020136D">
        <w:rPr>
          <w:rFonts w:ascii="Palatino Linotype" w:hAnsi="Palatino Linotype"/>
        </w:rPr>
        <w:t>S2.1 FIJI image analysis</w:t>
      </w:r>
      <w:bookmarkEnd w:id="0"/>
    </w:p>
    <w:p w14:paraId="5240515F" w14:textId="77777777" w:rsidR="00F51E3F" w:rsidRPr="0020136D" w:rsidRDefault="00F51E3F" w:rsidP="00F51E3F">
      <w:pPr>
        <w:spacing w:line="360" w:lineRule="auto"/>
      </w:pPr>
      <w:r w:rsidRPr="0020136D">
        <w:t xml:space="preserve">The DIC images were manually examined to classify organoid/cell cluster phenotypes based on morphology. NB organoids were grouped into six distinct phenotype classifications based on specific morphological traits. The images were then analysed and processed using FIJI (Fiji is just imageJ) image analysis software. Images were spatially calibrated and organoids/cell clusters were selected by manually outlining their perimeter (Figure S1). </w:t>
      </w:r>
    </w:p>
    <w:p w14:paraId="087E9DE2" w14:textId="77777777" w:rsidR="00F51E3F" w:rsidRPr="0020136D" w:rsidRDefault="00F51E3F" w:rsidP="00F51E3F">
      <w:pPr>
        <w:spacing w:line="360" w:lineRule="auto"/>
      </w:pPr>
      <w:r w:rsidRPr="0020136D">
        <w:t xml:space="preserve">The area of organoids/cell clusters was then calculated by FIJI software in </w:t>
      </w:r>
      <w:r w:rsidRPr="00F51E3F">
        <w:rPr>
          <w:rFonts w:cs="Calibri"/>
        </w:rPr>
        <w:t>μm</w:t>
      </w:r>
      <w:r w:rsidRPr="00F51E3F">
        <w:rPr>
          <w:rFonts w:cs="Calibri"/>
          <w:vertAlign w:val="superscript"/>
        </w:rPr>
        <w:t>2</w:t>
      </w:r>
      <w:r w:rsidRPr="00F51E3F">
        <w:rPr>
          <w:rFonts w:cs="Calibri"/>
        </w:rPr>
        <w:t xml:space="preserve">. By comparing the area of organoids/cell clusters every 24 hours their relative growth at any given time point could be calculated using the following formulas; </w:t>
      </w:r>
      <w:r w:rsidRPr="00F51E3F">
        <w:rPr>
          <w:rFonts w:cs="Calibri"/>
          <w:i/>
          <w:iCs/>
        </w:rPr>
        <w:t xml:space="preserve">area t(x)-area t0hr/area t0hr </w:t>
      </w:r>
      <w:r w:rsidRPr="00F51E3F">
        <w:rPr>
          <w:rFonts w:cs="Calibri"/>
        </w:rPr>
        <w:t xml:space="preserve">for organoids and </w:t>
      </w:r>
      <w:r w:rsidRPr="00F51E3F">
        <w:rPr>
          <w:rFonts w:cs="Calibri"/>
          <w:i/>
          <w:iCs/>
        </w:rPr>
        <w:t xml:space="preserve">area t(x)-area t24hr/area t24hr </w:t>
      </w:r>
      <w:r w:rsidRPr="00F51E3F">
        <w:rPr>
          <w:rFonts w:cs="Calibri"/>
        </w:rPr>
        <w:t>for clonal cell clusters. Using the same method for organoid and cell cluster selection, we also used FIJI to calculate circularity values, which we used to confirm our microscopic observations of phenotypic changes. This is calculated by FIJI using the following formula;</w:t>
      </w:r>
      <w:r w:rsidRPr="0020136D">
        <w:rPr>
          <w:shd w:val="clear" w:color="auto" w:fill="FFFFFF"/>
        </w:rPr>
        <w:t xml:space="preserve"> </w:t>
      </w:r>
      <w:r w:rsidRPr="0020136D">
        <w:rPr>
          <w:i/>
          <w:iCs/>
          <w:shd w:val="clear" w:color="auto" w:fill="FFFFFF"/>
        </w:rPr>
        <w:t xml:space="preserve">4π*area/perimeter </w:t>
      </w:r>
      <w:r w:rsidRPr="0020136D">
        <w:rPr>
          <w:i/>
          <w:iCs/>
          <w:shd w:val="clear" w:color="auto" w:fill="FFFFFF"/>
          <w:vertAlign w:val="superscript"/>
        </w:rPr>
        <w:t>2</w:t>
      </w:r>
      <w:r w:rsidRPr="0020136D">
        <w:t xml:space="preserve">. Circularity is calculated as a fraction of 1.0, where the value 1.0 indicates a perfect circle, while values approaching 0.0 indicate an increasingly elongated shape. Circularity measurements were used to support microscopic observations of invasiveness, where decreasing circularity was found to correlate with increasing levels of invasion. Large organoids/cell clusters can generally be classified as invasive, mildly invasive or </w:t>
      </w:r>
      <w:r w:rsidRPr="0020136D">
        <w:lastRenderedPageBreak/>
        <w:t>non-invasive based on the respective circularity scores; &lt;0.4, 0.4–0.7, &gt;0.7. It is important to note that circularity values lack validity for very small cells/clusters.</w:t>
      </w:r>
    </w:p>
    <w:p w14:paraId="7C7B8E96" w14:textId="4AE7E470" w:rsidR="00F51E3F" w:rsidRPr="0020136D" w:rsidRDefault="00F51E3F" w:rsidP="00F51E3F">
      <w:pPr>
        <w:spacing w:line="360" w:lineRule="auto"/>
        <w:jc w:val="center"/>
      </w:pPr>
      <w:r w:rsidRPr="008E7107">
        <w:drawing>
          <wp:inline distT="0" distB="0" distL="0" distR="0" wp14:anchorId="3BB351D9" wp14:editId="1C1774C8">
            <wp:extent cx="3084830" cy="3084830"/>
            <wp:effectExtent l="0" t="0" r="0" b="0"/>
            <wp:docPr id="14" name="Picture 93" descr="A close up of an ins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A close up of an insec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84830" cy="3084830"/>
                    </a:xfrm>
                    <a:prstGeom prst="rect">
                      <a:avLst/>
                    </a:prstGeom>
                    <a:noFill/>
                    <a:ln>
                      <a:noFill/>
                    </a:ln>
                  </pic:spPr>
                </pic:pic>
              </a:graphicData>
            </a:graphic>
          </wp:inline>
        </w:drawing>
      </w:r>
    </w:p>
    <w:p w14:paraId="206A00B9" w14:textId="77777777" w:rsidR="00F51E3F" w:rsidRPr="0020136D" w:rsidRDefault="00F51E3F" w:rsidP="00F51E3F">
      <w:r w:rsidRPr="0020136D">
        <w:rPr>
          <w:b/>
          <w:bCs/>
        </w:rPr>
        <w:t xml:space="preserve">Figure S2.1 </w:t>
      </w:r>
      <w:r w:rsidRPr="0020136D">
        <w:rPr>
          <w:bCs/>
        </w:rPr>
        <w:t>Representative image of manual organoid selection using FIJI image analysis software.</w:t>
      </w:r>
      <w:r w:rsidRPr="0020136D">
        <w:t xml:space="preserve"> Example illustrating the manual selection of an organoid using FIJI image analysis software. Area = 16.37 × 10</w:t>
      </w:r>
      <w:r w:rsidRPr="0020136D">
        <w:rPr>
          <w:vertAlign w:val="superscript"/>
        </w:rPr>
        <w:t>3</w:t>
      </w:r>
      <w:r w:rsidRPr="00F51E3F">
        <w:rPr>
          <w:rFonts w:cs="Calibri"/>
        </w:rPr>
        <w:t>μm</w:t>
      </w:r>
      <w:r w:rsidRPr="0020136D">
        <w:rPr>
          <w:vertAlign w:val="superscript"/>
        </w:rPr>
        <w:t xml:space="preserve"> 2</w:t>
      </w:r>
      <w:r w:rsidRPr="0020136D">
        <w:t>, circularity = 0.084. Scale bare = 100</w:t>
      </w:r>
      <w:r w:rsidRPr="00F51E3F">
        <w:rPr>
          <w:rFonts w:cs="Calibri"/>
        </w:rPr>
        <w:t>μm</w:t>
      </w:r>
    </w:p>
    <w:p w14:paraId="30F54645" w14:textId="77777777" w:rsidR="00F51E3F" w:rsidRPr="0020136D" w:rsidRDefault="00F51E3F" w:rsidP="00F51E3F">
      <w:pPr>
        <w:pStyle w:val="Heading2"/>
        <w:rPr>
          <w:rFonts w:ascii="Palatino Linotype" w:eastAsia="Times New Roman" w:hAnsi="Palatino Linotype"/>
        </w:rPr>
      </w:pPr>
      <w:bookmarkStart w:id="1" w:name="_Toc49941443"/>
      <w:r w:rsidRPr="0020136D">
        <w:rPr>
          <w:rFonts w:ascii="Palatino Linotype" w:eastAsia="Times New Roman" w:hAnsi="Palatino Linotype"/>
        </w:rPr>
        <w:t>S2.2. Exclusion Criteria</w:t>
      </w:r>
      <w:bookmarkEnd w:id="1"/>
      <w:r w:rsidRPr="0020136D">
        <w:rPr>
          <w:rFonts w:ascii="Palatino Linotype" w:eastAsia="Times New Roman" w:hAnsi="Palatino Linotype"/>
        </w:rPr>
        <w:t xml:space="preserve"> </w:t>
      </w:r>
    </w:p>
    <w:p w14:paraId="4C958F65" w14:textId="77777777" w:rsidR="00F51E3F" w:rsidRPr="0020136D" w:rsidRDefault="00F51E3F" w:rsidP="00F51E3F">
      <w:pPr>
        <w:spacing w:line="360" w:lineRule="auto"/>
      </w:pPr>
      <w:r w:rsidRPr="0020136D">
        <w:t xml:space="preserve">A number of technical issues were encountered while processing this dataset which led to certain organoids and/or cell line clusters being excluded from the analysis. A small proportion of organoids/clusters came into contact with and adhered to the cell culture plate, resulting in cells spreading out into a 2D monolayer (Figure S2.2 A). These organoids/cell clusters were easily identifiable due to their transparent appearance and their significant cell spreading that results in an unusually large size compared to populations that remain embedded in the gels. Non-viable organoids/cell clusters were also excluded from the analysis. These organoids/cell clusters maintained an identical morphology and size across time-lapse images indicating the absence of any viable cells (Figure S2.2 B). When organoids/cell clusters were embedded in close proximity to neighbouring cell populations, they were seen to migrate toward each other and merge (Figure S2.2 C), likely as a result of secreted factors. For this reason, organoids/cell clusters that were in close proximity to another cell population were excluded from the analysis. In some instances, an error occurred with cell tracking, whereby the organoids/clusters selected were lost by cell tracking software (Figure S2.2 D) due to cell migration or plate re-calibration errors and hence not included in the analysis. </w:t>
      </w:r>
    </w:p>
    <w:p w14:paraId="20AAF6BA" w14:textId="0BD45655" w:rsidR="00F51E3F" w:rsidRPr="0020136D" w:rsidRDefault="00F51E3F" w:rsidP="00F51E3F">
      <w:pPr>
        <w:pStyle w:val="ListParagraph"/>
        <w:spacing w:line="360" w:lineRule="auto"/>
        <w:rPr>
          <w:rFonts w:ascii="Palatino Linotype" w:hAnsi="Palatino Linotype"/>
        </w:rPr>
      </w:pPr>
      <w:r w:rsidRPr="00F51E3F">
        <w:rPr>
          <w:rFonts w:ascii="Palatino Linotype" w:hAnsi="Palatino Linotype"/>
          <w:noProof/>
        </w:rPr>
        <w:lastRenderedPageBreak/>
        <w:drawing>
          <wp:inline distT="0" distB="0" distL="0" distR="0" wp14:anchorId="34FCDA44" wp14:editId="11A1EB80">
            <wp:extent cx="4166870" cy="5497830"/>
            <wp:effectExtent l="0" t="0" r="0" b="0"/>
            <wp:docPr id="13" name="Picture 19" descr="A picture containing photo, different, monitor, bla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 picture containing photo, different, monitor, black&#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66870" cy="5497830"/>
                    </a:xfrm>
                    <a:prstGeom prst="rect">
                      <a:avLst/>
                    </a:prstGeom>
                    <a:noFill/>
                    <a:ln>
                      <a:noFill/>
                    </a:ln>
                  </pic:spPr>
                </pic:pic>
              </a:graphicData>
            </a:graphic>
          </wp:inline>
        </w:drawing>
      </w:r>
    </w:p>
    <w:p w14:paraId="59C7F9A9" w14:textId="15F876F9" w:rsidR="00F51E3F" w:rsidRPr="0020136D" w:rsidRDefault="00F51E3F" w:rsidP="00F51E3F">
      <w:r w:rsidRPr="0020136D">
        <w:rPr>
          <w:b/>
          <w:bCs/>
        </w:rPr>
        <w:t xml:space="preserve">Figure S2.2. </w:t>
      </w:r>
      <w:r w:rsidRPr="0020136D">
        <w:rPr>
          <w:bCs/>
        </w:rPr>
        <w:t xml:space="preserve">Technical issues encountered during image analysis. </w:t>
      </w:r>
      <w:r w:rsidRPr="0020136D">
        <w:t>Representative DIC images displaying organoids/cell line clusters that were excluded from the analysis due to technical issues. Organoids/cell clusters were excluded if they adhered to the cell culture plate (</w:t>
      </w:r>
      <w:r w:rsidRPr="0020136D">
        <w:rPr>
          <w:b/>
        </w:rPr>
        <w:t>A</w:t>
      </w:r>
      <w:r w:rsidRPr="0020136D">
        <w:t>), were non-viable (</w:t>
      </w:r>
      <w:r w:rsidRPr="0020136D">
        <w:rPr>
          <w:b/>
        </w:rPr>
        <w:t>B</w:t>
      </w:r>
      <w:r w:rsidRPr="0020136D">
        <w:t>), were plated in close proximity to a neighbouring cell population (</w:t>
      </w:r>
      <w:r w:rsidRPr="0020136D">
        <w:rPr>
          <w:b/>
        </w:rPr>
        <w:t>C</w:t>
      </w:r>
      <w:r w:rsidRPr="0020136D">
        <w:t>) or were lost by cell tracking software (</w:t>
      </w:r>
      <w:r w:rsidRPr="0020136D">
        <w:rPr>
          <w:b/>
        </w:rPr>
        <w:t>D</w:t>
      </w:r>
      <w:r w:rsidRPr="0020136D">
        <w:t>). All scale bars =</w:t>
      </w:r>
      <w:r>
        <w:t xml:space="preserve"> </w:t>
      </w:r>
      <w:r w:rsidRPr="0020136D">
        <w:t>100</w:t>
      </w:r>
      <w:r>
        <w:t xml:space="preserve"> </w:t>
      </w:r>
      <w:bookmarkStart w:id="2" w:name="_GoBack"/>
      <w:bookmarkEnd w:id="2"/>
      <w:r w:rsidRPr="00F51E3F">
        <w:rPr>
          <w:rFonts w:cs="Calibri"/>
        </w:rPr>
        <w:t>μm.</w:t>
      </w:r>
    </w:p>
    <w:p w14:paraId="3FB69240" w14:textId="77777777" w:rsidR="000D6839" w:rsidRPr="00F51E3F" w:rsidRDefault="000D6839" w:rsidP="00F51E3F"/>
    <w:sectPr w:rsidR="000D6839" w:rsidRPr="00F51E3F" w:rsidSect="00F51E3F">
      <w:headerReference w:type="even" r:id="rId9"/>
      <w:headerReference w:type="default" r:id="rId10"/>
      <w:footerReference w:type="default" r:id="rId11"/>
      <w:headerReference w:type="first" r:id="rId12"/>
      <w:footerReference w:type="first" r:id="rId13"/>
      <w:type w:val="continuous"/>
      <w:pgSz w:w="11906" w:h="16838" w:code="9"/>
      <w:pgMar w:top="1417" w:right="720" w:bottom="1077" w:left="720" w:header="1020" w:footer="340" w:gutter="0"/>
      <w:pgNumType w:start="1"/>
      <w:cols w:space="425"/>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7AB7F" w14:textId="77777777" w:rsidR="00790413" w:rsidRDefault="00790413">
      <w:pPr>
        <w:spacing w:line="240" w:lineRule="auto"/>
      </w:pPr>
      <w:r>
        <w:separator/>
      </w:r>
    </w:p>
  </w:endnote>
  <w:endnote w:type="continuationSeparator" w:id="0">
    <w:p w14:paraId="6E1BFABA" w14:textId="77777777" w:rsidR="00790413" w:rsidRDefault="007904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50528" w14:textId="77777777" w:rsidR="00AF7CE2" w:rsidRPr="00164C5C" w:rsidRDefault="00AF7CE2" w:rsidP="00AF7CE2">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60D17" w14:textId="77777777" w:rsidR="005F530C" w:rsidRDefault="005F530C" w:rsidP="00B16808">
    <w:pPr>
      <w:pStyle w:val="MDPIfooterfirstpage"/>
      <w:pBdr>
        <w:top w:val="single" w:sz="4" w:space="0" w:color="000000"/>
      </w:pBdr>
      <w:adjustRightInd w:val="0"/>
      <w:snapToGrid w:val="0"/>
      <w:spacing w:before="480" w:line="100" w:lineRule="exact"/>
      <w:rPr>
        <w:i/>
      </w:rPr>
    </w:pPr>
  </w:p>
  <w:p w14:paraId="06A11C5A" w14:textId="77777777" w:rsidR="00AF7CE2" w:rsidRPr="008B308E" w:rsidRDefault="00AF7CE2" w:rsidP="00AC5F82">
    <w:pPr>
      <w:pStyle w:val="MDPIfooterfirstpage"/>
      <w:tabs>
        <w:tab w:val="clear" w:pos="8845"/>
        <w:tab w:val="right" w:pos="10466"/>
      </w:tabs>
      <w:spacing w:line="240" w:lineRule="auto"/>
      <w:jc w:val="both"/>
      <w:rPr>
        <w:lang w:val="fr-CH"/>
      </w:rPr>
    </w:pPr>
    <w:r>
      <w:rPr>
        <w:i/>
      </w:rPr>
      <w:t xml:space="preserve">Cancers </w:t>
    </w:r>
    <w:r w:rsidR="009A5A53" w:rsidRPr="009A5A53">
      <w:rPr>
        <w:b/>
      </w:rPr>
      <w:t>2021</w:t>
    </w:r>
    <w:r w:rsidR="00F71A8C" w:rsidRPr="00F71A8C">
      <w:t xml:space="preserve">, </w:t>
    </w:r>
    <w:r w:rsidR="009A5A53" w:rsidRPr="009A5A53">
      <w:rPr>
        <w:i/>
      </w:rPr>
      <w:t>13</w:t>
    </w:r>
    <w:r w:rsidR="00F71A8C" w:rsidRPr="00F71A8C">
      <w:t xml:space="preserve">, </w:t>
    </w:r>
    <w:r w:rsidR="00534C4A">
      <w:t>x</w:t>
    </w:r>
    <w:r w:rsidR="005F530C">
      <w:t>. https://doi.org/10.3390/xxxxx</w:t>
    </w:r>
    <w:r w:rsidR="00AC5F82" w:rsidRPr="008B308E">
      <w:rPr>
        <w:lang w:val="fr-CH"/>
      </w:rPr>
      <w:tab/>
    </w:r>
    <w:r w:rsidRPr="008B308E">
      <w:rPr>
        <w:lang w:val="fr-CH"/>
      </w:rPr>
      <w:t>www.mdpi.com/journal/</w:t>
    </w:r>
    <w:r w:rsidRPr="00511F0B">
      <w:t>cancers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3B7463" w14:textId="77777777" w:rsidR="00790413" w:rsidRDefault="00790413">
      <w:pPr>
        <w:spacing w:line="240" w:lineRule="auto"/>
      </w:pPr>
      <w:r>
        <w:separator/>
      </w:r>
    </w:p>
  </w:footnote>
  <w:footnote w:type="continuationSeparator" w:id="0">
    <w:p w14:paraId="7CE7E7BF" w14:textId="77777777" w:rsidR="00790413" w:rsidRDefault="007904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A3353" w14:textId="77777777" w:rsidR="00AF7CE2" w:rsidRDefault="00AF7CE2" w:rsidP="00AF7CE2">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1BE8" w14:textId="46DABF81" w:rsidR="005F530C" w:rsidRDefault="00AF7CE2" w:rsidP="00AC5F82">
    <w:pPr>
      <w:tabs>
        <w:tab w:val="right" w:pos="10466"/>
      </w:tabs>
      <w:adjustRightInd w:val="0"/>
      <w:snapToGrid w:val="0"/>
      <w:spacing w:line="240" w:lineRule="auto"/>
      <w:rPr>
        <w:sz w:val="16"/>
      </w:rPr>
    </w:pPr>
    <w:r>
      <w:rPr>
        <w:i/>
        <w:sz w:val="16"/>
      </w:rPr>
      <w:t xml:space="preserve">Cancers </w:t>
    </w:r>
    <w:r w:rsidR="001059C9" w:rsidRPr="001059C9">
      <w:rPr>
        <w:b/>
        <w:sz w:val="16"/>
      </w:rPr>
      <w:t>2021</w:t>
    </w:r>
    <w:r w:rsidR="00F71A8C" w:rsidRPr="00F71A8C">
      <w:rPr>
        <w:sz w:val="16"/>
      </w:rPr>
      <w:t xml:space="preserve">, </w:t>
    </w:r>
    <w:r w:rsidR="001059C9" w:rsidRPr="001059C9">
      <w:rPr>
        <w:i/>
        <w:sz w:val="16"/>
      </w:rPr>
      <w:t>13</w:t>
    </w:r>
    <w:r w:rsidR="00AC5F82">
      <w:rPr>
        <w:sz w:val="16"/>
      </w:rPr>
      <w:tab/>
    </w:r>
    <w:r w:rsidR="00F51E3F">
      <w:rPr>
        <w:sz w:val="16"/>
      </w:rPr>
      <w:t>S</w:t>
    </w:r>
    <w:r w:rsidR="00534C4A">
      <w:rPr>
        <w:sz w:val="16"/>
      </w:rPr>
      <w:fldChar w:fldCharType="begin"/>
    </w:r>
    <w:r w:rsidR="00534C4A">
      <w:rPr>
        <w:sz w:val="16"/>
      </w:rPr>
      <w:instrText xml:space="preserve"> PAGE   \* MERGEFORMAT </w:instrText>
    </w:r>
    <w:r w:rsidR="00534C4A">
      <w:rPr>
        <w:sz w:val="16"/>
      </w:rPr>
      <w:fldChar w:fldCharType="separate"/>
    </w:r>
    <w:r w:rsidR="00B43CFF">
      <w:rPr>
        <w:sz w:val="16"/>
      </w:rPr>
      <w:t>6</w:t>
    </w:r>
    <w:r w:rsidR="00534C4A">
      <w:rPr>
        <w:sz w:val="16"/>
      </w:rPr>
      <w:fldChar w:fldCharType="end"/>
    </w:r>
    <w:r w:rsidR="00534C4A">
      <w:rPr>
        <w:sz w:val="16"/>
      </w:rPr>
      <w:t xml:space="preserve"> of </w:t>
    </w:r>
    <w:r w:rsidR="00F51E3F">
      <w:rPr>
        <w:sz w:val="16"/>
      </w:rPr>
      <w:t>S</w:t>
    </w:r>
    <w:r w:rsidR="00534C4A">
      <w:rPr>
        <w:sz w:val="16"/>
      </w:rPr>
      <w:fldChar w:fldCharType="begin"/>
    </w:r>
    <w:r w:rsidR="00534C4A">
      <w:rPr>
        <w:sz w:val="16"/>
      </w:rPr>
      <w:instrText xml:space="preserve"> NUMPAGES   \* MERGEFORMAT </w:instrText>
    </w:r>
    <w:r w:rsidR="00534C4A">
      <w:rPr>
        <w:sz w:val="16"/>
      </w:rPr>
      <w:fldChar w:fldCharType="separate"/>
    </w:r>
    <w:r w:rsidR="00B43CFF">
      <w:rPr>
        <w:sz w:val="16"/>
      </w:rPr>
      <w:t>6</w:t>
    </w:r>
    <w:r w:rsidR="00534C4A">
      <w:rPr>
        <w:sz w:val="16"/>
      </w:rPr>
      <w:fldChar w:fldCharType="end"/>
    </w:r>
  </w:p>
  <w:p w14:paraId="666F50B8" w14:textId="77777777" w:rsidR="00AF7CE2" w:rsidRPr="00836BB8" w:rsidRDefault="00AF7CE2" w:rsidP="00B16808">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7" w:type="dxa"/>
      <w:tblCellMar>
        <w:left w:w="0" w:type="dxa"/>
        <w:right w:w="0" w:type="dxa"/>
      </w:tblCellMar>
      <w:tblLook w:val="04A0" w:firstRow="1" w:lastRow="0" w:firstColumn="1" w:lastColumn="0" w:noHBand="0" w:noVBand="1"/>
    </w:tblPr>
    <w:tblGrid>
      <w:gridCol w:w="3679"/>
      <w:gridCol w:w="4535"/>
      <w:gridCol w:w="2273"/>
    </w:tblGrid>
    <w:tr w:rsidR="005F530C" w:rsidRPr="00AC5F82" w14:paraId="337E4CA2" w14:textId="77777777" w:rsidTr="00AC5F82">
      <w:trPr>
        <w:trHeight w:val="686"/>
      </w:trPr>
      <w:tc>
        <w:tcPr>
          <w:tcW w:w="3679" w:type="dxa"/>
          <w:shd w:val="clear" w:color="auto" w:fill="auto"/>
          <w:vAlign w:val="center"/>
        </w:tcPr>
        <w:p w14:paraId="62C065BB" w14:textId="697DABFD" w:rsidR="005F530C" w:rsidRPr="00BD0BE9" w:rsidRDefault="00F51E3F" w:rsidP="00AC5F82">
          <w:pPr>
            <w:pStyle w:val="Header"/>
            <w:pBdr>
              <w:bottom w:val="none" w:sz="0" w:space="0" w:color="auto"/>
            </w:pBdr>
            <w:jc w:val="left"/>
            <w:rPr>
              <w:rFonts w:eastAsia="等线"/>
              <w:b/>
              <w:bCs/>
            </w:rPr>
          </w:pPr>
          <w:r w:rsidRPr="00BD0BE9">
            <w:rPr>
              <w:rFonts w:eastAsia="等线"/>
              <w:b/>
              <w:bCs/>
            </w:rPr>
            <w:drawing>
              <wp:inline distT="0" distB="0" distL="0" distR="0" wp14:anchorId="5EB43461" wp14:editId="021E8FC2">
                <wp:extent cx="1684020" cy="427990"/>
                <wp:effectExtent l="0" t="0" r="0" b="0"/>
                <wp:docPr id="5" name="Picture 3" descr="C:\Users\home\Desktop\logos\cancer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cancer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4020" cy="427990"/>
                        </a:xfrm>
                        <a:prstGeom prst="rect">
                          <a:avLst/>
                        </a:prstGeom>
                        <a:noFill/>
                        <a:ln>
                          <a:noFill/>
                        </a:ln>
                      </pic:spPr>
                    </pic:pic>
                  </a:graphicData>
                </a:graphic>
              </wp:inline>
            </w:drawing>
          </w:r>
        </w:p>
      </w:tc>
      <w:tc>
        <w:tcPr>
          <w:tcW w:w="4535" w:type="dxa"/>
          <w:shd w:val="clear" w:color="auto" w:fill="auto"/>
          <w:vAlign w:val="center"/>
        </w:tcPr>
        <w:p w14:paraId="0A0BB019" w14:textId="77777777" w:rsidR="005F530C" w:rsidRPr="00BD0BE9" w:rsidRDefault="005F530C" w:rsidP="00AC5F82">
          <w:pPr>
            <w:pStyle w:val="Header"/>
            <w:pBdr>
              <w:bottom w:val="none" w:sz="0" w:space="0" w:color="auto"/>
            </w:pBdr>
            <w:rPr>
              <w:rFonts w:eastAsia="等线"/>
              <w:b/>
              <w:bCs/>
            </w:rPr>
          </w:pPr>
        </w:p>
      </w:tc>
      <w:tc>
        <w:tcPr>
          <w:tcW w:w="2273" w:type="dxa"/>
          <w:shd w:val="clear" w:color="auto" w:fill="auto"/>
          <w:vAlign w:val="center"/>
        </w:tcPr>
        <w:p w14:paraId="7D6F578A" w14:textId="7A5204A5" w:rsidR="005F530C" w:rsidRPr="00BD0BE9" w:rsidRDefault="00F51E3F" w:rsidP="00AC5F82">
          <w:pPr>
            <w:pStyle w:val="Header"/>
            <w:pBdr>
              <w:bottom w:val="none" w:sz="0" w:space="0" w:color="auto"/>
            </w:pBdr>
            <w:jc w:val="right"/>
            <w:rPr>
              <w:rFonts w:eastAsia="等线"/>
              <w:b/>
              <w:bCs/>
            </w:rPr>
          </w:pPr>
          <w:r w:rsidRPr="00BD0BE9">
            <w:rPr>
              <w:rFonts w:eastAsia="等线"/>
              <w:b/>
              <w:bCs/>
            </w:rPr>
            <w:drawing>
              <wp:inline distT="0" distB="0" distL="0" distR="0" wp14:anchorId="424A5F48" wp14:editId="702C9B62">
                <wp:extent cx="538480" cy="353060"/>
                <wp:effectExtent l="0" t="0" r="0" b="0"/>
                <wp:docPr id="6" name="Picture 6" descr="M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D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480" cy="353060"/>
                        </a:xfrm>
                        <a:prstGeom prst="rect">
                          <a:avLst/>
                        </a:prstGeom>
                        <a:noFill/>
                        <a:ln>
                          <a:noFill/>
                        </a:ln>
                      </pic:spPr>
                    </pic:pic>
                  </a:graphicData>
                </a:graphic>
              </wp:inline>
            </w:drawing>
          </w:r>
        </w:p>
      </w:tc>
    </w:tr>
  </w:tbl>
  <w:p w14:paraId="0F4EB44D" w14:textId="77777777" w:rsidR="00AF7CE2" w:rsidRPr="005F530C" w:rsidRDefault="00AF7CE2" w:rsidP="00B16808">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A0F88"/>
    <w:multiLevelType w:val="hybridMultilevel"/>
    <w:tmpl w:val="C77C711C"/>
    <w:lvl w:ilvl="0" w:tplc="5286504C">
      <w:start w:val="169"/>
      <w:numFmt w:val="bullet"/>
      <w:lvlText w:val=""/>
      <w:lvlJc w:val="left"/>
      <w:pPr>
        <w:ind w:left="580" w:hanging="360"/>
      </w:pPr>
      <w:rPr>
        <w:rFonts w:ascii="Symbol" w:eastAsia="Times New Roman" w:hAnsi="Symbol" w:cs="Times New Roman" w:hint="default"/>
      </w:rPr>
    </w:lvl>
    <w:lvl w:ilvl="1" w:tplc="1C090003" w:tentative="1">
      <w:start w:val="1"/>
      <w:numFmt w:val="bullet"/>
      <w:lvlText w:val="o"/>
      <w:lvlJc w:val="left"/>
      <w:pPr>
        <w:ind w:left="1300" w:hanging="360"/>
      </w:pPr>
      <w:rPr>
        <w:rFonts w:ascii="Courier New" w:hAnsi="Courier New" w:cs="Courier New" w:hint="default"/>
      </w:rPr>
    </w:lvl>
    <w:lvl w:ilvl="2" w:tplc="1C090005" w:tentative="1">
      <w:start w:val="1"/>
      <w:numFmt w:val="bullet"/>
      <w:lvlText w:val=""/>
      <w:lvlJc w:val="left"/>
      <w:pPr>
        <w:ind w:left="2020" w:hanging="360"/>
      </w:pPr>
      <w:rPr>
        <w:rFonts w:ascii="Wingdings" w:hAnsi="Wingdings" w:hint="default"/>
      </w:rPr>
    </w:lvl>
    <w:lvl w:ilvl="3" w:tplc="1C090001" w:tentative="1">
      <w:start w:val="1"/>
      <w:numFmt w:val="bullet"/>
      <w:lvlText w:val=""/>
      <w:lvlJc w:val="left"/>
      <w:pPr>
        <w:ind w:left="2740" w:hanging="360"/>
      </w:pPr>
      <w:rPr>
        <w:rFonts w:ascii="Symbol" w:hAnsi="Symbol" w:hint="default"/>
      </w:rPr>
    </w:lvl>
    <w:lvl w:ilvl="4" w:tplc="1C090003" w:tentative="1">
      <w:start w:val="1"/>
      <w:numFmt w:val="bullet"/>
      <w:lvlText w:val="o"/>
      <w:lvlJc w:val="left"/>
      <w:pPr>
        <w:ind w:left="3460" w:hanging="360"/>
      </w:pPr>
      <w:rPr>
        <w:rFonts w:ascii="Courier New" w:hAnsi="Courier New" w:cs="Courier New" w:hint="default"/>
      </w:rPr>
    </w:lvl>
    <w:lvl w:ilvl="5" w:tplc="1C090005" w:tentative="1">
      <w:start w:val="1"/>
      <w:numFmt w:val="bullet"/>
      <w:lvlText w:val=""/>
      <w:lvlJc w:val="left"/>
      <w:pPr>
        <w:ind w:left="4180" w:hanging="360"/>
      </w:pPr>
      <w:rPr>
        <w:rFonts w:ascii="Wingdings" w:hAnsi="Wingdings" w:hint="default"/>
      </w:rPr>
    </w:lvl>
    <w:lvl w:ilvl="6" w:tplc="1C090001" w:tentative="1">
      <w:start w:val="1"/>
      <w:numFmt w:val="bullet"/>
      <w:lvlText w:val=""/>
      <w:lvlJc w:val="left"/>
      <w:pPr>
        <w:ind w:left="4900" w:hanging="360"/>
      </w:pPr>
      <w:rPr>
        <w:rFonts w:ascii="Symbol" w:hAnsi="Symbol" w:hint="default"/>
      </w:rPr>
    </w:lvl>
    <w:lvl w:ilvl="7" w:tplc="1C090003" w:tentative="1">
      <w:start w:val="1"/>
      <w:numFmt w:val="bullet"/>
      <w:lvlText w:val="o"/>
      <w:lvlJc w:val="left"/>
      <w:pPr>
        <w:ind w:left="5620" w:hanging="360"/>
      </w:pPr>
      <w:rPr>
        <w:rFonts w:ascii="Courier New" w:hAnsi="Courier New" w:cs="Courier New" w:hint="default"/>
      </w:rPr>
    </w:lvl>
    <w:lvl w:ilvl="8" w:tplc="1C090005" w:tentative="1">
      <w:start w:val="1"/>
      <w:numFmt w:val="bullet"/>
      <w:lvlText w:val=""/>
      <w:lvlJc w:val="left"/>
      <w:pPr>
        <w:ind w:left="6340" w:hanging="360"/>
      </w:pPr>
      <w:rPr>
        <w:rFonts w:ascii="Wingdings" w:hAnsi="Wingdings" w:hint="default"/>
      </w:rPr>
    </w:lvl>
  </w:abstractNum>
  <w:abstractNum w:abstractNumId="1"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8" w15:restartNumberingAfterBreak="0">
    <w:nsid w:val="56CF7C60"/>
    <w:multiLevelType w:val="hybridMultilevel"/>
    <w:tmpl w:val="BB52EB1E"/>
    <w:lvl w:ilvl="0" w:tplc="08086F0C">
      <w:start w:val="16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4"/>
  </w:num>
  <w:num w:numId="2">
    <w:abstractNumId w:val="6"/>
  </w:num>
  <w:num w:numId="3">
    <w:abstractNumId w:val="3"/>
  </w:num>
  <w:num w:numId="4">
    <w:abstractNumId w:val="5"/>
  </w:num>
  <w:num w:numId="5">
    <w:abstractNumId w:val="7"/>
  </w:num>
  <w:num w:numId="6">
    <w:abstractNumId w:val="2"/>
  </w:num>
  <w:num w:numId="7">
    <w:abstractNumId w:val="7"/>
  </w:num>
  <w:num w:numId="8">
    <w:abstractNumId w:val="2"/>
  </w:num>
  <w:num w:numId="9">
    <w:abstractNumId w:val="7"/>
  </w:num>
  <w:num w:numId="10">
    <w:abstractNumId w:val="2"/>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8"/>
  </w:num>
  <w:num w:numId="14">
    <w:abstractNumId w:val="9"/>
  </w:num>
  <w:num w:numId="15">
    <w:abstractNumId w:val="7"/>
  </w:num>
  <w:num w:numId="16">
    <w:abstractNumId w:val="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E3F"/>
    <w:rsid w:val="000618E3"/>
    <w:rsid w:val="000A6F47"/>
    <w:rsid w:val="000D4AE8"/>
    <w:rsid w:val="000D6839"/>
    <w:rsid w:val="000F0E63"/>
    <w:rsid w:val="00103E20"/>
    <w:rsid w:val="001059C9"/>
    <w:rsid w:val="00110CC2"/>
    <w:rsid w:val="0011101E"/>
    <w:rsid w:val="00125CE1"/>
    <w:rsid w:val="00126C03"/>
    <w:rsid w:val="00135C67"/>
    <w:rsid w:val="001432AB"/>
    <w:rsid w:val="00145BCC"/>
    <w:rsid w:val="001475F2"/>
    <w:rsid w:val="00186691"/>
    <w:rsid w:val="001A3DE7"/>
    <w:rsid w:val="001B645A"/>
    <w:rsid w:val="001D0EB3"/>
    <w:rsid w:val="001E2AEB"/>
    <w:rsid w:val="001F7B9E"/>
    <w:rsid w:val="002026A3"/>
    <w:rsid w:val="00232A00"/>
    <w:rsid w:val="002431C5"/>
    <w:rsid w:val="00272F25"/>
    <w:rsid w:val="00293431"/>
    <w:rsid w:val="002A0D6E"/>
    <w:rsid w:val="002B5823"/>
    <w:rsid w:val="002D78E7"/>
    <w:rsid w:val="00316E1B"/>
    <w:rsid w:val="00326141"/>
    <w:rsid w:val="003271CA"/>
    <w:rsid w:val="003734CA"/>
    <w:rsid w:val="00375BAA"/>
    <w:rsid w:val="00394E80"/>
    <w:rsid w:val="003A004E"/>
    <w:rsid w:val="003A55A8"/>
    <w:rsid w:val="003B0587"/>
    <w:rsid w:val="00401D30"/>
    <w:rsid w:val="00420E55"/>
    <w:rsid w:val="0044756D"/>
    <w:rsid w:val="004648D4"/>
    <w:rsid w:val="004807A8"/>
    <w:rsid w:val="004C1F28"/>
    <w:rsid w:val="004D3593"/>
    <w:rsid w:val="004E0105"/>
    <w:rsid w:val="00513C95"/>
    <w:rsid w:val="00534C4A"/>
    <w:rsid w:val="00535ADB"/>
    <w:rsid w:val="005425B6"/>
    <w:rsid w:val="00547F78"/>
    <w:rsid w:val="00557A2C"/>
    <w:rsid w:val="00596A63"/>
    <w:rsid w:val="005A0BED"/>
    <w:rsid w:val="005A2FC5"/>
    <w:rsid w:val="005E2B1B"/>
    <w:rsid w:val="005F530C"/>
    <w:rsid w:val="00611407"/>
    <w:rsid w:val="00627D4F"/>
    <w:rsid w:val="0063570B"/>
    <w:rsid w:val="00676FEB"/>
    <w:rsid w:val="006837C3"/>
    <w:rsid w:val="00692393"/>
    <w:rsid w:val="0069273C"/>
    <w:rsid w:val="006A25D2"/>
    <w:rsid w:val="006B71A5"/>
    <w:rsid w:val="006D37E0"/>
    <w:rsid w:val="006F7149"/>
    <w:rsid w:val="007346D0"/>
    <w:rsid w:val="00735EA3"/>
    <w:rsid w:val="00790413"/>
    <w:rsid w:val="007A54A4"/>
    <w:rsid w:val="007C17C4"/>
    <w:rsid w:val="007F6471"/>
    <w:rsid w:val="007F76FE"/>
    <w:rsid w:val="00817FC9"/>
    <w:rsid w:val="00851EBD"/>
    <w:rsid w:val="00874B5B"/>
    <w:rsid w:val="008A58E0"/>
    <w:rsid w:val="008A5BFD"/>
    <w:rsid w:val="008B0E4D"/>
    <w:rsid w:val="008B6C95"/>
    <w:rsid w:val="008D036F"/>
    <w:rsid w:val="008D09DD"/>
    <w:rsid w:val="008F4843"/>
    <w:rsid w:val="00925B94"/>
    <w:rsid w:val="00963346"/>
    <w:rsid w:val="00964FB2"/>
    <w:rsid w:val="00994ED4"/>
    <w:rsid w:val="009A5A53"/>
    <w:rsid w:val="009A7C8B"/>
    <w:rsid w:val="009B0211"/>
    <w:rsid w:val="009B080B"/>
    <w:rsid w:val="009B3704"/>
    <w:rsid w:val="009D74AE"/>
    <w:rsid w:val="009F70E6"/>
    <w:rsid w:val="00A02616"/>
    <w:rsid w:val="00A040D1"/>
    <w:rsid w:val="00A06051"/>
    <w:rsid w:val="00A453A4"/>
    <w:rsid w:val="00A53B15"/>
    <w:rsid w:val="00A54818"/>
    <w:rsid w:val="00A56CF6"/>
    <w:rsid w:val="00A70EAB"/>
    <w:rsid w:val="00A72D48"/>
    <w:rsid w:val="00AB68AF"/>
    <w:rsid w:val="00AC1C84"/>
    <w:rsid w:val="00AC2C4A"/>
    <w:rsid w:val="00AC5F82"/>
    <w:rsid w:val="00AE48A6"/>
    <w:rsid w:val="00AF4AAA"/>
    <w:rsid w:val="00AF7CE2"/>
    <w:rsid w:val="00B005DB"/>
    <w:rsid w:val="00B00C21"/>
    <w:rsid w:val="00B16352"/>
    <w:rsid w:val="00B16808"/>
    <w:rsid w:val="00B26679"/>
    <w:rsid w:val="00B43CFF"/>
    <w:rsid w:val="00B63037"/>
    <w:rsid w:val="00B74A9D"/>
    <w:rsid w:val="00B874CF"/>
    <w:rsid w:val="00B904C6"/>
    <w:rsid w:val="00B94A81"/>
    <w:rsid w:val="00B9529E"/>
    <w:rsid w:val="00BA34A2"/>
    <w:rsid w:val="00BB5186"/>
    <w:rsid w:val="00BD0BE9"/>
    <w:rsid w:val="00C32442"/>
    <w:rsid w:val="00C343B1"/>
    <w:rsid w:val="00C34630"/>
    <w:rsid w:val="00C40546"/>
    <w:rsid w:val="00C44C10"/>
    <w:rsid w:val="00C770AD"/>
    <w:rsid w:val="00C862EE"/>
    <w:rsid w:val="00C90FA1"/>
    <w:rsid w:val="00CA11A5"/>
    <w:rsid w:val="00CA391B"/>
    <w:rsid w:val="00CB5381"/>
    <w:rsid w:val="00CB5C68"/>
    <w:rsid w:val="00CD4EB1"/>
    <w:rsid w:val="00D109C8"/>
    <w:rsid w:val="00D47808"/>
    <w:rsid w:val="00D52E07"/>
    <w:rsid w:val="00D6737D"/>
    <w:rsid w:val="00D67A84"/>
    <w:rsid w:val="00D81694"/>
    <w:rsid w:val="00DA0C78"/>
    <w:rsid w:val="00DA4414"/>
    <w:rsid w:val="00DE3283"/>
    <w:rsid w:val="00E13705"/>
    <w:rsid w:val="00E2144B"/>
    <w:rsid w:val="00E21B5D"/>
    <w:rsid w:val="00E317F8"/>
    <w:rsid w:val="00E521BD"/>
    <w:rsid w:val="00EC2D4D"/>
    <w:rsid w:val="00F06986"/>
    <w:rsid w:val="00F17E93"/>
    <w:rsid w:val="00F22713"/>
    <w:rsid w:val="00F5117F"/>
    <w:rsid w:val="00F51E3F"/>
    <w:rsid w:val="00F528E5"/>
    <w:rsid w:val="00F71A8C"/>
    <w:rsid w:val="00F90736"/>
    <w:rsid w:val="00FB2D45"/>
    <w:rsid w:val="00FC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63BA43"/>
  <w15:chartTrackingRefBased/>
  <w15:docId w15:val="{A0AD07C6-C2F0-4D6A-81C2-F1AD0E860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6839"/>
    <w:pPr>
      <w:spacing w:line="260" w:lineRule="atLeast"/>
      <w:jc w:val="both"/>
    </w:pPr>
    <w:rPr>
      <w:rFonts w:ascii="Palatino Linotype" w:hAnsi="Palatino Linotype"/>
      <w:noProof/>
      <w:color w:val="000000"/>
    </w:rPr>
  </w:style>
  <w:style w:type="paragraph" w:styleId="Heading2">
    <w:name w:val="heading 2"/>
    <w:basedOn w:val="Normal"/>
    <w:next w:val="Normal"/>
    <w:link w:val="Heading2Char"/>
    <w:uiPriority w:val="9"/>
    <w:unhideWhenUsed/>
    <w:qFormat/>
    <w:rsid w:val="00F51E3F"/>
    <w:pPr>
      <w:keepNext/>
      <w:keepLines/>
      <w:spacing w:before="40" w:line="240" w:lineRule="auto"/>
      <w:jc w:val="left"/>
      <w:outlineLvl w:val="1"/>
    </w:pPr>
    <w:rPr>
      <w:rFonts w:ascii="Calibri" w:eastAsia="等线 Light" w:hAnsi="Calibri" w:cs="Calibri"/>
      <w:b/>
      <w:bCs/>
      <w:noProof w:val="0"/>
      <w:sz w:val="24"/>
      <w:szCs w:val="24"/>
      <w:lang w:val="en-IE" w:eastAsia="en-GB"/>
    </w:rPr>
  </w:style>
  <w:style w:type="character" w:default="1" w:styleId="DefaultParagraphFont">
    <w:name w:val="Default Paragraph Font"/>
    <w:uiPriority w:val="1"/>
    <w:semiHidden/>
    <w:unhideWhenUsed/>
    <w:rsid w:val="000D683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0D6839"/>
  </w:style>
  <w:style w:type="paragraph" w:customStyle="1" w:styleId="MDPI11articletype">
    <w:name w:val="MDPI_1.1_article_type"/>
    <w:next w:val="Normal"/>
    <w:qFormat/>
    <w:rsid w:val="000D6839"/>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0D6839"/>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0D6839"/>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0D6839"/>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0D6839"/>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0D6839"/>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0D6839"/>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0D6839"/>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3A55A8"/>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0D6839"/>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0D6839"/>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0D6839"/>
    <w:rPr>
      <w:rFonts w:ascii="Palatino Linotype" w:hAnsi="Palatino Linotype"/>
      <w:noProof/>
      <w:color w:val="000000"/>
      <w:szCs w:val="18"/>
    </w:rPr>
  </w:style>
  <w:style w:type="paragraph" w:styleId="Header">
    <w:name w:val="header"/>
    <w:basedOn w:val="Normal"/>
    <w:link w:val="HeaderChar"/>
    <w:uiPriority w:val="99"/>
    <w:rsid w:val="000D6839"/>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0D6839"/>
    <w:rPr>
      <w:rFonts w:ascii="Palatino Linotype" w:hAnsi="Palatino Linotype"/>
      <w:noProof/>
      <w:color w:val="000000"/>
      <w:szCs w:val="18"/>
    </w:rPr>
  </w:style>
  <w:style w:type="paragraph" w:customStyle="1" w:styleId="MDPIheaderjournallogo">
    <w:name w:val="MDPI_header_journal_logo"/>
    <w:qFormat/>
    <w:rsid w:val="000D6839"/>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0D6839"/>
    <w:pPr>
      <w:ind w:firstLine="0"/>
    </w:pPr>
  </w:style>
  <w:style w:type="paragraph" w:customStyle="1" w:styleId="MDPI31text">
    <w:name w:val="MDPI_3.1_text"/>
    <w:qFormat/>
    <w:rsid w:val="009B0211"/>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0D6839"/>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0D6839"/>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0D6839"/>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0D6839"/>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0D6839"/>
    <w:pPr>
      <w:numPr>
        <w:numId w:val="15"/>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0D6839"/>
    <w:pPr>
      <w:numPr>
        <w:numId w:val="16"/>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0D6839"/>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0D6839"/>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0D6839"/>
    <w:pPr>
      <w:adjustRightInd w:val="0"/>
      <w:snapToGrid w:val="0"/>
      <w:spacing w:before="240" w:after="120" w:line="228" w:lineRule="auto"/>
      <w:ind w:left="2608"/>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6F7149"/>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0D6839"/>
    <w:pPr>
      <w:adjustRightInd w:val="0"/>
      <w:snapToGrid w:val="0"/>
      <w:spacing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0D6839"/>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0D6839"/>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0D6839"/>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0D6839"/>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0D6839"/>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0D6839"/>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0D6839"/>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0D6839"/>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B94A81"/>
    <w:pPr>
      <w:numPr>
        <w:numId w:val="17"/>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0D6839"/>
    <w:rPr>
      <w:rFonts w:cs="Tahoma"/>
      <w:szCs w:val="18"/>
    </w:rPr>
  </w:style>
  <w:style w:type="character" w:customStyle="1" w:styleId="BalloonTextChar">
    <w:name w:val="Balloon Text Char"/>
    <w:link w:val="BalloonText"/>
    <w:uiPriority w:val="99"/>
    <w:rsid w:val="000D6839"/>
    <w:rPr>
      <w:rFonts w:ascii="Palatino Linotype" w:hAnsi="Palatino Linotype" w:cs="Tahoma"/>
      <w:noProof/>
      <w:color w:val="000000"/>
      <w:szCs w:val="18"/>
    </w:rPr>
  </w:style>
  <w:style w:type="character" w:styleId="LineNumber">
    <w:name w:val="line number"/>
    <w:uiPriority w:val="99"/>
    <w:rsid w:val="00C343B1"/>
    <w:rPr>
      <w:rFonts w:ascii="Palatino Linotype" w:hAnsi="Palatino Linotype"/>
      <w:sz w:val="16"/>
    </w:rPr>
  </w:style>
  <w:style w:type="table" w:customStyle="1" w:styleId="MDPI41threelinetable">
    <w:name w:val="MDPI_4.1_three_line_table"/>
    <w:basedOn w:val="TableNormal"/>
    <w:uiPriority w:val="99"/>
    <w:rsid w:val="000D6839"/>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0D6839"/>
    <w:rPr>
      <w:color w:val="0000FF"/>
      <w:u w:val="single"/>
    </w:rPr>
  </w:style>
  <w:style w:type="character" w:styleId="UnresolvedMention">
    <w:name w:val="Unresolved Mention"/>
    <w:uiPriority w:val="99"/>
    <w:semiHidden/>
    <w:unhideWhenUsed/>
    <w:rsid w:val="00963346"/>
    <w:rPr>
      <w:color w:val="605E5C"/>
      <w:shd w:val="clear" w:color="auto" w:fill="E1DFDD"/>
    </w:rPr>
  </w:style>
  <w:style w:type="table" w:styleId="PlainTable4">
    <w:name w:val="Plain Table 4"/>
    <w:basedOn w:val="TableNormal"/>
    <w:uiPriority w:val="44"/>
    <w:rsid w:val="00F71A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0D6839"/>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0D6839"/>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0D6839"/>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0D6839"/>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0D6839"/>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0D6839"/>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0D6839"/>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0D6839"/>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0D6839"/>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0D6839"/>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0D6839"/>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0D6839"/>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0D6839"/>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0D6839"/>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0D6839"/>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0D6839"/>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0D6839"/>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0D6839"/>
  </w:style>
  <w:style w:type="paragraph" w:styleId="Bibliography">
    <w:name w:val="Bibliography"/>
    <w:basedOn w:val="Normal"/>
    <w:next w:val="Normal"/>
    <w:uiPriority w:val="37"/>
    <w:semiHidden/>
    <w:unhideWhenUsed/>
    <w:rsid w:val="000D6839"/>
  </w:style>
  <w:style w:type="paragraph" w:styleId="BodyText">
    <w:name w:val="Body Text"/>
    <w:link w:val="BodyTextChar"/>
    <w:rsid w:val="000D6839"/>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0D6839"/>
    <w:rPr>
      <w:rFonts w:ascii="Palatino Linotype" w:hAnsi="Palatino Linotype"/>
      <w:color w:val="000000"/>
      <w:sz w:val="24"/>
      <w:lang w:eastAsia="de-DE"/>
    </w:rPr>
  </w:style>
  <w:style w:type="character" w:styleId="CommentReference">
    <w:name w:val="annotation reference"/>
    <w:rsid w:val="000D6839"/>
    <w:rPr>
      <w:sz w:val="21"/>
      <w:szCs w:val="21"/>
    </w:rPr>
  </w:style>
  <w:style w:type="paragraph" w:styleId="CommentText">
    <w:name w:val="annotation text"/>
    <w:basedOn w:val="Normal"/>
    <w:link w:val="CommentTextChar"/>
    <w:rsid w:val="000D6839"/>
  </w:style>
  <w:style w:type="character" w:customStyle="1" w:styleId="CommentTextChar">
    <w:name w:val="Comment Text Char"/>
    <w:link w:val="CommentText"/>
    <w:rsid w:val="000D6839"/>
    <w:rPr>
      <w:rFonts w:ascii="Palatino Linotype" w:hAnsi="Palatino Linotype"/>
      <w:noProof/>
      <w:color w:val="000000"/>
    </w:rPr>
  </w:style>
  <w:style w:type="paragraph" w:styleId="CommentSubject">
    <w:name w:val="annotation subject"/>
    <w:basedOn w:val="CommentText"/>
    <w:next w:val="CommentText"/>
    <w:link w:val="CommentSubjectChar"/>
    <w:rsid w:val="000D6839"/>
    <w:rPr>
      <w:b/>
      <w:bCs/>
    </w:rPr>
  </w:style>
  <w:style w:type="character" w:customStyle="1" w:styleId="CommentSubjectChar">
    <w:name w:val="Comment Subject Char"/>
    <w:link w:val="CommentSubject"/>
    <w:rsid w:val="000D6839"/>
    <w:rPr>
      <w:rFonts w:ascii="Palatino Linotype" w:hAnsi="Palatino Linotype"/>
      <w:b/>
      <w:bCs/>
      <w:noProof/>
      <w:color w:val="000000"/>
    </w:rPr>
  </w:style>
  <w:style w:type="character" w:styleId="EndnoteReference">
    <w:name w:val="endnote reference"/>
    <w:rsid w:val="000D6839"/>
    <w:rPr>
      <w:vertAlign w:val="superscript"/>
    </w:rPr>
  </w:style>
  <w:style w:type="paragraph" w:styleId="EndnoteText">
    <w:name w:val="endnote text"/>
    <w:basedOn w:val="Normal"/>
    <w:link w:val="EndnoteTextChar"/>
    <w:semiHidden/>
    <w:unhideWhenUsed/>
    <w:rsid w:val="000D6839"/>
    <w:pPr>
      <w:spacing w:line="240" w:lineRule="auto"/>
    </w:pPr>
  </w:style>
  <w:style w:type="character" w:customStyle="1" w:styleId="EndnoteTextChar">
    <w:name w:val="Endnote Text Char"/>
    <w:link w:val="EndnoteText"/>
    <w:semiHidden/>
    <w:rsid w:val="000D6839"/>
    <w:rPr>
      <w:rFonts w:ascii="Palatino Linotype" w:hAnsi="Palatino Linotype"/>
      <w:noProof/>
      <w:color w:val="000000"/>
    </w:rPr>
  </w:style>
  <w:style w:type="character" w:styleId="FollowedHyperlink">
    <w:name w:val="FollowedHyperlink"/>
    <w:rsid w:val="000D6839"/>
    <w:rPr>
      <w:color w:val="954F72"/>
      <w:u w:val="single"/>
    </w:rPr>
  </w:style>
  <w:style w:type="paragraph" w:styleId="FootnoteText">
    <w:name w:val="footnote text"/>
    <w:basedOn w:val="Normal"/>
    <w:link w:val="FootnoteTextChar"/>
    <w:semiHidden/>
    <w:unhideWhenUsed/>
    <w:rsid w:val="000D6839"/>
    <w:pPr>
      <w:spacing w:line="240" w:lineRule="auto"/>
    </w:pPr>
  </w:style>
  <w:style w:type="character" w:customStyle="1" w:styleId="FootnoteTextChar">
    <w:name w:val="Footnote Text Char"/>
    <w:link w:val="FootnoteText"/>
    <w:semiHidden/>
    <w:rsid w:val="000D6839"/>
    <w:rPr>
      <w:rFonts w:ascii="Palatino Linotype" w:hAnsi="Palatino Linotype"/>
      <w:noProof/>
      <w:color w:val="000000"/>
    </w:rPr>
  </w:style>
  <w:style w:type="paragraph" w:styleId="NormalWeb">
    <w:name w:val="Normal (Web)"/>
    <w:basedOn w:val="Normal"/>
    <w:uiPriority w:val="99"/>
    <w:rsid w:val="000D6839"/>
    <w:rPr>
      <w:szCs w:val="24"/>
    </w:rPr>
  </w:style>
  <w:style w:type="paragraph" w:customStyle="1" w:styleId="MsoFootnoteText0">
    <w:name w:val="MsoFootnoteText"/>
    <w:basedOn w:val="NormalWeb"/>
    <w:qFormat/>
    <w:rsid w:val="000D6839"/>
    <w:rPr>
      <w:rFonts w:ascii="Times New Roman" w:hAnsi="Times New Roman"/>
    </w:rPr>
  </w:style>
  <w:style w:type="character" w:styleId="PageNumber">
    <w:name w:val="page number"/>
    <w:rsid w:val="000D6839"/>
  </w:style>
  <w:style w:type="character" w:styleId="PlaceholderText">
    <w:name w:val="Placeholder Text"/>
    <w:uiPriority w:val="99"/>
    <w:semiHidden/>
    <w:rsid w:val="000D6839"/>
    <w:rPr>
      <w:color w:val="808080"/>
    </w:rPr>
  </w:style>
  <w:style w:type="character" w:customStyle="1" w:styleId="Heading2Char">
    <w:name w:val="Heading 2 Char"/>
    <w:basedOn w:val="DefaultParagraphFont"/>
    <w:link w:val="Heading2"/>
    <w:uiPriority w:val="9"/>
    <w:rsid w:val="00F51E3F"/>
    <w:rPr>
      <w:rFonts w:eastAsia="等线 Light" w:cs="Calibri"/>
      <w:b/>
      <w:bCs/>
      <w:color w:val="000000"/>
      <w:sz w:val="24"/>
      <w:szCs w:val="24"/>
      <w:lang w:val="en-IE" w:eastAsia="en-GB"/>
    </w:rPr>
  </w:style>
  <w:style w:type="paragraph" w:styleId="ListParagraph">
    <w:name w:val="List Paragraph"/>
    <w:basedOn w:val="Normal"/>
    <w:uiPriority w:val="34"/>
    <w:qFormat/>
    <w:rsid w:val="00F51E3F"/>
    <w:pPr>
      <w:spacing w:line="240" w:lineRule="auto"/>
      <w:ind w:left="720"/>
      <w:contextualSpacing/>
      <w:jc w:val="left"/>
    </w:pPr>
    <w:rPr>
      <w:rFonts w:ascii="Calibri" w:eastAsia="Times New Roman" w:hAnsi="Calibri"/>
      <w:noProof w:val="0"/>
      <w:color w:val="auto"/>
      <w:sz w:val="24"/>
      <w:szCs w:val="24"/>
      <w:lang w:val="en-IE" w:eastAsia="en-GB"/>
    </w:rPr>
  </w:style>
  <w:style w:type="table" w:customStyle="1" w:styleId="PlainTable21">
    <w:name w:val="Plain Table 21"/>
    <w:basedOn w:val="TableNormal"/>
    <w:uiPriority w:val="42"/>
    <w:rsid w:val="00F51E3F"/>
    <w:rPr>
      <w:rFonts w:eastAsia="Calibri"/>
      <w:sz w:val="24"/>
      <w:szCs w:val="24"/>
      <w:lang w:val="en-IE"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1444446">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cancer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cancers-template.dot</Template>
  <TotalTime>1</TotalTime>
  <Pages>3</Pages>
  <Words>685</Words>
  <Characters>3890</Characters>
  <Application>Microsoft Office Word</Application>
  <DocSecurity>0</DocSecurity>
  <Lines>155</Lines>
  <Paragraphs>78</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MDPI</cp:lastModifiedBy>
  <cp:revision>1</cp:revision>
  <dcterms:created xsi:type="dcterms:W3CDTF">2021-02-09T07:43:00Z</dcterms:created>
  <dcterms:modified xsi:type="dcterms:W3CDTF">2021-02-09T07:44:00Z</dcterms:modified>
</cp:coreProperties>
</file>