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B92871" w14:textId="77777777" w:rsidR="00BE324F" w:rsidRPr="00B73AB0" w:rsidRDefault="00BE324F" w:rsidP="00BE324F">
      <w:pPr>
        <w:pStyle w:val="NormalWeb"/>
        <w:spacing w:line="360" w:lineRule="auto"/>
      </w:pPr>
      <w:r w:rsidRPr="00B73AB0">
        <w:rPr>
          <w:rFonts w:eastAsia="Times New Roman" w:cs="Calibri"/>
          <w:b/>
          <w:bCs/>
          <w:kern w:val="24"/>
          <w:sz w:val="32"/>
          <w:szCs w:val="32"/>
        </w:rPr>
        <w:t>File S1: Growth and invasion of PDX organoids</w:t>
      </w:r>
    </w:p>
    <w:p w14:paraId="69516D49" w14:textId="641B4D6F" w:rsidR="00BE324F" w:rsidRPr="00B73AB0" w:rsidRDefault="00BE324F" w:rsidP="00BE324F">
      <w:r w:rsidRPr="00B73AB0">
        <w:drawing>
          <wp:inline distT="0" distB="0" distL="0" distR="0" wp14:anchorId="368866BC" wp14:editId="5E57A9D6">
            <wp:extent cx="2731770" cy="2864485"/>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r="65407"/>
                    <a:stretch>
                      <a:fillRect/>
                    </a:stretch>
                  </pic:blipFill>
                  <pic:spPr bwMode="auto">
                    <a:xfrm>
                      <a:off x="0" y="0"/>
                      <a:ext cx="2731770" cy="2864485"/>
                    </a:xfrm>
                    <a:prstGeom prst="rect">
                      <a:avLst/>
                    </a:prstGeom>
                    <a:noFill/>
                    <a:ln>
                      <a:noFill/>
                    </a:ln>
                  </pic:spPr>
                </pic:pic>
              </a:graphicData>
            </a:graphic>
          </wp:inline>
        </w:drawing>
      </w:r>
      <w:r w:rsidRPr="00B73AB0">
        <w:drawing>
          <wp:inline distT="0" distB="0" distL="0" distR="0" wp14:anchorId="4C4BC495" wp14:editId="067B2E4D">
            <wp:extent cx="2858770" cy="2893695"/>
            <wp:effectExtent l="0" t="0" r="0" b="0"/>
            <wp:docPr id="2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l="64281"/>
                    <a:stretch>
                      <a:fillRect/>
                    </a:stretch>
                  </pic:blipFill>
                  <pic:spPr bwMode="auto">
                    <a:xfrm>
                      <a:off x="0" y="0"/>
                      <a:ext cx="2858770" cy="2893695"/>
                    </a:xfrm>
                    <a:prstGeom prst="rect">
                      <a:avLst/>
                    </a:prstGeom>
                    <a:noFill/>
                    <a:ln>
                      <a:noFill/>
                    </a:ln>
                  </pic:spPr>
                </pic:pic>
              </a:graphicData>
            </a:graphic>
          </wp:inline>
        </w:drawing>
      </w:r>
    </w:p>
    <w:p w14:paraId="73DA7B7C" w14:textId="490E5A8D" w:rsidR="00BE324F" w:rsidRPr="00B73AB0" w:rsidRDefault="00BE324F" w:rsidP="00BE324F">
      <w:pPr>
        <w:pStyle w:val="NormalWeb"/>
      </w:pPr>
      <w:r w:rsidRPr="00B73AB0">
        <w:rPr>
          <w:rFonts w:eastAsia="Times New Roman"/>
          <w:b/>
          <w:bCs/>
          <w:kern w:val="24"/>
          <w:szCs w:val="20"/>
        </w:rPr>
        <w:t xml:space="preserve">Figure S1.1. </w:t>
      </w:r>
      <w:r w:rsidRPr="00B73AB0">
        <w:rPr>
          <w:rFonts w:eastAsia="Times New Roman"/>
          <w:bCs/>
          <w:kern w:val="24"/>
          <w:szCs w:val="20"/>
        </w:rPr>
        <w:t>The size of isolated NB organoids depends on the PDX of origin.</w:t>
      </w:r>
      <w:r w:rsidRPr="00B73AB0">
        <w:rPr>
          <w:rFonts w:eastAsia="Times New Roman"/>
          <w:b/>
          <w:bCs/>
          <w:kern w:val="24"/>
          <w:szCs w:val="20"/>
        </w:rPr>
        <w:t xml:space="preserve"> </w:t>
      </w:r>
      <w:r w:rsidRPr="00B73AB0">
        <w:rPr>
          <w:rFonts w:eastAsia="Times New Roman"/>
          <w:kern w:val="24"/>
          <w:szCs w:val="20"/>
        </w:rPr>
        <w:t xml:space="preserve">Organoids were isolated from four different NB PDXs and embedded in Matrigel or Collagen hydrogels. Images of organoids were captured by DIC microscopy at t0hr and area was measured using FIJI image analysis software. Each dot represents one organoid and error bars indicate mean </w:t>
      </w:r>
      <w:r w:rsidRPr="00B73AB0">
        <w:rPr>
          <w:rFonts w:eastAsia="Times New Roman" w:cs="Calibri"/>
          <w:kern w:val="24"/>
          <w:szCs w:val="20"/>
        </w:rPr>
        <w:t xml:space="preserve">± 95% confidence interval. Asterisks indicate statistical significance obtained using Brown-Forsythe ANOVA with T3 Dunnett post-hoc test (* </w:t>
      </w:r>
      <w:r w:rsidR="00B73AB0" w:rsidRPr="00B73AB0">
        <w:rPr>
          <w:rFonts w:eastAsia="Times New Roman" w:cs="Calibri"/>
          <w:i/>
          <w:kern w:val="24"/>
          <w:szCs w:val="20"/>
        </w:rPr>
        <w:t>p</w:t>
      </w:r>
      <w:r w:rsidRPr="00B73AB0">
        <w:rPr>
          <w:rFonts w:eastAsia="Times New Roman" w:cs="Calibri"/>
          <w:kern w:val="24"/>
          <w:szCs w:val="20"/>
        </w:rPr>
        <w:t xml:space="preserve"> &lt; 0.05, **</w:t>
      </w:r>
      <w:r w:rsidR="00B73AB0" w:rsidRPr="00B73AB0">
        <w:rPr>
          <w:rFonts w:eastAsia="Times New Roman" w:cs="Calibri"/>
          <w:i/>
          <w:kern w:val="24"/>
          <w:szCs w:val="20"/>
        </w:rPr>
        <w:t>p</w:t>
      </w:r>
      <w:r w:rsidRPr="00B73AB0">
        <w:rPr>
          <w:rFonts w:eastAsia="Times New Roman" w:cs="Calibri"/>
          <w:kern w:val="24"/>
          <w:szCs w:val="20"/>
        </w:rPr>
        <w:t xml:space="preserve"> &lt; 0.01, *** </w:t>
      </w:r>
      <w:r w:rsidR="00B73AB0" w:rsidRPr="00B73AB0">
        <w:rPr>
          <w:rFonts w:eastAsia="Times New Roman" w:cs="Calibri"/>
          <w:i/>
          <w:kern w:val="24"/>
          <w:szCs w:val="20"/>
        </w:rPr>
        <w:t>p</w:t>
      </w:r>
      <w:r w:rsidRPr="00B73AB0">
        <w:rPr>
          <w:rFonts w:eastAsia="Times New Roman" w:cs="Calibri"/>
          <w:kern w:val="24"/>
          <w:szCs w:val="20"/>
        </w:rPr>
        <w:t xml:space="preserve"> &lt; 0.001). </w:t>
      </w:r>
    </w:p>
    <w:p w14:paraId="1FC02874" w14:textId="144E454B" w:rsidR="00BE324F" w:rsidRPr="00B73AB0" w:rsidRDefault="00BE324F" w:rsidP="00BE324F">
      <w:pPr>
        <w:pStyle w:val="NormalWeb"/>
      </w:pPr>
      <w:r w:rsidRPr="00B73AB0">
        <w:drawing>
          <wp:inline distT="0" distB="0" distL="0" distR="0" wp14:anchorId="7664AAA8" wp14:editId="24C42864">
            <wp:extent cx="4068445" cy="3391535"/>
            <wp:effectExtent l="0" t="0" r="0" b="0"/>
            <wp:docPr id="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68445" cy="3391535"/>
                    </a:xfrm>
                    <a:prstGeom prst="rect">
                      <a:avLst/>
                    </a:prstGeom>
                    <a:noFill/>
                    <a:ln>
                      <a:noFill/>
                    </a:ln>
                  </pic:spPr>
                </pic:pic>
              </a:graphicData>
            </a:graphic>
          </wp:inline>
        </w:drawing>
      </w:r>
      <w:r w:rsidRPr="00B73AB0">
        <w:rPr>
          <w:rFonts w:eastAsia="Times New Roman"/>
          <w:kern w:val="24"/>
          <w:szCs w:val="20"/>
        </w:rPr>
        <w:t> </w:t>
      </w:r>
    </w:p>
    <w:p w14:paraId="29DCACE7" w14:textId="6EC2ADB1" w:rsidR="00BE324F" w:rsidRPr="00B73AB0" w:rsidRDefault="00BE324F" w:rsidP="00BE324F">
      <w:pPr>
        <w:pStyle w:val="NormalWeb"/>
      </w:pPr>
      <w:r w:rsidRPr="00B73AB0">
        <w:rPr>
          <w:rFonts w:eastAsia="Times New Roman" w:cs="Calibri"/>
          <w:b/>
          <w:bCs/>
          <w:kern w:val="24"/>
          <w:szCs w:val="20"/>
        </w:rPr>
        <w:t xml:space="preserve">Figure S1.2 </w:t>
      </w:r>
      <w:r w:rsidRPr="00B73AB0">
        <w:rPr>
          <w:rFonts w:eastAsia="Times New Roman" w:cs="Calibri"/>
          <w:bCs/>
          <w:kern w:val="24"/>
          <w:szCs w:val="20"/>
        </w:rPr>
        <w:t xml:space="preserve">Organoids isolated from the COG-N-424x PDX are non-invasive in 3D hydrogel cultures. </w:t>
      </w:r>
      <w:r w:rsidRPr="00B73AB0">
        <w:rPr>
          <w:rFonts w:eastAsia="Times New Roman" w:cs="Calibri"/>
          <w:kern w:val="24"/>
          <w:szCs w:val="20"/>
        </w:rPr>
        <w:t>Representative DIC time-lapse images of spheroid organoids in 3D M and C hydrogels (</w:t>
      </w:r>
      <w:r w:rsidRPr="00B73AB0">
        <w:rPr>
          <w:rFonts w:eastAsia="Times New Roman" w:cs="Calibri"/>
          <w:b/>
          <w:kern w:val="24"/>
          <w:szCs w:val="20"/>
        </w:rPr>
        <w:t>A</w:t>
      </w:r>
      <w:r w:rsidRPr="00B73AB0">
        <w:rPr>
          <w:rFonts w:eastAsia="Times New Roman" w:cs="Calibri"/>
          <w:kern w:val="24"/>
          <w:szCs w:val="20"/>
        </w:rPr>
        <w:t>). Measurements of organoid circularity over five days confirms no significant phenotype changes (a value of 1 represents a perfect circle) in Matrigel (</w:t>
      </w:r>
      <w:r w:rsidRPr="00B73AB0">
        <w:rPr>
          <w:rFonts w:eastAsia="Times New Roman" w:cs="Calibri"/>
          <w:b/>
          <w:kern w:val="24"/>
          <w:szCs w:val="20"/>
        </w:rPr>
        <w:t>B</w:t>
      </w:r>
      <w:r w:rsidRPr="00B73AB0">
        <w:rPr>
          <w:rFonts w:eastAsia="Times New Roman" w:cs="Calibri"/>
          <w:kern w:val="24"/>
          <w:szCs w:val="20"/>
        </w:rPr>
        <w:t>) or Collagen I (</w:t>
      </w:r>
      <w:r w:rsidRPr="00B73AB0">
        <w:rPr>
          <w:rFonts w:eastAsia="Times New Roman" w:cs="Calibri"/>
          <w:b/>
          <w:kern w:val="24"/>
          <w:szCs w:val="20"/>
        </w:rPr>
        <w:t>C</w:t>
      </w:r>
      <w:r w:rsidRPr="00B73AB0">
        <w:rPr>
          <w:rFonts w:eastAsia="Times New Roman" w:cs="Calibri"/>
          <w:kern w:val="24"/>
          <w:szCs w:val="20"/>
        </w:rPr>
        <w:t xml:space="preserve">) gels (Kruskal-Wallis and Dunn’s post-hoc tests, horizontal bars indicate median and interquartile range). The </w:t>
      </w:r>
      <w:r w:rsidRPr="00B73AB0">
        <w:rPr>
          <w:rFonts w:eastAsia="Times New Roman" w:cs="Calibri"/>
          <w:kern w:val="24"/>
          <w:szCs w:val="20"/>
        </w:rPr>
        <w:lastRenderedPageBreak/>
        <w:t>relative growth of organoids was calculated by dividing the difference in area between t0hr and t96hr by the area at t0hr and presented on the plot (</w:t>
      </w:r>
      <w:r w:rsidRPr="00B73AB0">
        <w:rPr>
          <w:rFonts w:eastAsia="Times New Roman" w:cs="Calibri"/>
          <w:b/>
          <w:kern w:val="24"/>
          <w:szCs w:val="20"/>
        </w:rPr>
        <w:t>D</w:t>
      </w:r>
      <w:r w:rsidRPr="00B73AB0">
        <w:rPr>
          <w:rFonts w:eastAsia="Times New Roman" w:cs="Calibri"/>
          <w:kern w:val="24"/>
          <w:szCs w:val="20"/>
        </w:rPr>
        <w:t>) (Unpaired t test with Welch’s correction, horizontal bars indicate mean ± 95% confidence interval). For all plots, each dot represents one organoid (</w:t>
      </w:r>
      <w:r w:rsidR="00B73AB0" w:rsidRPr="00B73AB0">
        <w:rPr>
          <w:rFonts w:eastAsia="Times New Roman" w:cs="Calibri"/>
          <w:i/>
          <w:kern w:val="24"/>
          <w:szCs w:val="20"/>
        </w:rPr>
        <w:t>n</w:t>
      </w:r>
      <w:r w:rsidRPr="00B73AB0">
        <w:rPr>
          <w:rFonts w:eastAsia="Times New Roman" w:cs="Calibri"/>
          <w:kern w:val="24"/>
          <w:szCs w:val="20"/>
        </w:rPr>
        <w:t xml:space="preserve"> = 32 in M, </w:t>
      </w:r>
      <w:r w:rsidR="00B73AB0" w:rsidRPr="00B73AB0">
        <w:rPr>
          <w:rFonts w:eastAsia="Times New Roman" w:cs="Calibri"/>
          <w:i/>
          <w:kern w:val="24"/>
          <w:szCs w:val="20"/>
        </w:rPr>
        <w:t>n</w:t>
      </w:r>
      <w:r w:rsidRPr="00B73AB0">
        <w:rPr>
          <w:rFonts w:eastAsia="Times New Roman" w:cs="Calibri"/>
          <w:kern w:val="24"/>
          <w:szCs w:val="20"/>
        </w:rPr>
        <w:t xml:space="preserve"> = 35 in C) and asterisks indicate statistical significance (* </w:t>
      </w:r>
      <w:r w:rsidR="00B73AB0" w:rsidRPr="00B73AB0">
        <w:rPr>
          <w:rFonts w:eastAsia="Times New Roman" w:cs="Calibri"/>
          <w:i/>
          <w:kern w:val="24"/>
          <w:szCs w:val="20"/>
        </w:rPr>
        <w:t>p</w:t>
      </w:r>
      <w:r w:rsidRPr="00B73AB0">
        <w:rPr>
          <w:rFonts w:eastAsia="Times New Roman" w:cs="Calibri"/>
          <w:kern w:val="24"/>
          <w:szCs w:val="20"/>
        </w:rPr>
        <w:t xml:space="preserve"> &lt; 0.05, ** </w:t>
      </w:r>
      <w:r w:rsidR="00B73AB0" w:rsidRPr="00B73AB0">
        <w:rPr>
          <w:rFonts w:eastAsia="Times New Roman" w:cs="Calibri"/>
          <w:i/>
          <w:kern w:val="24"/>
          <w:szCs w:val="20"/>
        </w:rPr>
        <w:t>p</w:t>
      </w:r>
      <w:r w:rsidRPr="00B73AB0">
        <w:rPr>
          <w:rFonts w:eastAsia="Times New Roman" w:cs="Calibri"/>
          <w:kern w:val="24"/>
          <w:szCs w:val="20"/>
        </w:rPr>
        <w:t xml:space="preserve"> &lt; 0.01). All scale bars = 50μm. </w:t>
      </w:r>
    </w:p>
    <w:p w14:paraId="11E1EDB1" w14:textId="2D923812" w:rsidR="00BE324F" w:rsidRPr="00B73AB0" w:rsidRDefault="00BE324F" w:rsidP="00BE324F">
      <w:r w:rsidRPr="00B73AB0">
        <w:drawing>
          <wp:inline distT="0" distB="0" distL="0" distR="0" wp14:anchorId="201FC10C" wp14:editId="562A3DD0">
            <wp:extent cx="4954270" cy="5440045"/>
            <wp:effectExtent l="0" t="0" r="0" b="0"/>
            <wp:docPr id="18"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ell phone&#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54270" cy="5440045"/>
                    </a:xfrm>
                    <a:prstGeom prst="rect">
                      <a:avLst/>
                    </a:prstGeom>
                    <a:noFill/>
                    <a:ln>
                      <a:noFill/>
                    </a:ln>
                  </pic:spPr>
                </pic:pic>
              </a:graphicData>
            </a:graphic>
          </wp:inline>
        </w:drawing>
      </w:r>
    </w:p>
    <w:p w14:paraId="236855A0" w14:textId="7E2F93E4" w:rsidR="00BE324F" w:rsidRPr="00B73AB0" w:rsidRDefault="00BE324F" w:rsidP="00BE324F">
      <w:pPr>
        <w:rPr>
          <w:lang w:val="en-IE"/>
        </w:rPr>
      </w:pPr>
      <w:r w:rsidRPr="00B73AB0">
        <w:rPr>
          <w:b/>
          <w:bCs/>
          <w:lang w:val="en-IE"/>
        </w:rPr>
        <w:t xml:space="preserve">Figure S1.3 </w:t>
      </w:r>
      <w:r w:rsidRPr="00B73AB0">
        <w:rPr>
          <w:bCs/>
          <w:lang w:val="en-IE"/>
        </w:rPr>
        <w:t xml:space="preserve">Organoids isolated from 573x are predominantly non-invasive and the small proportion of invasive organoids favour the neuronal phenotype. </w:t>
      </w:r>
      <w:r w:rsidRPr="00B73AB0">
        <w:rPr>
          <w:lang w:val="en-IE"/>
        </w:rPr>
        <w:t>Representative DIC images of organoids isolated from 573x in 3D M or C hydrogels. Organoids were characterised as non-invasive spheroids (</w:t>
      </w:r>
      <w:r w:rsidRPr="00B73AB0">
        <w:rPr>
          <w:b/>
          <w:lang w:val="en-IE"/>
        </w:rPr>
        <w:t>A</w:t>
      </w:r>
      <w:r w:rsidRPr="00B73AB0">
        <w:rPr>
          <w:lang w:val="en-IE"/>
        </w:rPr>
        <w:t>) or invasive neuronal organoids (</w:t>
      </w:r>
      <w:r w:rsidRPr="00B73AB0">
        <w:rPr>
          <w:b/>
          <w:lang w:val="en-IE"/>
        </w:rPr>
        <w:t>B</w:t>
      </w:r>
      <w:r w:rsidRPr="00B73AB0">
        <w:rPr>
          <w:lang w:val="en-IE"/>
        </w:rPr>
        <w:t>), representative images were taken at t96hr hours and t24hr hours in culture respectively. Pie-charts represent the proportion of organoids per phenotype classification (</w:t>
      </w:r>
      <w:r w:rsidRPr="00B73AB0">
        <w:rPr>
          <w:b/>
          <w:lang w:val="en-IE"/>
        </w:rPr>
        <w:t>C</w:t>
      </w:r>
      <w:r w:rsidRPr="00B73AB0">
        <w:rPr>
          <w:lang w:val="en-IE"/>
        </w:rPr>
        <w:t>). The relative growth of organoids was calculated by dividing the difference in area between t0hr and t96hr by the area at t0hr and presented on the plot (</w:t>
      </w:r>
      <w:r w:rsidRPr="00B73AB0">
        <w:rPr>
          <w:b/>
          <w:lang w:val="en-IE"/>
        </w:rPr>
        <w:t>D</w:t>
      </w:r>
      <w:r w:rsidRPr="00B73AB0">
        <w:rPr>
          <w:lang w:val="en-IE"/>
        </w:rPr>
        <w:t>) (Unpaired t test with Welch’s correction, horizontal bars indicate mean ± 95% confidence interval). Measurements of organoid circularity, where a value of 1 indicates a perfect circle, confirm microscopic observations of changes in morphology in M (</w:t>
      </w:r>
      <w:r w:rsidRPr="00B73AB0">
        <w:rPr>
          <w:b/>
          <w:lang w:val="en-IE"/>
        </w:rPr>
        <w:t>E</w:t>
      </w:r>
      <w:r w:rsidRPr="00B73AB0">
        <w:rPr>
          <w:lang w:val="en-IE"/>
        </w:rPr>
        <w:t>) and C (</w:t>
      </w:r>
      <w:r w:rsidRPr="00B73AB0">
        <w:rPr>
          <w:b/>
          <w:lang w:val="en-IE"/>
        </w:rPr>
        <w:t>F</w:t>
      </w:r>
      <w:r w:rsidRPr="00B73AB0">
        <w:rPr>
          <w:lang w:val="en-IE"/>
        </w:rPr>
        <w:t xml:space="preserve">) hydrogels (Kruskal-Wallis and Dunn’s post-hoc tests, horizontal bars indicate median and interquartile range). </w:t>
      </w:r>
      <w:r w:rsidRPr="00B73AB0">
        <w:rPr>
          <w:b/>
          <w:lang w:val="en-IE"/>
        </w:rPr>
        <w:t>G</w:t>
      </w:r>
      <w:r w:rsidRPr="00B73AB0">
        <w:rPr>
          <w:lang w:val="en-IE"/>
        </w:rPr>
        <w:t xml:space="preserve">) Representative DIC time-lapse images of a neuronal organoid invasion in M and spheroid formation in C. Black </w:t>
      </w:r>
      <w:r w:rsidRPr="00B73AB0">
        <w:rPr>
          <w:lang w:val="en-IE"/>
        </w:rPr>
        <w:lastRenderedPageBreak/>
        <w:t>arrowheads indicate neurite-like processes. For all plots, each dot represents one organoid (</w:t>
      </w:r>
      <w:r w:rsidR="00B73AB0" w:rsidRPr="00B73AB0">
        <w:rPr>
          <w:i/>
          <w:lang w:val="en-IE"/>
        </w:rPr>
        <w:t>n</w:t>
      </w:r>
      <w:r w:rsidRPr="00B73AB0">
        <w:rPr>
          <w:lang w:val="en-IE"/>
        </w:rPr>
        <w:t xml:space="preserve"> = 41 in M, </w:t>
      </w:r>
      <w:r w:rsidR="00B73AB0" w:rsidRPr="00B73AB0">
        <w:rPr>
          <w:i/>
          <w:lang w:val="en-IE"/>
        </w:rPr>
        <w:t>n</w:t>
      </w:r>
      <w:r w:rsidRPr="00B73AB0">
        <w:rPr>
          <w:lang w:val="en-IE"/>
        </w:rPr>
        <w:t xml:space="preserve">=46 in C) and asterisks indicate statistical significance (* </w:t>
      </w:r>
      <w:r w:rsidR="00B73AB0" w:rsidRPr="00B73AB0">
        <w:rPr>
          <w:i/>
          <w:lang w:val="en-IE"/>
        </w:rPr>
        <w:t>p</w:t>
      </w:r>
      <w:r w:rsidRPr="00B73AB0">
        <w:rPr>
          <w:lang w:val="en-IE"/>
        </w:rPr>
        <w:t xml:space="preserve"> &lt; 0.05, ** </w:t>
      </w:r>
      <w:r w:rsidR="00B73AB0" w:rsidRPr="00B73AB0">
        <w:rPr>
          <w:i/>
          <w:lang w:val="en-IE"/>
        </w:rPr>
        <w:t>p</w:t>
      </w:r>
      <w:r w:rsidRPr="00B73AB0">
        <w:rPr>
          <w:lang w:val="en-IE"/>
        </w:rPr>
        <w:t xml:space="preserve"> &lt; 0.01, *** </w:t>
      </w:r>
      <w:r w:rsidR="00B73AB0" w:rsidRPr="00B73AB0">
        <w:rPr>
          <w:i/>
          <w:lang w:val="en-IE"/>
        </w:rPr>
        <w:t>p</w:t>
      </w:r>
      <w:r w:rsidRPr="00B73AB0">
        <w:rPr>
          <w:lang w:val="en-IE"/>
        </w:rPr>
        <w:t xml:space="preserve"> &lt; 0.001, ns; not significant). All scale bars = 50μm.</w:t>
      </w:r>
    </w:p>
    <w:p w14:paraId="74A9A90C" w14:textId="7E90FA57" w:rsidR="00BE324F" w:rsidRPr="00B73AB0" w:rsidRDefault="00BE324F" w:rsidP="00BE324F">
      <w:r w:rsidRPr="00B73AB0">
        <w:drawing>
          <wp:inline distT="0" distB="0" distL="0" distR="0" wp14:anchorId="0564C1B7" wp14:editId="4425F0BA">
            <wp:extent cx="4421505" cy="5196840"/>
            <wp:effectExtent l="0" t="0" r="0" b="0"/>
            <wp:docPr id="17"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ell phone&#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21505" cy="5196840"/>
                    </a:xfrm>
                    <a:prstGeom prst="rect">
                      <a:avLst/>
                    </a:prstGeom>
                    <a:noFill/>
                    <a:ln>
                      <a:noFill/>
                    </a:ln>
                  </pic:spPr>
                </pic:pic>
              </a:graphicData>
            </a:graphic>
          </wp:inline>
        </w:drawing>
      </w:r>
    </w:p>
    <w:p w14:paraId="2BC72DF7" w14:textId="77777777" w:rsidR="00BE324F" w:rsidRPr="00B73AB0" w:rsidRDefault="00BE324F" w:rsidP="00BE324F"/>
    <w:p w14:paraId="133B3945" w14:textId="67967CF9" w:rsidR="00BE324F" w:rsidRPr="00B73AB0" w:rsidRDefault="00BE324F" w:rsidP="00BE324F">
      <w:pPr>
        <w:rPr>
          <w:lang w:val="en-IE"/>
        </w:rPr>
      </w:pPr>
      <w:r w:rsidRPr="00B73AB0">
        <w:rPr>
          <w:b/>
          <w:bCs/>
          <w:lang w:val="en-IE"/>
        </w:rPr>
        <w:t xml:space="preserve">Figure S1.4. </w:t>
      </w:r>
      <w:r w:rsidRPr="00B73AB0">
        <w:rPr>
          <w:bCs/>
          <w:lang w:val="en-IE"/>
        </w:rPr>
        <w:t xml:space="preserve">The local invasion of organoids isolated from 603x is dependent on ECM composition. </w:t>
      </w:r>
      <w:r w:rsidRPr="00B73AB0">
        <w:rPr>
          <w:lang w:val="en-IE"/>
        </w:rPr>
        <w:t>Representative DIC images of NB organoids after 4 days of culture in 3D hydrogels composed of M, MC or C (</w:t>
      </w:r>
      <w:r w:rsidRPr="00B73AB0">
        <w:rPr>
          <w:b/>
          <w:lang w:val="en-IE"/>
        </w:rPr>
        <w:t>A</w:t>
      </w:r>
      <w:r w:rsidRPr="00B73AB0">
        <w:rPr>
          <w:lang w:val="en-IE"/>
        </w:rPr>
        <w:t>). Pie-charts represent the proportion of organoids per phenotype classification (</w:t>
      </w:r>
      <w:r w:rsidRPr="00B73AB0">
        <w:rPr>
          <w:b/>
          <w:lang w:val="en-IE"/>
        </w:rPr>
        <w:t>B</w:t>
      </w:r>
      <w:r w:rsidRPr="00B73AB0">
        <w:rPr>
          <w:lang w:val="en-IE"/>
        </w:rPr>
        <w:t>). The relative growth of organoids was calculated by dividing the difference in area between t0hr and t96hr by the area at t0hr and presented on the plot (</w:t>
      </w:r>
      <w:r w:rsidRPr="00B73AB0">
        <w:rPr>
          <w:b/>
          <w:lang w:val="en-IE"/>
        </w:rPr>
        <w:t>C</w:t>
      </w:r>
      <w:r w:rsidRPr="00B73AB0">
        <w:rPr>
          <w:lang w:val="en-IE"/>
        </w:rPr>
        <w:t>) (Brown-Forsythe and Welch ANOVA with T3 Dunnett post-hoc test, horizontal bars indicate mean ± 95% confidence interval). Organoid circularity was measured to support microscopic observations of phenotypical changes, where a value of 1.0 indicates a perfect circle, in M (</w:t>
      </w:r>
      <w:r w:rsidRPr="00B73AB0">
        <w:rPr>
          <w:b/>
          <w:lang w:val="en-IE"/>
        </w:rPr>
        <w:t>D</w:t>
      </w:r>
      <w:r w:rsidRPr="00B73AB0">
        <w:rPr>
          <w:lang w:val="en-IE"/>
        </w:rPr>
        <w:t>), MC (</w:t>
      </w:r>
      <w:r w:rsidRPr="00B73AB0">
        <w:rPr>
          <w:b/>
          <w:lang w:val="en-IE"/>
        </w:rPr>
        <w:t>E</w:t>
      </w:r>
      <w:r w:rsidRPr="00B73AB0">
        <w:rPr>
          <w:lang w:val="en-IE"/>
        </w:rPr>
        <w:t>) and C (</w:t>
      </w:r>
      <w:r w:rsidRPr="00B73AB0">
        <w:rPr>
          <w:b/>
          <w:lang w:val="en-IE"/>
        </w:rPr>
        <w:t>F</w:t>
      </w:r>
      <w:r w:rsidRPr="00B73AB0">
        <w:rPr>
          <w:lang w:val="en-IE"/>
        </w:rPr>
        <w:t>) hydrogels (Kruskal-Wallis and Dunn’s post-hoc tests, horizontal bars indicate median and interquartile range). (</w:t>
      </w:r>
      <w:r w:rsidRPr="00B73AB0">
        <w:rPr>
          <w:b/>
          <w:lang w:val="en-IE"/>
        </w:rPr>
        <w:t>G</w:t>
      </w:r>
      <w:r w:rsidRPr="00B73AB0">
        <w:rPr>
          <w:lang w:val="en-IE"/>
        </w:rPr>
        <w:t>) Representative DIC time-lapse and confocal images of prevalent organoid phenotypes in each of the respective matrices; collective mesenchymal in M, protrusive in MC and spheroid in C. Nuclei are stained with DAPI (cyan) and F-actin is stained with phalloidin (red hot). For all plots, each dot represents one organoid (</w:t>
      </w:r>
      <w:r w:rsidR="00B73AB0" w:rsidRPr="00B73AB0">
        <w:rPr>
          <w:i/>
          <w:lang w:val="en-IE"/>
        </w:rPr>
        <w:t>n</w:t>
      </w:r>
      <w:r w:rsidRPr="00B73AB0">
        <w:rPr>
          <w:lang w:val="en-IE"/>
        </w:rPr>
        <w:t xml:space="preserve"> = 63 in M, </w:t>
      </w:r>
      <w:r w:rsidR="00B73AB0" w:rsidRPr="00B73AB0">
        <w:rPr>
          <w:i/>
          <w:lang w:val="en-IE"/>
        </w:rPr>
        <w:t>n</w:t>
      </w:r>
      <w:r w:rsidRPr="00B73AB0">
        <w:rPr>
          <w:lang w:val="en-IE"/>
        </w:rPr>
        <w:t xml:space="preserve"> = 20 in MC, </w:t>
      </w:r>
      <w:r w:rsidR="00B73AB0" w:rsidRPr="00B73AB0">
        <w:rPr>
          <w:i/>
          <w:lang w:val="en-IE"/>
        </w:rPr>
        <w:t>n</w:t>
      </w:r>
      <w:r w:rsidRPr="00B73AB0">
        <w:rPr>
          <w:lang w:val="en-IE"/>
        </w:rPr>
        <w:t xml:space="preserve"> = 40 in C) and asterisks indicate statistical significance (* </w:t>
      </w:r>
      <w:r w:rsidR="00B73AB0" w:rsidRPr="00B73AB0">
        <w:rPr>
          <w:i/>
          <w:lang w:val="en-IE"/>
        </w:rPr>
        <w:t>p</w:t>
      </w:r>
      <w:r w:rsidRPr="00B73AB0">
        <w:rPr>
          <w:lang w:val="en-IE"/>
        </w:rPr>
        <w:t xml:space="preserve"> &lt; 0.05, **</w:t>
      </w:r>
      <w:r w:rsidR="00B73AB0" w:rsidRPr="00B73AB0">
        <w:rPr>
          <w:i/>
          <w:lang w:val="en-IE"/>
        </w:rPr>
        <w:t>p</w:t>
      </w:r>
      <w:r w:rsidRPr="00B73AB0">
        <w:rPr>
          <w:lang w:val="en-IE"/>
        </w:rPr>
        <w:t xml:space="preserve"> &lt; 0.01, *** </w:t>
      </w:r>
      <w:r w:rsidR="00B73AB0" w:rsidRPr="00B73AB0">
        <w:rPr>
          <w:i/>
          <w:lang w:val="en-IE"/>
        </w:rPr>
        <w:t>p</w:t>
      </w:r>
      <w:r w:rsidRPr="00B73AB0">
        <w:rPr>
          <w:lang w:val="en-IE"/>
        </w:rPr>
        <w:t xml:space="preserve">&lt; 0.001, **** </w:t>
      </w:r>
      <w:r w:rsidR="00B73AB0" w:rsidRPr="00B73AB0">
        <w:rPr>
          <w:i/>
          <w:lang w:val="en-IE"/>
        </w:rPr>
        <w:t>p</w:t>
      </w:r>
      <w:r w:rsidRPr="00B73AB0">
        <w:rPr>
          <w:lang w:val="en-IE"/>
        </w:rPr>
        <w:t xml:space="preserve"> &lt; 0.0001). All scale bars = 100μm.</w:t>
      </w:r>
    </w:p>
    <w:p w14:paraId="6210CC0E" w14:textId="4EC96403" w:rsidR="00BE324F" w:rsidRPr="00B73AB0" w:rsidRDefault="00BE324F" w:rsidP="00BE324F">
      <w:r w:rsidRPr="00B73AB0">
        <w:lastRenderedPageBreak/>
        <w:drawing>
          <wp:inline distT="0" distB="0" distL="0" distR="0" wp14:anchorId="1F36A949" wp14:editId="7F2F25C8">
            <wp:extent cx="4542790" cy="5486400"/>
            <wp:effectExtent l="0" t="0" r="0" b="0"/>
            <wp:docPr id="16"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ell phone&#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42790" cy="5486400"/>
                    </a:xfrm>
                    <a:prstGeom prst="rect">
                      <a:avLst/>
                    </a:prstGeom>
                    <a:noFill/>
                    <a:ln>
                      <a:noFill/>
                    </a:ln>
                  </pic:spPr>
                </pic:pic>
              </a:graphicData>
            </a:graphic>
          </wp:inline>
        </w:drawing>
      </w:r>
    </w:p>
    <w:p w14:paraId="39711392" w14:textId="77777777" w:rsidR="00BE324F" w:rsidRPr="00B73AB0" w:rsidRDefault="00BE324F" w:rsidP="00BE324F"/>
    <w:p w14:paraId="4208A3C0" w14:textId="1975BD37" w:rsidR="00BE324F" w:rsidRPr="00B73AB0" w:rsidRDefault="00BE324F" w:rsidP="00BE324F">
      <w:pPr>
        <w:rPr>
          <w:lang w:val="en-IE"/>
        </w:rPr>
      </w:pPr>
      <w:r w:rsidRPr="00B73AB0">
        <w:rPr>
          <w:b/>
          <w:bCs/>
        </w:rPr>
        <w:t xml:space="preserve">Figure S1.5. </w:t>
      </w:r>
      <w:r w:rsidRPr="00B73AB0">
        <w:rPr>
          <w:bCs/>
        </w:rPr>
        <w:t xml:space="preserve">Invasion of organoids isolated from Felix is dependent on the composition of the matrix. </w:t>
      </w:r>
      <w:r w:rsidRPr="00B73AB0">
        <w:t>Representative DIC images of organoids isolated from Felix taken at t96hrs in 3D M, MC, or C hydrogels (</w:t>
      </w:r>
      <w:r w:rsidRPr="00B73AB0">
        <w:rPr>
          <w:b/>
        </w:rPr>
        <w:t>A</w:t>
      </w:r>
      <w:r w:rsidRPr="00B73AB0">
        <w:t>). Pie-charts represent the proportion of organoids per phenotype classification (</w:t>
      </w:r>
      <w:r w:rsidRPr="00B73AB0">
        <w:rPr>
          <w:b/>
        </w:rPr>
        <w:t>B</w:t>
      </w:r>
      <w:r w:rsidRPr="00B73AB0">
        <w:t>). The relative growth of organoids was calculated by dividing the difference in area between t0hr and t96hr by the area at t0hr and presented on the plot (</w:t>
      </w:r>
      <w:r w:rsidRPr="00B73AB0">
        <w:rPr>
          <w:b/>
        </w:rPr>
        <w:t>C</w:t>
      </w:r>
      <w:r w:rsidRPr="00B73AB0">
        <w:t xml:space="preserve">) (Brown-Forsythe and Welch ANOVA with T3 Dunnett post-hoc test, horizontal bars indicate mean </w:t>
      </w:r>
      <w:r w:rsidRPr="00B73AB0">
        <w:rPr>
          <w:lang w:val="en-IE"/>
        </w:rPr>
        <w:t>±</w:t>
      </w:r>
      <w:r w:rsidRPr="00B73AB0">
        <w:t xml:space="preserve"> 95% confidence interval). Plotting the circularity of organoids, where a value of 1.0 indicates a perfect circle, over time supports our microscopic observations of phenotype alterations in M (</w:t>
      </w:r>
      <w:r w:rsidRPr="00B73AB0">
        <w:rPr>
          <w:b/>
        </w:rPr>
        <w:t>D</w:t>
      </w:r>
      <w:r w:rsidRPr="00B73AB0">
        <w:t>), MC (</w:t>
      </w:r>
      <w:r w:rsidRPr="00B73AB0">
        <w:rPr>
          <w:b/>
        </w:rPr>
        <w:t>E</w:t>
      </w:r>
      <w:r w:rsidRPr="00B73AB0">
        <w:t>) and C (</w:t>
      </w:r>
      <w:r w:rsidRPr="00B73AB0">
        <w:rPr>
          <w:b/>
        </w:rPr>
        <w:t>F</w:t>
      </w:r>
      <w:r w:rsidRPr="00B73AB0">
        <w:t>) (Kruskal-Wallis and Dunn’s post-hoc tests, horizontal bars indicate median and interquartile range). Representative DIC time-lapse and confocal images of prevalent organoid phenotypes in each of the respective matrices; protrusive in M, collective mesenchymal in MC and spheroid in C. Nuclei are stained with DAPI (cyan) and F-actin is stained with phalloidin (red hot). For all plots, each dot represents one organoid (</w:t>
      </w:r>
      <w:r w:rsidR="00B73AB0" w:rsidRPr="00B73AB0">
        <w:rPr>
          <w:i/>
        </w:rPr>
        <w:t>n</w:t>
      </w:r>
      <w:r w:rsidRPr="00B73AB0">
        <w:t xml:space="preserve"> = 38 in M, </w:t>
      </w:r>
      <w:r w:rsidR="00B73AB0" w:rsidRPr="00B73AB0">
        <w:rPr>
          <w:i/>
        </w:rPr>
        <w:t>n</w:t>
      </w:r>
      <w:r w:rsidRPr="00B73AB0">
        <w:t xml:space="preserve"> = 22 in MC, </w:t>
      </w:r>
      <w:r w:rsidR="00B73AB0" w:rsidRPr="00B73AB0">
        <w:rPr>
          <w:i/>
        </w:rPr>
        <w:t>n</w:t>
      </w:r>
      <w:r w:rsidRPr="00B73AB0">
        <w:t xml:space="preserve"> = 36 in C) and asterisks indicate statistical significance (* </w:t>
      </w:r>
      <w:r w:rsidR="00B73AB0" w:rsidRPr="00B73AB0">
        <w:rPr>
          <w:i/>
        </w:rPr>
        <w:t>p</w:t>
      </w:r>
      <w:r w:rsidRPr="00B73AB0">
        <w:t xml:space="preserve"> &lt; 0.05, ** </w:t>
      </w:r>
      <w:r w:rsidR="00B73AB0" w:rsidRPr="00B73AB0">
        <w:rPr>
          <w:i/>
        </w:rPr>
        <w:t>p</w:t>
      </w:r>
      <w:r w:rsidRPr="00B73AB0">
        <w:t xml:space="preserve"> &lt; 0.01, *** </w:t>
      </w:r>
      <w:r w:rsidR="00B73AB0" w:rsidRPr="00B73AB0">
        <w:rPr>
          <w:i/>
        </w:rPr>
        <w:t>p</w:t>
      </w:r>
      <w:r w:rsidRPr="00B73AB0">
        <w:t xml:space="preserve"> &lt; 0.001, **** </w:t>
      </w:r>
      <w:r w:rsidR="00B73AB0" w:rsidRPr="00B73AB0">
        <w:rPr>
          <w:i/>
        </w:rPr>
        <w:t>p</w:t>
      </w:r>
      <w:r w:rsidRPr="00B73AB0">
        <w:t xml:space="preserve"> &lt; 0.0001). All scale bars =100 μm.</w:t>
      </w:r>
    </w:p>
    <w:p w14:paraId="607EE32D" w14:textId="77777777" w:rsidR="00BE324F" w:rsidRPr="00B73AB0" w:rsidRDefault="00BE324F" w:rsidP="00BE324F">
      <w:pPr>
        <w:rPr>
          <w:lang w:val="en-IE"/>
        </w:rPr>
      </w:pPr>
      <w:r w:rsidRPr="00B73AB0">
        <w:rPr>
          <w:lang w:val="en-IE"/>
        </w:rPr>
        <w:br w:type="page"/>
      </w:r>
    </w:p>
    <w:p w14:paraId="7EDE1ACC" w14:textId="0EC66F9B" w:rsidR="00BE324F" w:rsidRPr="00B73AB0" w:rsidRDefault="00BE324F" w:rsidP="00BE324F">
      <w:pPr>
        <w:rPr>
          <w:lang w:val="en-IE"/>
        </w:rPr>
      </w:pPr>
      <w:r w:rsidRPr="00B73AB0">
        <w:lastRenderedPageBreak/>
        <mc:AlternateContent>
          <mc:Choice Requires="wps">
            <w:drawing>
              <wp:anchor distT="0" distB="0" distL="114300" distR="114300" simplePos="0" relativeHeight="251659264" behindDoc="0" locked="0" layoutInCell="1" allowOverlap="1" wp14:anchorId="0C20DEEE" wp14:editId="7F0570D4">
                <wp:simplePos x="0" y="0"/>
                <wp:positionH relativeFrom="column">
                  <wp:posOffset>259080</wp:posOffset>
                </wp:positionH>
                <wp:positionV relativeFrom="paragraph">
                  <wp:posOffset>143510</wp:posOffset>
                </wp:positionV>
                <wp:extent cx="6645910" cy="919480"/>
                <wp:effectExtent l="0" t="0" r="0" b="0"/>
                <wp:wrapNone/>
                <wp:docPr id="12" name="TextBox 4">
                  <a:extLst xmlns:a="http://schemas.openxmlformats.org/drawingml/2006/main"/>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45910" cy="919480"/>
                        </a:xfrm>
                        <a:prstGeom prst="rect">
                          <a:avLst/>
                        </a:prstGeom>
                        <a:noFill/>
                      </wps:spPr>
                      <wps:txbx>
                        <w:txbxContent>
                          <w:p w14:paraId="7A6081DE" w14:textId="77777777" w:rsidR="00BE324F" w:rsidRDefault="00BE324F" w:rsidP="00BE324F">
                            <w:pPr>
                              <w:pStyle w:val="NormalWeb"/>
                            </w:pPr>
                            <w:r w:rsidRPr="00BE324F">
                              <w:rPr>
                                <w:rFonts w:ascii="Calibri" w:hAnsi="Calibri"/>
                                <w:kern w:val="24"/>
                                <w:sz w:val="32"/>
                                <w:szCs w:val="32"/>
                              </w:rPr>
                              <w:t>Merged                  DAPI                     N-Myc                 F-actin</w:t>
                            </w:r>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type w14:anchorId="0C20DEEE" id="_x0000_t202" coordsize="21600,21600" o:spt="202" path="m,l,21600r21600,l21600,xe">
                <v:stroke joinstyle="miter"/>
                <v:path gradientshapeok="t" o:connecttype="rect"/>
              </v:shapetype>
              <v:shape id="TextBox 4" o:spid="_x0000_s1026" type="#_x0000_t202" style="position:absolute;left:0;text-align:left;margin-left:20.4pt;margin-top:11.3pt;width:523.3pt;height:72.4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" filled="f" stroked="f">
                <v:textbox style="mso-fit-shape-to-text:t">
                  <w:txbxContent>
                    <w:p w14:paraId="7A6081DE" w14:textId="77777777" w:rsidR="00BE324F" w:rsidRDefault="00BE324F" w:rsidP="00BE324F">
                      <w:pPr>
                        <w:pStyle w:val="NormalWeb"/>
                      </w:pPr>
                      <w:r w:rsidRPr="00BE324F">
                        <w:rPr>
                          <w:rFonts w:ascii="Calibri" w:hAnsi="Calibri"/>
                          <w:kern w:val="24"/>
                          <w:sz w:val="32"/>
                          <w:szCs w:val="32"/>
                        </w:rPr>
                        <w:t>Merged                  DAPI                     N-Myc                 F-actin</w:t>
                      </w:r>
                    </w:p>
                  </w:txbxContent>
                </v:textbox>
              </v:shape>
            </w:pict>
          </mc:Fallback>
        </mc:AlternateContent>
      </w:r>
    </w:p>
    <w:p w14:paraId="29B70211" w14:textId="535200F3" w:rsidR="00BE324F" w:rsidRPr="00B73AB0" w:rsidRDefault="00BE324F" w:rsidP="00BE324F">
      <w:pPr>
        <w:rPr>
          <w:lang w:val="en-IE"/>
        </w:rPr>
      </w:pPr>
      <w:r w:rsidRPr="00B73AB0">
        <mc:AlternateContent>
          <mc:Choice Requires="wps">
            <w:drawing>
              <wp:anchor distT="0" distB="0" distL="114300" distR="114300" simplePos="0" relativeHeight="251660288" behindDoc="0" locked="0" layoutInCell="1" allowOverlap="1" wp14:anchorId="1D045EB0" wp14:editId="16C9B5D9">
                <wp:simplePos x="0" y="0"/>
                <wp:positionH relativeFrom="column">
                  <wp:posOffset>2002155</wp:posOffset>
                </wp:positionH>
                <wp:positionV relativeFrom="paragraph">
                  <wp:posOffset>-1652905</wp:posOffset>
                </wp:positionV>
                <wp:extent cx="596265" cy="5347335"/>
                <wp:effectExtent l="0" t="0" r="0" b="0"/>
                <wp:wrapNone/>
                <wp:docPr id="11" name="TextBox 5">
                  <a:extLst xmlns:a="http://schemas.openxmlformats.org/drawingml/2006/main"/>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596265" cy="5347335"/>
                        </a:xfrm>
                        <a:prstGeom prst="rect">
                          <a:avLst/>
                        </a:prstGeom>
                        <a:noFill/>
                      </wps:spPr>
                      <wps:txbx>
                        <w:txbxContent>
                          <w:p w14:paraId="6BDA482A" w14:textId="77777777" w:rsidR="00BE324F" w:rsidRDefault="00BE324F" w:rsidP="00BE324F">
                            <w:pPr>
                              <w:pStyle w:val="NormalWeb"/>
                            </w:pPr>
                            <w:r w:rsidRPr="00BE324F">
                              <w:rPr>
                                <w:rFonts w:ascii="Calibri" w:hAnsi="Calibri"/>
                                <w:kern w:val="24"/>
                                <w:sz w:val="32"/>
                                <w:szCs w:val="32"/>
                              </w:rPr>
                              <w:t xml:space="preserve"> 424x                     603x                  573x</w:t>
                            </w:r>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 w14:anchorId="1D045EB0" id="TextBox 5" o:spid="_x0000_s1027" type="#_x0000_t202" style="position:absolute;left:0;text-align:left;margin-left:157.65pt;margin-top:-130.15pt;width:46.95pt;height:421.05pt;rotation:-90;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" filled="f" stroked="f">
                <v:textbox style="mso-fit-shape-to-text:t">
                  <w:txbxContent>
                    <w:p w14:paraId="6BDA482A" w14:textId="77777777" w:rsidR="00BE324F" w:rsidRDefault="00BE324F" w:rsidP="00BE324F">
                      <w:pPr>
                        <w:pStyle w:val="NormalWeb"/>
                      </w:pPr>
                      <w:r w:rsidRPr="00BE324F">
                        <w:rPr>
                          <w:rFonts w:ascii="Calibri" w:hAnsi="Calibri"/>
                          <w:kern w:val="24"/>
                          <w:sz w:val="32"/>
                          <w:szCs w:val="32"/>
                        </w:rPr>
                        <w:t xml:space="preserve"> 424x                     603x                  573x</w:t>
                      </w:r>
                    </w:p>
                  </w:txbxContent>
                </v:textbox>
              </v:shape>
            </w:pict>
          </mc:Fallback>
        </mc:AlternateContent>
      </w:r>
      <w:r w:rsidRPr="00B73AB0">
        <w:drawing>
          <wp:inline distT="0" distB="0" distL="0" distR="0" wp14:anchorId="48ECE1C9" wp14:editId="1BA1D2D7">
            <wp:extent cx="5469255" cy="4085590"/>
            <wp:effectExtent l="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69255" cy="4085590"/>
                    </a:xfrm>
                    <a:prstGeom prst="rect">
                      <a:avLst/>
                    </a:prstGeom>
                    <a:noFill/>
                    <a:ln>
                      <a:noFill/>
                    </a:ln>
                  </pic:spPr>
                </pic:pic>
              </a:graphicData>
            </a:graphic>
          </wp:inline>
        </w:drawing>
      </w:r>
    </w:p>
    <w:p w14:paraId="6CD706B0" w14:textId="2B91736D" w:rsidR="00BE324F" w:rsidRPr="00B73AB0" w:rsidRDefault="00BE324F" w:rsidP="00BE324F">
      <w:pPr>
        <w:rPr>
          <w:lang w:val="en-IE"/>
        </w:rPr>
      </w:pPr>
      <w:r w:rsidRPr="00B73AB0">
        <w:rPr>
          <w:b/>
          <w:bCs/>
        </w:rPr>
        <w:t>Figure S1.6</w:t>
      </w:r>
      <w:r w:rsidRPr="00B73AB0">
        <w:rPr>
          <w:bCs/>
        </w:rPr>
        <w:t xml:space="preserve">. Immunofluorescent analysis of neuroblastoma PDX organoids demonstrates nuclear localization of N-MYC. </w:t>
      </w:r>
      <w:r w:rsidRPr="00B73AB0">
        <w:t>Neuroblastoma cells were labeled with an anti-</w:t>
      </w:r>
      <w:bookmarkStart w:id="0" w:name="_GoBack"/>
      <w:r w:rsidRPr="00B73AB0">
        <w:t>N</w:t>
      </w:r>
      <w:bookmarkEnd w:id="0"/>
      <w:r w:rsidRPr="00B73AB0">
        <w:t xml:space="preserve">-Myc (D1V2A) Rabbit mAb (#84406, Cell Signaling Technology) and </w:t>
      </w:r>
      <w:r w:rsidRPr="00B73AB0">
        <w:rPr>
          <w:lang w:val="en-IE"/>
        </w:rPr>
        <w:t xml:space="preserve">then tagged with Alexa Fluor® 488 Goat anti-Rabbit IgG secondary antibody </w:t>
      </w:r>
      <w:r w:rsidRPr="00B73AB0">
        <w:t>(green). Nuclei are stained with DAPI (cyan) and F-actin is stained with phalloidin (red hot). All scale bars = 50</w:t>
      </w:r>
      <w:r w:rsidRPr="00B73AB0">
        <w:t xml:space="preserve"> </w:t>
      </w:r>
      <w:r w:rsidRPr="00B73AB0">
        <w:t>μm.</w:t>
      </w:r>
      <w:r w:rsidRPr="00B73AB0">
        <w:rPr>
          <w:lang w:val="en-IE"/>
        </w:rPr>
        <w:t> </w:t>
      </w:r>
    </w:p>
    <w:p w14:paraId="102876D7" w14:textId="77777777" w:rsidR="00BE324F" w:rsidRPr="00B73AB0" w:rsidRDefault="00BE324F" w:rsidP="00BE324F"/>
    <w:p w14:paraId="374F580B" w14:textId="77777777" w:rsidR="000D6839" w:rsidRPr="00B73AB0" w:rsidRDefault="000D6839" w:rsidP="00BE324F"/>
    <w:sectPr w:rsidR="000D6839" w:rsidRPr="00B73AB0" w:rsidSect="00BE324F">
      <w:headerReference w:type="even" r:id="rId13"/>
      <w:headerReference w:type="default" r:id="rId14"/>
      <w:footerReference w:type="default" r:id="rId15"/>
      <w:headerReference w:type="first" r:id="rId16"/>
      <w:footerReference w:type="first" r:id="rId17"/>
      <w:type w:val="continuous"/>
      <w:pgSz w:w="11906" w:h="16838" w:code="9"/>
      <w:pgMar w:top="1417" w:right="720" w:bottom="1077" w:left="720" w:header="1020" w:footer="340" w:gutter="0"/>
      <w:pgNumType w:start="1"/>
      <w:cols w:space="425"/>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3BAD0E" w14:textId="77777777" w:rsidR="009C6F27" w:rsidRDefault="009C6F27">
      <w:pPr>
        <w:spacing w:line="240" w:lineRule="auto"/>
      </w:pPr>
      <w:r>
        <w:separator/>
      </w:r>
    </w:p>
  </w:endnote>
  <w:endnote w:type="continuationSeparator" w:id="0">
    <w:p w14:paraId="6D0BA4F9" w14:textId="77777777" w:rsidR="009C6F27" w:rsidRDefault="009C6F2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A0973C" w14:textId="77777777" w:rsidR="00AF7CE2" w:rsidRPr="00164C5C" w:rsidRDefault="00AF7CE2" w:rsidP="00AF7CE2">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707AC5" w14:textId="77777777" w:rsidR="005F530C" w:rsidRDefault="005F530C" w:rsidP="00B16808">
    <w:pPr>
      <w:pStyle w:val="MDPIfooterfirstpage"/>
      <w:pBdr>
        <w:top w:val="single" w:sz="4" w:space="0" w:color="000000"/>
      </w:pBdr>
      <w:adjustRightInd w:val="0"/>
      <w:snapToGrid w:val="0"/>
      <w:spacing w:before="480" w:line="100" w:lineRule="exact"/>
      <w:rPr>
        <w:i/>
      </w:rPr>
    </w:pPr>
  </w:p>
  <w:p w14:paraId="0422C304" w14:textId="77777777" w:rsidR="00AF7CE2" w:rsidRPr="008B308E" w:rsidRDefault="00AF7CE2" w:rsidP="00AC5F82">
    <w:pPr>
      <w:pStyle w:val="MDPIfooterfirstpage"/>
      <w:tabs>
        <w:tab w:val="clear" w:pos="8845"/>
        <w:tab w:val="right" w:pos="10466"/>
      </w:tabs>
      <w:spacing w:line="240" w:lineRule="auto"/>
      <w:jc w:val="both"/>
      <w:rPr>
        <w:lang w:val="fr-CH"/>
      </w:rPr>
    </w:pPr>
    <w:r>
      <w:rPr>
        <w:i/>
      </w:rPr>
      <w:t xml:space="preserve">Cancers </w:t>
    </w:r>
    <w:r w:rsidR="009A5A53" w:rsidRPr="009A5A53">
      <w:rPr>
        <w:b/>
      </w:rPr>
      <w:t>2021</w:t>
    </w:r>
    <w:r w:rsidR="00F71A8C" w:rsidRPr="00F71A8C">
      <w:t xml:space="preserve">, </w:t>
    </w:r>
    <w:r w:rsidR="009A5A53" w:rsidRPr="009A5A53">
      <w:rPr>
        <w:i/>
      </w:rPr>
      <w:t>13</w:t>
    </w:r>
    <w:r w:rsidR="00F71A8C" w:rsidRPr="00F71A8C">
      <w:t xml:space="preserve">, </w:t>
    </w:r>
    <w:r w:rsidR="00534C4A">
      <w:t>x</w:t>
    </w:r>
    <w:r w:rsidR="005F530C">
      <w:t>. https://doi.org/10.3390/xxxxx</w:t>
    </w:r>
    <w:r w:rsidR="00AC5F82" w:rsidRPr="008B308E">
      <w:rPr>
        <w:lang w:val="fr-CH"/>
      </w:rPr>
      <w:tab/>
    </w:r>
    <w:r w:rsidRPr="008B308E">
      <w:rPr>
        <w:lang w:val="fr-CH"/>
      </w:rPr>
      <w:t>www.mdpi.com/journal/</w:t>
    </w:r>
    <w:r w:rsidRPr="00511F0B">
      <w:t>cancers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A11BA9" w14:textId="77777777" w:rsidR="009C6F27" w:rsidRDefault="009C6F27">
      <w:pPr>
        <w:spacing w:line="240" w:lineRule="auto"/>
      </w:pPr>
      <w:r>
        <w:separator/>
      </w:r>
    </w:p>
  </w:footnote>
  <w:footnote w:type="continuationSeparator" w:id="0">
    <w:p w14:paraId="3D4B364C" w14:textId="77777777" w:rsidR="009C6F27" w:rsidRDefault="009C6F2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825AFD" w14:textId="77777777" w:rsidR="00AF7CE2" w:rsidRDefault="00AF7CE2" w:rsidP="00AF7CE2">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9B613" w14:textId="27B0B3D1" w:rsidR="005F530C" w:rsidRDefault="00AF7CE2" w:rsidP="00AC5F82">
    <w:pPr>
      <w:tabs>
        <w:tab w:val="right" w:pos="10466"/>
      </w:tabs>
      <w:adjustRightInd w:val="0"/>
      <w:snapToGrid w:val="0"/>
      <w:spacing w:line="240" w:lineRule="auto"/>
      <w:rPr>
        <w:sz w:val="16"/>
      </w:rPr>
    </w:pPr>
    <w:r>
      <w:rPr>
        <w:i/>
        <w:sz w:val="16"/>
      </w:rPr>
      <w:t xml:space="preserve">Cancers </w:t>
    </w:r>
    <w:r w:rsidR="001059C9" w:rsidRPr="001059C9">
      <w:rPr>
        <w:b/>
        <w:sz w:val="16"/>
      </w:rPr>
      <w:t>2021</w:t>
    </w:r>
    <w:r w:rsidR="00F71A8C" w:rsidRPr="00F71A8C">
      <w:rPr>
        <w:sz w:val="16"/>
      </w:rPr>
      <w:t xml:space="preserve">, </w:t>
    </w:r>
    <w:r w:rsidR="001059C9" w:rsidRPr="001059C9">
      <w:rPr>
        <w:i/>
        <w:sz w:val="16"/>
      </w:rPr>
      <w:t>13</w:t>
    </w:r>
    <w:r w:rsidR="00AC5F82">
      <w:rPr>
        <w:sz w:val="16"/>
      </w:rPr>
      <w:tab/>
    </w:r>
    <w:r w:rsidR="00BE324F">
      <w:rPr>
        <w:sz w:val="16"/>
      </w:rPr>
      <w:t>S</w:t>
    </w:r>
    <w:r w:rsidR="00534C4A">
      <w:rPr>
        <w:sz w:val="16"/>
      </w:rPr>
      <w:fldChar w:fldCharType="begin"/>
    </w:r>
    <w:r w:rsidR="00534C4A">
      <w:rPr>
        <w:sz w:val="16"/>
      </w:rPr>
      <w:instrText xml:space="preserve"> PAGE   \* MERGEFORMAT </w:instrText>
    </w:r>
    <w:r w:rsidR="00534C4A">
      <w:rPr>
        <w:sz w:val="16"/>
      </w:rPr>
      <w:fldChar w:fldCharType="separate"/>
    </w:r>
    <w:r w:rsidR="00B43CFF">
      <w:rPr>
        <w:sz w:val="16"/>
      </w:rPr>
      <w:t>6</w:t>
    </w:r>
    <w:r w:rsidR="00534C4A">
      <w:rPr>
        <w:sz w:val="16"/>
      </w:rPr>
      <w:fldChar w:fldCharType="end"/>
    </w:r>
    <w:r w:rsidR="00534C4A">
      <w:rPr>
        <w:sz w:val="16"/>
      </w:rPr>
      <w:t xml:space="preserve"> of </w:t>
    </w:r>
    <w:r w:rsidR="00BE324F">
      <w:rPr>
        <w:sz w:val="16"/>
      </w:rPr>
      <w:t>S</w:t>
    </w:r>
    <w:r w:rsidR="00534C4A">
      <w:rPr>
        <w:sz w:val="16"/>
      </w:rPr>
      <w:fldChar w:fldCharType="begin"/>
    </w:r>
    <w:r w:rsidR="00534C4A">
      <w:rPr>
        <w:sz w:val="16"/>
      </w:rPr>
      <w:instrText xml:space="preserve"> NUMPAGES   \* MERGEFORMAT </w:instrText>
    </w:r>
    <w:r w:rsidR="00534C4A">
      <w:rPr>
        <w:sz w:val="16"/>
      </w:rPr>
      <w:fldChar w:fldCharType="separate"/>
    </w:r>
    <w:r w:rsidR="00B43CFF">
      <w:rPr>
        <w:sz w:val="16"/>
      </w:rPr>
      <w:t>6</w:t>
    </w:r>
    <w:r w:rsidR="00534C4A">
      <w:rPr>
        <w:sz w:val="16"/>
      </w:rPr>
      <w:fldChar w:fldCharType="end"/>
    </w:r>
  </w:p>
  <w:p w14:paraId="1A6AF289" w14:textId="77777777" w:rsidR="00AF7CE2" w:rsidRPr="00836BB8" w:rsidRDefault="00AF7CE2" w:rsidP="00B16808">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7" w:type="dxa"/>
      <w:tblCellMar>
        <w:left w:w="0" w:type="dxa"/>
        <w:right w:w="0" w:type="dxa"/>
      </w:tblCellMar>
      <w:tblLook w:val="04A0" w:firstRow="1" w:lastRow="0" w:firstColumn="1" w:lastColumn="0" w:noHBand="0" w:noVBand="1"/>
    </w:tblPr>
    <w:tblGrid>
      <w:gridCol w:w="3679"/>
      <w:gridCol w:w="4535"/>
      <w:gridCol w:w="2273"/>
    </w:tblGrid>
    <w:tr w:rsidR="005F530C" w:rsidRPr="00AC5F82" w14:paraId="011A4BDD" w14:textId="77777777" w:rsidTr="00AC5F82">
      <w:trPr>
        <w:trHeight w:val="686"/>
      </w:trPr>
      <w:tc>
        <w:tcPr>
          <w:tcW w:w="3679" w:type="dxa"/>
          <w:shd w:val="clear" w:color="auto" w:fill="auto"/>
          <w:vAlign w:val="center"/>
        </w:tcPr>
        <w:p w14:paraId="3A205076" w14:textId="037AC0A3" w:rsidR="005F530C" w:rsidRPr="00BD0BE9" w:rsidRDefault="00BE324F" w:rsidP="00AC5F82">
          <w:pPr>
            <w:pStyle w:val="Header"/>
            <w:pBdr>
              <w:bottom w:val="none" w:sz="0" w:space="0" w:color="auto"/>
            </w:pBdr>
            <w:jc w:val="left"/>
            <w:rPr>
              <w:rFonts w:eastAsia="等线"/>
              <w:b/>
              <w:bCs/>
            </w:rPr>
          </w:pPr>
          <w:r w:rsidRPr="00BD0BE9">
            <w:rPr>
              <w:rFonts w:eastAsia="等线"/>
              <w:b/>
              <w:bCs/>
            </w:rPr>
            <w:drawing>
              <wp:inline distT="0" distB="0" distL="0" distR="0" wp14:anchorId="25399249" wp14:editId="4523A4EC">
                <wp:extent cx="1684020" cy="427990"/>
                <wp:effectExtent l="0" t="0" r="0" b="0"/>
                <wp:docPr id="4" name="Picture 3" descr="C:\Users\home\Desktop\logos\cance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cance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4020" cy="427990"/>
                        </a:xfrm>
                        <a:prstGeom prst="rect">
                          <a:avLst/>
                        </a:prstGeom>
                        <a:noFill/>
                        <a:ln>
                          <a:noFill/>
                        </a:ln>
                      </pic:spPr>
                    </pic:pic>
                  </a:graphicData>
                </a:graphic>
              </wp:inline>
            </w:drawing>
          </w:r>
        </w:p>
      </w:tc>
      <w:tc>
        <w:tcPr>
          <w:tcW w:w="4535" w:type="dxa"/>
          <w:shd w:val="clear" w:color="auto" w:fill="auto"/>
          <w:vAlign w:val="center"/>
        </w:tcPr>
        <w:p w14:paraId="04BB9351" w14:textId="77777777" w:rsidR="005F530C" w:rsidRPr="00BD0BE9" w:rsidRDefault="005F530C" w:rsidP="00AC5F82">
          <w:pPr>
            <w:pStyle w:val="Header"/>
            <w:pBdr>
              <w:bottom w:val="none" w:sz="0" w:space="0" w:color="auto"/>
            </w:pBdr>
            <w:rPr>
              <w:rFonts w:eastAsia="等线"/>
              <w:b/>
              <w:bCs/>
            </w:rPr>
          </w:pPr>
        </w:p>
      </w:tc>
      <w:tc>
        <w:tcPr>
          <w:tcW w:w="2273" w:type="dxa"/>
          <w:shd w:val="clear" w:color="auto" w:fill="auto"/>
          <w:vAlign w:val="center"/>
        </w:tcPr>
        <w:p w14:paraId="2B0F32BD" w14:textId="69364A97" w:rsidR="005F530C" w:rsidRPr="00BD0BE9" w:rsidRDefault="00BE324F" w:rsidP="00AC5F82">
          <w:pPr>
            <w:pStyle w:val="Header"/>
            <w:pBdr>
              <w:bottom w:val="none" w:sz="0" w:space="0" w:color="auto"/>
            </w:pBdr>
            <w:jc w:val="right"/>
            <w:rPr>
              <w:rFonts w:eastAsia="等线"/>
              <w:b/>
              <w:bCs/>
            </w:rPr>
          </w:pPr>
          <w:r w:rsidRPr="00BD0BE9">
            <w:rPr>
              <w:rFonts w:eastAsia="等线"/>
              <w:b/>
              <w:bCs/>
            </w:rPr>
            <w:drawing>
              <wp:inline distT="0" distB="0" distL="0" distR="0" wp14:anchorId="2CADB052" wp14:editId="75F593DC">
                <wp:extent cx="538480" cy="353060"/>
                <wp:effectExtent l="0" t="0" r="0" b="0"/>
                <wp:docPr id="1" name="Picture 6" descr="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8480" cy="353060"/>
                        </a:xfrm>
                        <a:prstGeom prst="rect">
                          <a:avLst/>
                        </a:prstGeom>
                        <a:noFill/>
                        <a:ln>
                          <a:noFill/>
                        </a:ln>
                      </pic:spPr>
                    </pic:pic>
                  </a:graphicData>
                </a:graphic>
              </wp:inline>
            </w:drawing>
          </w:r>
        </w:p>
      </w:tc>
    </w:tr>
  </w:tbl>
  <w:p w14:paraId="68DD1089" w14:textId="77777777" w:rsidR="00AF7CE2" w:rsidRPr="005F530C" w:rsidRDefault="00AF7CE2" w:rsidP="00B16808">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AA0F88"/>
    <w:multiLevelType w:val="hybridMultilevel"/>
    <w:tmpl w:val="C77C711C"/>
    <w:lvl w:ilvl="0" w:tplc="5286504C">
      <w:start w:val="169"/>
      <w:numFmt w:val="bullet"/>
      <w:lvlText w:val=""/>
      <w:lvlJc w:val="left"/>
      <w:pPr>
        <w:ind w:left="580" w:hanging="360"/>
      </w:pPr>
      <w:rPr>
        <w:rFonts w:ascii="Symbol" w:eastAsia="Times New Roman" w:hAnsi="Symbol" w:cs="Times New Roman" w:hint="default"/>
      </w:rPr>
    </w:lvl>
    <w:lvl w:ilvl="1" w:tplc="1C090003" w:tentative="1">
      <w:start w:val="1"/>
      <w:numFmt w:val="bullet"/>
      <w:lvlText w:val="o"/>
      <w:lvlJc w:val="left"/>
      <w:pPr>
        <w:ind w:left="1300" w:hanging="360"/>
      </w:pPr>
      <w:rPr>
        <w:rFonts w:ascii="Courier New" w:hAnsi="Courier New" w:cs="Courier New" w:hint="default"/>
      </w:rPr>
    </w:lvl>
    <w:lvl w:ilvl="2" w:tplc="1C090005" w:tentative="1">
      <w:start w:val="1"/>
      <w:numFmt w:val="bullet"/>
      <w:lvlText w:val=""/>
      <w:lvlJc w:val="left"/>
      <w:pPr>
        <w:ind w:left="2020" w:hanging="360"/>
      </w:pPr>
      <w:rPr>
        <w:rFonts w:ascii="Wingdings" w:hAnsi="Wingdings" w:hint="default"/>
      </w:rPr>
    </w:lvl>
    <w:lvl w:ilvl="3" w:tplc="1C090001" w:tentative="1">
      <w:start w:val="1"/>
      <w:numFmt w:val="bullet"/>
      <w:lvlText w:val=""/>
      <w:lvlJc w:val="left"/>
      <w:pPr>
        <w:ind w:left="2740" w:hanging="360"/>
      </w:pPr>
      <w:rPr>
        <w:rFonts w:ascii="Symbol" w:hAnsi="Symbol" w:hint="default"/>
      </w:rPr>
    </w:lvl>
    <w:lvl w:ilvl="4" w:tplc="1C090003" w:tentative="1">
      <w:start w:val="1"/>
      <w:numFmt w:val="bullet"/>
      <w:lvlText w:val="o"/>
      <w:lvlJc w:val="left"/>
      <w:pPr>
        <w:ind w:left="3460" w:hanging="360"/>
      </w:pPr>
      <w:rPr>
        <w:rFonts w:ascii="Courier New" w:hAnsi="Courier New" w:cs="Courier New" w:hint="default"/>
      </w:rPr>
    </w:lvl>
    <w:lvl w:ilvl="5" w:tplc="1C090005" w:tentative="1">
      <w:start w:val="1"/>
      <w:numFmt w:val="bullet"/>
      <w:lvlText w:val=""/>
      <w:lvlJc w:val="left"/>
      <w:pPr>
        <w:ind w:left="4180" w:hanging="360"/>
      </w:pPr>
      <w:rPr>
        <w:rFonts w:ascii="Wingdings" w:hAnsi="Wingdings" w:hint="default"/>
      </w:rPr>
    </w:lvl>
    <w:lvl w:ilvl="6" w:tplc="1C090001" w:tentative="1">
      <w:start w:val="1"/>
      <w:numFmt w:val="bullet"/>
      <w:lvlText w:val=""/>
      <w:lvlJc w:val="left"/>
      <w:pPr>
        <w:ind w:left="4900" w:hanging="360"/>
      </w:pPr>
      <w:rPr>
        <w:rFonts w:ascii="Symbol" w:hAnsi="Symbol" w:hint="default"/>
      </w:rPr>
    </w:lvl>
    <w:lvl w:ilvl="7" w:tplc="1C090003" w:tentative="1">
      <w:start w:val="1"/>
      <w:numFmt w:val="bullet"/>
      <w:lvlText w:val="o"/>
      <w:lvlJc w:val="left"/>
      <w:pPr>
        <w:ind w:left="5620" w:hanging="360"/>
      </w:pPr>
      <w:rPr>
        <w:rFonts w:ascii="Courier New" w:hAnsi="Courier New" w:cs="Courier New" w:hint="default"/>
      </w:rPr>
    </w:lvl>
    <w:lvl w:ilvl="8" w:tplc="1C090005" w:tentative="1">
      <w:start w:val="1"/>
      <w:numFmt w:val="bullet"/>
      <w:lvlText w:val=""/>
      <w:lvlJc w:val="left"/>
      <w:pPr>
        <w:ind w:left="6340" w:hanging="360"/>
      </w:pPr>
      <w:rPr>
        <w:rFonts w:ascii="Wingdings" w:hAnsi="Wingdings" w:hint="default"/>
      </w:rPr>
    </w:lvl>
  </w:abstractNum>
  <w:abstractNum w:abstractNumId="1"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8" w15:restartNumberingAfterBreak="0">
    <w:nsid w:val="56CF7C60"/>
    <w:multiLevelType w:val="hybridMultilevel"/>
    <w:tmpl w:val="BB52EB1E"/>
    <w:lvl w:ilvl="0" w:tplc="08086F0C">
      <w:start w:val="169"/>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4"/>
  </w:num>
  <w:num w:numId="2">
    <w:abstractNumId w:val="6"/>
  </w:num>
  <w:num w:numId="3">
    <w:abstractNumId w:val="3"/>
  </w:num>
  <w:num w:numId="4">
    <w:abstractNumId w:val="5"/>
  </w:num>
  <w:num w:numId="5">
    <w:abstractNumId w:val="7"/>
  </w:num>
  <w:num w:numId="6">
    <w:abstractNumId w:val="2"/>
  </w:num>
  <w:num w:numId="7">
    <w:abstractNumId w:val="7"/>
  </w:num>
  <w:num w:numId="8">
    <w:abstractNumId w:val="2"/>
  </w:num>
  <w:num w:numId="9">
    <w:abstractNumId w:val="7"/>
  </w:num>
  <w:num w:numId="10">
    <w:abstractNumId w:val="2"/>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8"/>
  </w:num>
  <w:num w:numId="14">
    <w:abstractNumId w:val="9"/>
  </w:num>
  <w:num w:numId="15">
    <w:abstractNumId w:val="7"/>
  </w:num>
  <w:num w:numId="16">
    <w:abstractNumId w:val="2"/>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324F"/>
    <w:rsid w:val="000618E3"/>
    <w:rsid w:val="000A6F47"/>
    <w:rsid w:val="000D4AE8"/>
    <w:rsid w:val="000D6839"/>
    <w:rsid w:val="000F0E63"/>
    <w:rsid w:val="00103E20"/>
    <w:rsid w:val="001059C9"/>
    <w:rsid w:val="00110CC2"/>
    <w:rsid w:val="0011101E"/>
    <w:rsid w:val="00125CE1"/>
    <w:rsid w:val="00126C03"/>
    <w:rsid w:val="00135C67"/>
    <w:rsid w:val="001432AB"/>
    <w:rsid w:val="00145BCC"/>
    <w:rsid w:val="001475F2"/>
    <w:rsid w:val="00186691"/>
    <w:rsid w:val="001A3DE7"/>
    <w:rsid w:val="001B645A"/>
    <w:rsid w:val="001D0EB3"/>
    <w:rsid w:val="001E2AEB"/>
    <w:rsid w:val="001F7B9E"/>
    <w:rsid w:val="002026A3"/>
    <w:rsid w:val="00232A00"/>
    <w:rsid w:val="002431C5"/>
    <w:rsid w:val="00272F25"/>
    <w:rsid w:val="00293431"/>
    <w:rsid w:val="002A0D6E"/>
    <w:rsid w:val="002B5823"/>
    <w:rsid w:val="002D78E7"/>
    <w:rsid w:val="00316E1B"/>
    <w:rsid w:val="00326141"/>
    <w:rsid w:val="003271CA"/>
    <w:rsid w:val="003734CA"/>
    <w:rsid w:val="00375BAA"/>
    <w:rsid w:val="00394E80"/>
    <w:rsid w:val="003A004E"/>
    <w:rsid w:val="003A55A8"/>
    <w:rsid w:val="003B0587"/>
    <w:rsid w:val="00401D30"/>
    <w:rsid w:val="00420E55"/>
    <w:rsid w:val="0044756D"/>
    <w:rsid w:val="004648D4"/>
    <w:rsid w:val="004807A8"/>
    <w:rsid w:val="004C1F28"/>
    <w:rsid w:val="004D3593"/>
    <w:rsid w:val="004E0105"/>
    <w:rsid w:val="00513C95"/>
    <w:rsid w:val="00534C4A"/>
    <w:rsid w:val="00535ADB"/>
    <w:rsid w:val="005425B6"/>
    <w:rsid w:val="00547F78"/>
    <w:rsid w:val="00557A2C"/>
    <w:rsid w:val="00596A63"/>
    <w:rsid w:val="005A0BED"/>
    <w:rsid w:val="005A2FC5"/>
    <w:rsid w:val="005E2B1B"/>
    <w:rsid w:val="005F530C"/>
    <w:rsid w:val="00611407"/>
    <w:rsid w:val="00627D4F"/>
    <w:rsid w:val="0063570B"/>
    <w:rsid w:val="00676FEB"/>
    <w:rsid w:val="006837C3"/>
    <w:rsid w:val="00692393"/>
    <w:rsid w:val="0069273C"/>
    <w:rsid w:val="006A25D2"/>
    <w:rsid w:val="006B71A5"/>
    <w:rsid w:val="006D37E0"/>
    <w:rsid w:val="006F7149"/>
    <w:rsid w:val="007346D0"/>
    <w:rsid w:val="00735EA3"/>
    <w:rsid w:val="007A54A4"/>
    <w:rsid w:val="007C17C4"/>
    <w:rsid w:val="007F6471"/>
    <w:rsid w:val="007F76FE"/>
    <w:rsid w:val="00817FC9"/>
    <w:rsid w:val="00851EBD"/>
    <w:rsid w:val="00874B5B"/>
    <w:rsid w:val="008A58E0"/>
    <w:rsid w:val="008A5BFD"/>
    <w:rsid w:val="008B0E4D"/>
    <w:rsid w:val="008B6C95"/>
    <w:rsid w:val="008D036F"/>
    <w:rsid w:val="008D09DD"/>
    <w:rsid w:val="008F4843"/>
    <w:rsid w:val="00925B94"/>
    <w:rsid w:val="00963346"/>
    <w:rsid w:val="00964FB2"/>
    <w:rsid w:val="00994ED4"/>
    <w:rsid w:val="009A5A53"/>
    <w:rsid w:val="009A7C8B"/>
    <w:rsid w:val="009B0211"/>
    <w:rsid w:val="009B080B"/>
    <w:rsid w:val="009B3704"/>
    <w:rsid w:val="009C6F27"/>
    <w:rsid w:val="009D74AE"/>
    <w:rsid w:val="009F70E6"/>
    <w:rsid w:val="00A02616"/>
    <w:rsid w:val="00A040D1"/>
    <w:rsid w:val="00A06051"/>
    <w:rsid w:val="00A453A4"/>
    <w:rsid w:val="00A53B15"/>
    <w:rsid w:val="00A54818"/>
    <w:rsid w:val="00A56CF6"/>
    <w:rsid w:val="00A70EAB"/>
    <w:rsid w:val="00A72D48"/>
    <w:rsid w:val="00AB68AF"/>
    <w:rsid w:val="00AC1C84"/>
    <w:rsid w:val="00AC2C4A"/>
    <w:rsid w:val="00AC5F82"/>
    <w:rsid w:val="00AE48A6"/>
    <w:rsid w:val="00AF4AAA"/>
    <w:rsid w:val="00AF7CE2"/>
    <w:rsid w:val="00B005DB"/>
    <w:rsid w:val="00B00C21"/>
    <w:rsid w:val="00B16352"/>
    <w:rsid w:val="00B16808"/>
    <w:rsid w:val="00B26679"/>
    <w:rsid w:val="00B43CFF"/>
    <w:rsid w:val="00B63037"/>
    <w:rsid w:val="00B73AB0"/>
    <w:rsid w:val="00B74A9D"/>
    <w:rsid w:val="00B874CF"/>
    <w:rsid w:val="00B904C6"/>
    <w:rsid w:val="00B94A81"/>
    <w:rsid w:val="00B9529E"/>
    <w:rsid w:val="00BA34A2"/>
    <w:rsid w:val="00BB5186"/>
    <w:rsid w:val="00BD0BE9"/>
    <w:rsid w:val="00BE324F"/>
    <w:rsid w:val="00C32442"/>
    <w:rsid w:val="00C343B1"/>
    <w:rsid w:val="00C34630"/>
    <w:rsid w:val="00C40546"/>
    <w:rsid w:val="00C44C10"/>
    <w:rsid w:val="00C770AD"/>
    <w:rsid w:val="00C862EE"/>
    <w:rsid w:val="00C90FA1"/>
    <w:rsid w:val="00CA11A5"/>
    <w:rsid w:val="00CA391B"/>
    <w:rsid w:val="00CB5381"/>
    <w:rsid w:val="00CB5C68"/>
    <w:rsid w:val="00CD4EB1"/>
    <w:rsid w:val="00D109C8"/>
    <w:rsid w:val="00D47808"/>
    <w:rsid w:val="00D52E07"/>
    <w:rsid w:val="00D6737D"/>
    <w:rsid w:val="00D67A84"/>
    <w:rsid w:val="00D81694"/>
    <w:rsid w:val="00DA0C78"/>
    <w:rsid w:val="00DA4414"/>
    <w:rsid w:val="00DE3283"/>
    <w:rsid w:val="00E13705"/>
    <w:rsid w:val="00E2144B"/>
    <w:rsid w:val="00E21B5D"/>
    <w:rsid w:val="00E317F8"/>
    <w:rsid w:val="00E521BD"/>
    <w:rsid w:val="00EC2D4D"/>
    <w:rsid w:val="00F06986"/>
    <w:rsid w:val="00F17E93"/>
    <w:rsid w:val="00F22713"/>
    <w:rsid w:val="00F5117F"/>
    <w:rsid w:val="00F528E5"/>
    <w:rsid w:val="00F71A8C"/>
    <w:rsid w:val="00F90736"/>
    <w:rsid w:val="00FB2D45"/>
    <w:rsid w:val="00FC25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F3FB3"/>
  <w15:chartTrackingRefBased/>
  <w15:docId w15:val="{8BDCA050-A3A3-4CF0-937E-EB70D1DAE5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D6839"/>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rsid w:val="000D6839"/>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rsid w:val="000D6839"/>
  </w:style>
  <w:style w:type="paragraph" w:customStyle="1" w:styleId="MDPI11articletype">
    <w:name w:val="MDPI_1.1_article_type"/>
    <w:next w:val="Normal"/>
    <w:qFormat/>
    <w:rsid w:val="000D6839"/>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0D6839"/>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0D6839"/>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0D6839"/>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0D6839"/>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0D6839"/>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0D6839"/>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0D6839"/>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3A55A8"/>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0D6839"/>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0D6839"/>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0D6839"/>
    <w:rPr>
      <w:rFonts w:ascii="Palatino Linotype" w:hAnsi="Palatino Linotype"/>
      <w:noProof/>
      <w:color w:val="000000"/>
      <w:szCs w:val="18"/>
    </w:rPr>
  </w:style>
  <w:style w:type="paragraph" w:styleId="Header">
    <w:name w:val="header"/>
    <w:basedOn w:val="Normal"/>
    <w:link w:val="HeaderChar"/>
    <w:uiPriority w:val="99"/>
    <w:rsid w:val="000D6839"/>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0D6839"/>
    <w:rPr>
      <w:rFonts w:ascii="Palatino Linotype" w:hAnsi="Palatino Linotype"/>
      <w:noProof/>
      <w:color w:val="000000"/>
      <w:szCs w:val="18"/>
    </w:rPr>
  </w:style>
  <w:style w:type="paragraph" w:customStyle="1" w:styleId="MDPIheaderjournallogo">
    <w:name w:val="MDPI_header_journal_logo"/>
    <w:qFormat/>
    <w:rsid w:val="000D6839"/>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0D6839"/>
    <w:pPr>
      <w:ind w:firstLine="0"/>
    </w:pPr>
  </w:style>
  <w:style w:type="paragraph" w:customStyle="1" w:styleId="MDPI31text">
    <w:name w:val="MDPI_3.1_text"/>
    <w:qFormat/>
    <w:rsid w:val="009B0211"/>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0D6839"/>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0D6839"/>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0D6839"/>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0D6839"/>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0D6839"/>
    <w:pPr>
      <w:numPr>
        <w:numId w:val="1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0D6839"/>
    <w:pPr>
      <w:numPr>
        <w:numId w:val="16"/>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0D6839"/>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0D6839"/>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0D6839"/>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6F714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0D6839"/>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0D6839"/>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0D6839"/>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0D6839"/>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0D6839"/>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0D6839"/>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0D6839"/>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0D6839"/>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0D6839"/>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B94A81"/>
    <w:pPr>
      <w:numPr>
        <w:numId w:val="17"/>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0D6839"/>
    <w:rPr>
      <w:rFonts w:cs="Tahoma"/>
      <w:szCs w:val="18"/>
    </w:rPr>
  </w:style>
  <w:style w:type="character" w:customStyle="1" w:styleId="BalloonTextChar">
    <w:name w:val="Balloon Text Char"/>
    <w:link w:val="BalloonText"/>
    <w:uiPriority w:val="99"/>
    <w:rsid w:val="000D6839"/>
    <w:rPr>
      <w:rFonts w:ascii="Palatino Linotype" w:hAnsi="Palatino Linotype" w:cs="Tahoma"/>
      <w:noProof/>
      <w:color w:val="000000"/>
      <w:szCs w:val="18"/>
    </w:rPr>
  </w:style>
  <w:style w:type="character" w:styleId="LineNumber">
    <w:name w:val="line number"/>
    <w:uiPriority w:val="99"/>
    <w:rsid w:val="00C343B1"/>
    <w:rPr>
      <w:rFonts w:ascii="Palatino Linotype" w:hAnsi="Palatino Linotype"/>
      <w:sz w:val="16"/>
    </w:rPr>
  </w:style>
  <w:style w:type="table" w:customStyle="1" w:styleId="MDPI41threelinetable">
    <w:name w:val="MDPI_4.1_three_line_table"/>
    <w:basedOn w:val="TableNormal"/>
    <w:uiPriority w:val="99"/>
    <w:rsid w:val="000D6839"/>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0D6839"/>
    <w:rPr>
      <w:color w:val="0000FF"/>
      <w:u w:val="single"/>
    </w:rPr>
  </w:style>
  <w:style w:type="character" w:styleId="UnresolvedMention">
    <w:name w:val="Unresolved Mention"/>
    <w:uiPriority w:val="99"/>
    <w:semiHidden/>
    <w:unhideWhenUsed/>
    <w:rsid w:val="00963346"/>
    <w:rPr>
      <w:color w:val="605E5C"/>
      <w:shd w:val="clear" w:color="auto" w:fill="E1DFDD"/>
    </w:rPr>
  </w:style>
  <w:style w:type="table" w:styleId="PlainTable4">
    <w:name w:val="Plain Table 4"/>
    <w:basedOn w:val="TableNormal"/>
    <w:uiPriority w:val="44"/>
    <w:rsid w:val="00F71A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0D6839"/>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0D6839"/>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0D6839"/>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0D6839"/>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0D6839"/>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0D6839"/>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0D6839"/>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0D6839"/>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0D6839"/>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0D6839"/>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0D6839"/>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0D6839"/>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0D6839"/>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0D6839"/>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0D6839"/>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0D6839"/>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0D6839"/>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0D6839"/>
  </w:style>
  <w:style w:type="paragraph" w:styleId="Bibliography">
    <w:name w:val="Bibliography"/>
    <w:basedOn w:val="Normal"/>
    <w:next w:val="Normal"/>
    <w:uiPriority w:val="37"/>
    <w:semiHidden/>
    <w:unhideWhenUsed/>
    <w:rsid w:val="000D6839"/>
  </w:style>
  <w:style w:type="paragraph" w:styleId="BodyText">
    <w:name w:val="Body Text"/>
    <w:link w:val="BodyTextChar"/>
    <w:rsid w:val="000D6839"/>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0D6839"/>
    <w:rPr>
      <w:rFonts w:ascii="Palatino Linotype" w:hAnsi="Palatino Linotype"/>
      <w:color w:val="000000"/>
      <w:sz w:val="24"/>
      <w:lang w:eastAsia="de-DE"/>
    </w:rPr>
  </w:style>
  <w:style w:type="character" w:styleId="CommentReference">
    <w:name w:val="annotation reference"/>
    <w:rsid w:val="000D6839"/>
    <w:rPr>
      <w:sz w:val="21"/>
      <w:szCs w:val="21"/>
    </w:rPr>
  </w:style>
  <w:style w:type="paragraph" w:styleId="CommentText">
    <w:name w:val="annotation text"/>
    <w:basedOn w:val="Normal"/>
    <w:link w:val="CommentTextChar"/>
    <w:rsid w:val="000D6839"/>
  </w:style>
  <w:style w:type="character" w:customStyle="1" w:styleId="CommentTextChar">
    <w:name w:val="Comment Text Char"/>
    <w:link w:val="CommentText"/>
    <w:rsid w:val="000D6839"/>
    <w:rPr>
      <w:rFonts w:ascii="Palatino Linotype" w:hAnsi="Palatino Linotype"/>
      <w:noProof/>
      <w:color w:val="000000"/>
    </w:rPr>
  </w:style>
  <w:style w:type="paragraph" w:styleId="CommentSubject">
    <w:name w:val="annotation subject"/>
    <w:basedOn w:val="CommentText"/>
    <w:next w:val="CommentText"/>
    <w:link w:val="CommentSubjectChar"/>
    <w:rsid w:val="000D6839"/>
    <w:rPr>
      <w:b/>
      <w:bCs/>
    </w:rPr>
  </w:style>
  <w:style w:type="character" w:customStyle="1" w:styleId="CommentSubjectChar">
    <w:name w:val="Comment Subject Char"/>
    <w:link w:val="CommentSubject"/>
    <w:rsid w:val="000D6839"/>
    <w:rPr>
      <w:rFonts w:ascii="Palatino Linotype" w:hAnsi="Palatino Linotype"/>
      <w:b/>
      <w:bCs/>
      <w:noProof/>
      <w:color w:val="000000"/>
    </w:rPr>
  </w:style>
  <w:style w:type="character" w:styleId="EndnoteReference">
    <w:name w:val="endnote reference"/>
    <w:rsid w:val="000D6839"/>
    <w:rPr>
      <w:vertAlign w:val="superscript"/>
    </w:rPr>
  </w:style>
  <w:style w:type="paragraph" w:styleId="EndnoteText">
    <w:name w:val="endnote text"/>
    <w:basedOn w:val="Normal"/>
    <w:link w:val="EndnoteTextChar"/>
    <w:semiHidden/>
    <w:unhideWhenUsed/>
    <w:rsid w:val="000D6839"/>
    <w:pPr>
      <w:spacing w:line="240" w:lineRule="auto"/>
    </w:pPr>
  </w:style>
  <w:style w:type="character" w:customStyle="1" w:styleId="EndnoteTextChar">
    <w:name w:val="Endnote Text Char"/>
    <w:link w:val="EndnoteText"/>
    <w:semiHidden/>
    <w:rsid w:val="000D6839"/>
    <w:rPr>
      <w:rFonts w:ascii="Palatino Linotype" w:hAnsi="Palatino Linotype"/>
      <w:noProof/>
      <w:color w:val="000000"/>
    </w:rPr>
  </w:style>
  <w:style w:type="character" w:styleId="FollowedHyperlink">
    <w:name w:val="FollowedHyperlink"/>
    <w:rsid w:val="000D6839"/>
    <w:rPr>
      <w:color w:val="954F72"/>
      <w:u w:val="single"/>
    </w:rPr>
  </w:style>
  <w:style w:type="paragraph" w:styleId="FootnoteText">
    <w:name w:val="footnote text"/>
    <w:basedOn w:val="Normal"/>
    <w:link w:val="FootnoteTextChar"/>
    <w:semiHidden/>
    <w:unhideWhenUsed/>
    <w:rsid w:val="000D6839"/>
    <w:pPr>
      <w:spacing w:line="240" w:lineRule="auto"/>
    </w:pPr>
  </w:style>
  <w:style w:type="character" w:customStyle="1" w:styleId="FootnoteTextChar">
    <w:name w:val="Footnote Text Char"/>
    <w:link w:val="FootnoteText"/>
    <w:semiHidden/>
    <w:rsid w:val="000D6839"/>
    <w:rPr>
      <w:rFonts w:ascii="Palatino Linotype" w:hAnsi="Palatino Linotype"/>
      <w:noProof/>
      <w:color w:val="000000"/>
    </w:rPr>
  </w:style>
  <w:style w:type="paragraph" w:styleId="NormalWeb">
    <w:name w:val="Normal (Web)"/>
    <w:basedOn w:val="Normal"/>
    <w:uiPriority w:val="99"/>
    <w:rsid w:val="000D6839"/>
    <w:rPr>
      <w:szCs w:val="24"/>
    </w:rPr>
  </w:style>
  <w:style w:type="paragraph" w:customStyle="1" w:styleId="MsoFootnoteText0">
    <w:name w:val="MsoFootnoteText"/>
    <w:basedOn w:val="NormalWeb"/>
    <w:qFormat/>
    <w:rsid w:val="000D6839"/>
    <w:rPr>
      <w:rFonts w:ascii="Times New Roman" w:hAnsi="Times New Roman"/>
    </w:rPr>
  </w:style>
  <w:style w:type="character" w:styleId="PageNumber">
    <w:name w:val="page number"/>
    <w:rsid w:val="000D6839"/>
  </w:style>
  <w:style w:type="character" w:styleId="PlaceholderText">
    <w:name w:val="Placeholder Text"/>
    <w:uiPriority w:val="99"/>
    <w:semiHidden/>
    <w:rsid w:val="000D683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01444446">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esktop\cancer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cancers-template.dot</Template>
  <TotalTime>2</TotalTime>
  <Pages>5</Pages>
  <Words>957</Words>
  <Characters>5015</Characters>
  <Application>Microsoft Office Word</Application>
  <DocSecurity>0</DocSecurity>
  <Lines>65</Lines>
  <Paragraphs>7</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5969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2</cp:revision>
  <dcterms:created xsi:type="dcterms:W3CDTF">2021-02-09T07:44:00Z</dcterms:created>
  <dcterms:modified xsi:type="dcterms:W3CDTF">2021-02-09T07:46:00Z</dcterms:modified>
</cp:coreProperties>
</file>