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E1E74" w14:textId="77777777" w:rsidR="006B3A38" w:rsidRPr="003E43A5" w:rsidRDefault="006B3A38" w:rsidP="006B3A38">
      <w:pPr>
        <w:spacing w:after="0"/>
        <w:rPr>
          <w:b/>
          <w:lang w:val="en-US"/>
        </w:rPr>
      </w:pPr>
      <w:r w:rsidRPr="003E43A5">
        <w:rPr>
          <w:b/>
          <w:lang w:val="en-US"/>
        </w:rPr>
        <w:t>Supplementary files</w:t>
      </w:r>
      <w:r w:rsidR="003E43A5" w:rsidRPr="003E43A5">
        <w:rPr>
          <w:b/>
          <w:lang w:val="en-US"/>
        </w:rPr>
        <w:t xml:space="preserve"> R1 cancers-1048357 Kolliopoulos et al</w:t>
      </w:r>
      <w:r w:rsidR="003E43A5">
        <w:rPr>
          <w:b/>
          <w:lang w:val="en-US"/>
        </w:rPr>
        <w:t>.</w:t>
      </w:r>
    </w:p>
    <w:p w14:paraId="15E31DC9" w14:textId="77777777" w:rsidR="00B435D5" w:rsidRDefault="003D764C" w:rsidP="006B3A38">
      <w:pPr>
        <w:spacing w:after="0"/>
      </w:pPr>
      <w:r w:rsidRPr="003D764C">
        <w:rPr>
          <w:noProof/>
          <w:lang w:eastAsia="sv-SE"/>
        </w:rPr>
        <w:drawing>
          <wp:inline distT="0" distB="0" distL="0" distR="0" wp14:anchorId="7CAC1F52" wp14:editId="723A795C">
            <wp:extent cx="5760720" cy="80822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8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E6012" w14:textId="6AEE91C7" w:rsidR="006B3A38" w:rsidRPr="00B435D5" w:rsidRDefault="00610ACD" w:rsidP="00610ACD">
      <w:pPr>
        <w:pStyle w:val="MDPI51figurecaption"/>
      </w:pPr>
      <w:r w:rsidRPr="00610ACD">
        <w:rPr>
          <w:b/>
        </w:rPr>
        <w:t xml:space="preserve">Figure </w:t>
      </w:r>
      <w:r>
        <w:rPr>
          <w:b/>
        </w:rPr>
        <w:t>S</w:t>
      </w:r>
      <w:r w:rsidRPr="00610ACD">
        <w:rPr>
          <w:b/>
        </w:rPr>
        <w:t xml:space="preserve">1. </w:t>
      </w:r>
      <w:r w:rsidR="006B3A38">
        <w:rPr>
          <w:b/>
          <w:bCs/>
        </w:rPr>
        <w:t>Screening for CD44 c</w:t>
      </w:r>
      <w:r w:rsidR="00473846">
        <w:rPr>
          <w:b/>
          <w:bCs/>
        </w:rPr>
        <w:t>leavage in different cell lines</w:t>
      </w:r>
      <w:r w:rsidR="006B3A38">
        <w:rPr>
          <w:b/>
          <w:bCs/>
        </w:rPr>
        <w:t xml:space="preserve"> and in response to various external stimuli</w:t>
      </w:r>
      <w:r w:rsidR="00B435D5">
        <w:t xml:space="preserve">. </w:t>
      </w:r>
      <w:r w:rsidR="006B3A38">
        <w:t>(</w:t>
      </w:r>
      <w:r w:rsidR="00BD6D36">
        <w:rPr>
          <w:b/>
        </w:rPr>
        <w:t>a</w:t>
      </w:r>
      <w:r w:rsidR="006B3A38">
        <w:t>), A549 cells were stimulated for 24 h with various growth factors, and thereafter subjected to immunoblotting for FL and TM-ICD CD44; tubulin</w:t>
      </w:r>
      <w:r w:rsidR="006B3A38">
        <w:rPr>
          <w:rFonts w:cstheme="minorHAnsi"/>
        </w:rPr>
        <w:t xml:space="preserve"> was used as loading control. (</w:t>
      </w:r>
      <w:r w:rsidR="006B3A38" w:rsidRPr="006845FA">
        <w:rPr>
          <w:rFonts w:cstheme="minorHAnsi"/>
          <w:b/>
        </w:rPr>
        <w:t>b</w:t>
      </w:r>
      <w:r w:rsidR="006B3A38">
        <w:rPr>
          <w:rFonts w:cstheme="minorHAnsi"/>
        </w:rPr>
        <w:t xml:space="preserve">), A549 and U251MG </w:t>
      </w:r>
      <w:r w:rsidR="006B3A38">
        <w:rPr>
          <w:rFonts w:cstheme="minorHAnsi"/>
        </w:rPr>
        <w:lastRenderedPageBreak/>
        <w:t xml:space="preserve">cells were treated with hyaluronan (HA) of different sizes, and thereafter subjected to immunoblotting for FL and TM-ICD CD44. </w:t>
      </w:r>
      <w:r w:rsidR="000154C7" w:rsidRPr="00664E06">
        <w:rPr>
          <w:color w:val="000000" w:themeColor="text1"/>
        </w:rPr>
        <w:t>(</w:t>
      </w:r>
      <w:r w:rsidR="000154C7" w:rsidRPr="00664E06">
        <w:rPr>
          <w:b/>
          <w:color w:val="000000" w:themeColor="text1"/>
        </w:rPr>
        <w:t>c</w:t>
      </w:r>
      <w:r w:rsidR="000154C7" w:rsidRPr="00664E06">
        <w:rPr>
          <w:color w:val="000000" w:themeColor="text1"/>
        </w:rPr>
        <w:t xml:space="preserve">) Immunoblot analysis of FL and TM-ICD CD44 in H1299 cells. H1299 cells were transfected with control siRNA or siRNA targeting </w:t>
      </w:r>
      <w:r w:rsidR="000154C7" w:rsidRPr="00664E06">
        <w:rPr>
          <w:i/>
          <w:color w:val="000000" w:themeColor="text1"/>
        </w:rPr>
        <w:t>CD44</w:t>
      </w:r>
      <w:r w:rsidR="000154C7" w:rsidRPr="00664E06">
        <w:rPr>
          <w:color w:val="000000" w:themeColor="text1"/>
        </w:rPr>
        <w:t xml:space="preserve"> and were treated with or without TGF</w:t>
      </w:r>
      <w:r w:rsidR="000154C7" w:rsidRPr="00664E06">
        <w:rPr>
          <w:rFonts w:cstheme="minorHAnsi"/>
          <w:color w:val="000000" w:themeColor="text1"/>
        </w:rPr>
        <w:t>β</w:t>
      </w:r>
      <w:r w:rsidR="000154C7" w:rsidRPr="00664E06">
        <w:rPr>
          <w:color w:val="000000" w:themeColor="text1"/>
        </w:rPr>
        <w:t xml:space="preserve"> (5 ng/ml), MG132 (40 </w:t>
      </w:r>
      <w:r w:rsidR="000154C7" w:rsidRPr="00664E06">
        <w:rPr>
          <w:rFonts w:cstheme="minorHAnsi"/>
          <w:color w:val="000000" w:themeColor="text1"/>
        </w:rPr>
        <w:t>μ</w:t>
      </w:r>
      <w:r w:rsidR="000154C7" w:rsidRPr="00664E06">
        <w:rPr>
          <w:color w:val="000000" w:themeColor="text1"/>
        </w:rPr>
        <w:t xml:space="preserve">M) and CQ (40 </w:t>
      </w:r>
      <w:r w:rsidR="000154C7" w:rsidRPr="00664E06">
        <w:rPr>
          <w:rFonts w:cstheme="minorHAnsi"/>
          <w:color w:val="000000" w:themeColor="text1"/>
        </w:rPr>
        <w:t>μ</w:t>
      </w:r>
      <w:r w:rsidR="000154C7" w:rsidRPr="00664E06">
        <w:rPr>
          <w:color w:val="000000" w:themeColor="text1"/>
        </w:rPr>
        <w:t xml:space="preserve">M) for 24 h, or TPA (80 nM) for 1 h, followed by immunoblotting for CD44FL, TM-ICD, and GAPDH. </w:t>
      </w:r>
      <w:r w:rsidR="006B3A38" w:rsidRPr="00A17983">
        <w:t>(</w:t>
      </w:r>
      <w:r w:rsidR="0012777C">
        <w:rPr>
          <w:b/>
        </w:rPr>
        <w:t>d</w:t>
      </w:r>
      <w:r w:rsidR="006B3A38" w:rsidRPr="00A17983">
        <w:t>)</w:t>
      </w:r>
      <w:r w:rsidR="006B3A38">
        <w:t xml:space="preserve">, Prostate cancer cells PC3U, glioblastoma cells U251MG, colon adenocarcinoma CACO-2, colon cancer HCT-116, breast cancer cells </w:t>
      </w:r>
      <w:r w:rsidR="006B3A38" w:rsidRPr="000B0C89">
        <w:rPr>
          <w:rFonts w:cstheme="minorHAnsi"/>
        </w:rPr>
        <w:t>MCF10AneoT</w:t>
      </w:r>
      <w:r w:rsidR="006B3A38">
        <w:t xml:space="preserve"> MII, triple negative breast cancer cells Hs578 and MDA 231 bone-metastasizing clone (MDA 231 BS) and lung adenocarcinoma A549 were treated or not with TGF</w:t>
      </w:r>
      <w:r w:rsidR="006B3A38">
        <w:rPr>
          <w:rFonts w:cstheme="minorHAnsi"/>
        </w:rPr>
        <w:t>β</w:t>
      </w:r>
      <w:r w:rsidR="006B3A38">
        <w:t xml:space="preserve"> (5 ng/ml) for 24 h after being starved overnight, and were subjected to SDS-PAGE and subsequent immunoblotting analysis to assess levels of CD44s, CD44v isoforms, and their cleavage products (CD44 TM-ICD). GAPDH or tubulin immunoblots served as loading controls. Band intensities were quantified by the software ImageJ and results were normalized to loading control.</w:t>
      </w:r>
    </w:p>
    <w:p w14:paraId="37828679" w14:textId="65F108E1" w:rsidR="00B435D5" w:rsidRPr="00610ACD" w:rsidRDefault="00B435D5" w:rsidP="00610ACD">
      <w:pPr>
        <w:pStyle w:val="MDPI51figurecaption"/>
        <w:rPr>
          <w:b/>
          <w:bCs/>
          <w:color w:val="auto"/>
        </w:rPr>
      </w:pPr>
      <w:r w:rsidRPr="00610ACD">
        <w:rPr>
          <w:b/>
          <w:noProof/>
          <w:lang w:eastAsia="sv-SE"/>
        </w:rPr>
        <w:drawing>
          <wp:inline distT="0" distB="0" distL="0" distR="0" wp14:anchorId="484E9FE7" wp14:editId="0B5946E6">
            <wp:extent cx="5760720" cy="19024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0ACD">
        <w:rPr>
          <w:b/>
          <w:bCs/>
          <w:color w:val="FF0000"/>
        </w:rPr>
        <w:t xml:space="preserve"> </w:t>
      </w:r>
      <w:r w:rsidR="00610ACD" w:rsidRPr="00610ACD">
        <w:rPr>
          <w:b/>
          <w:bCs/>
        </w:rPr>
        <w:t xml:space="preserve">Figure </w:t>
      </w:r>
      <w:r w:rsidR="00610ACD">
        <w:rPr>
          <w:b/>
          <w:bCs/>
        </w:rPr>
        <w:t>S</w:t>
      </w:r>
      <w:r w:rsidR="00610ACD" w:rsidRPr="00610ACD">
        <w:rPr>
          <w:b/>
          <w:bCs/>
        </w:rPr>
        <w:t xml:space="preserve">2. </w:t>
      </w:r>
      <w:r w:rsidR="003D5A11" w:rsidRPr="00664E06">
        <w:rPr>
          <w:b/>
          <w:bCs/>
          <w:i/>
        </w:rPr>
        <w:t>NANOG</w:t>
      </w:r>
      <w:r w:rsidR="003D5A11" w:rsidRPr="00664E06">
        <w:rPr>
          <w:b/>
          <w:bCs/>
        </w:rPr>
        <w:t xml:space="preserve">, </w:t>
      </w:r>
      <w:r w:rsidR="003D5A11" w:rsidRPr="00664E06">
        <w:rPr>
          <w:b/>
          <w:bCs/>
          <w:i/>
        </w:rPr>
        <w:t>OCT4</w:t>
      </w:r>
      <w:r w:rsidR="003D5A11" w:rsidRPr="00664E06">
        <w:rPr>
          <w:b/>
          <w:bCs/>
        </w:rPr>
        <w:t xml:space="preserve"> and </w:t>
      </w:r>
      <w:r w:rsidRPr="00664E06">
        <w:rPr>
          <w:b/>
          <w:bCs/>
          <w:i/>
        </w:rPr>
        <w:t>CD44v</w:t>
      </w:r>
      <w:r w:rsidR="003D5A11" w:rsidRPr="00664E06">
        <w:rPr>
          <w:b/>
          <w:bCs/>
          <w:i/>
        </w:rPr>
        <w:t>3 and v6</w:t>
      </w:r>
      <w:r w:rsidRPr="00664E06">
        <w:rPr>
          <w:b/>
          <w:bCs/>
          <w:i/>
        </w:rPr>
        <w:t xml:space="preserve"> </w:t>
      </w:r>
      <w:r w:rsidRPr="00664E06">
        <w:rPr>
          <w:b/>
          <w:bCs/>
        </w:rPr>
        <w:t xml:space="preserve">increases in stem-like H1299 cells grown in low-attachment conditions. </w:t>
      </w:r>
      <w:r w:rsidRPr="00664E06">
        <w:t>(</w:t>
      </w:r>
      <w:r w:rsidRPr="00664E06">
        <w:rPr>
          <w:b/>
        </w:rPr>
        <w:t>a-c</w:t>
      </w:r>
      <w:r w:rsidRPr="00664E06">
        <w:t xml:space="preserve">) H1299 cells were seeded under adherent conditions or non-adherent in ultra-low attachment plates. Adherent cells </w:t>
      </w:r>
      <w:r w:rsidRPr="00610ACD">
        <w:rPr>
          <w:color w:val="auto"/>
        </w:rPr>
        <w:t>were treated or not with TGF</w:t>
      </w:r>
      <w:r w:rsidRPr="00610ACD">
        <w:rPr>
          <w:rFonts w:ascii="Symbol" w:hAnsi="Symbol"/>
          <w:color w:val="auto"/>
        </w:rPr>
        <w:t></w:t>
      </w:r>
      <w:r w:rsidRPr="00610ACD">
        <w:rPr>
          <w:color w:val="auto"/>
        </w:rPr>
        <w:t xml:space="preserve"> for 24 h. mRNA levels of transcription factors </w:t>
      </w:r>
      <w:r w:rsidRPr="00610ACD">
        <w:rPr>
          <w:i/>
          <w:color w:val="auto"/>
        </w:rPr>
        <w:t>NANOG, OCT4, SOX2</w:t>
      </w:r>
      <w:r w:rsidRPr="00610ACD">
        <w:rPr>
          <w:color w:val="auto"/>
        </w:rPr>
        <w:t xml:space="preserve"> (a), </w:t>
      </w:r>
      <w:r w:rsidRPr="00610ACD">
        <w:rPr>
          <w:i/>
          <w:color w:val="auto"/>
        </w:rPr>
        <w:t>CD44s</w:t>
      </w:r>
      <w:r w:rsidRPr="00610ACD">
        <w:rPr>
          <w:color w:val="auto"/>
        </w:rPr>
        <w:t xml:space="preserve"> (b) and </w:t>
      </w:r>
      <w:r w:rsidRPr="00610ACD">
        <w:rPr>
          <w:i/>
          <w:color w:val="auto"/>
        </w:rPr>
        <w:t xml:space="preserve">CD44v </w:t>
      </w:r>
      <w:r w:rsidRPr="00610ACD">
        <w:rPr>
          <w:color w:val="auto"/>
        </w:rPr>
        <w:t xml:space="preserve">isoforms </w:t>
      </w:r>
      <w:r w:rsidRPr="00610ACD">
        <w:rPr>
          <w:i/>
          <w:color w:val="auto"/>
        </w:rPr>
        <w:t>V3</w:t>
      </w:r>
      <w:r w:rsidRPr="00610ACD">
        <w:rPr>
          <w:color w:val="auto"/>
        </w:rPr>
        <w:t xml:space="preserve"> and </w:t>
      </w:r>
      <w:r w:rsidRPr="00610ACD">
        <w:rPr>
          <w:i/>
          <w:color w:val="auto"/>
        </w:rPr>
        <w:t>V6</w:t>
      </w:r>
      <w:r w:rsidRPr="00610ACD">
        <w:rPr>
          <w:color w:val="auto"/>
        </w:rPr>
        <w:t xml:space="preserve"> (c) were determined by real-time qPCR and normalized to </w:t>
      </w:r>
      <w:r w:rsidRPr="00610ACD">
        <w:rPr>
          <w:i/>
          <w:color w:val="auto"/>
        </w:rPr>
        <w:t>TBP</w:t>
      </w:r>
      <w:r w:rsidRPr="00610ACD">
        <w:rPr>
          <w:color w:val="auto"/>
        </w:rPr>
        <w:t xml:space="preserve"> mRNA levels.</w:t>
      </w:r>
    </w:p>
    <w:p w14:paraId="7A266AA5" w14:textId="77777777" w:rsidR="006B3A38" w:rsidRDefault="003F208D" w:rsidP="006B3A38">
      <w:pPr>
        <w:rPr>
          <w:lang w:val="en-US"/>
        </w:rPr>
      </w:pPr>
      <w:r w:rsidRPr="003F208D">
        <w:rPr>
          <w:noProof/>
          <w:lang w:eastAsia="sv-SE"/>
        </w:rPr>
        <w:drawing>
          <wp:inline distT="0" distB="0" distL="0" distR="0" wp14:anchorId="7B01A132" wp14:editId="27EE23AD">
            <wp:extent cx="4998720" cy="364679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5503" t="1960" r="1356" b="1205"/>
                    <a:stretch/>
                  </pic:blipFill>
                  <pic:spPr bwMode="auto">
                    <a:xfrm>
                      <a:off x="0" y="0"/>
                      <a:ext cx="5003488" cy="36502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8397FC" w14:textId="158D39D9" w:rsidR="006B3A38" w:rsidRPr="003F208D" w:rsidRDefault="00610ACD" w:rsidP="00610ACD">
      <w:pPr>
        <w:pStyle w:val="MDPI51figurecaption"/>
        <w:rPr>
          <w:b/>
          <w:bCs/>
        </w:rPr>
      </w:pPr>
      <w:r w:rsidRPr="00610ACD">
        <w:rPr>
          <w:b/>
          <w:bCs/>
        </w:rPr>
        <w:lastRenderedPageBreak/>
        <w:t xml:space="preserve">Figure </w:t>
      </w:r>
      <w:r>
        <w:rPr>
          <w:b/>
          <w:bCs/>
        </w:rPr>
        <w:t>S</w:t>
      </w:r>
      <w:r w:rsidRPr="00610ACD">
        <w:rPr>
          <w:b/>
          <w:bCs/>
        </w:rPr>
        <w:t xml:space="preserve">3. </w:t>
      </w:r>
      <w:r w:rsidR="006B3A38">
        <w:rPr>
          <w:b/>
          <w:bCs/>
        </w:rPr>
        <w:t xml:space="preserve">The catalytic activity of Traf6 is </w:t>
      </w:r>
      <w:r w:rsidR="003F208D">
        <w:rPr>
          <w:b/>
          <w:bCs/>
        </w:rPr>
        <w:t>i</w:t>
      </w:r>
      <w:r w:rsidR="002F13EF">
        <w:rPr>
          <w:b/>
          <w:bCs/>
        </w:rPr>
        <w:t>ndispensable</w:t>
      </w:r>
      <w:r w:rsidR="003F208D">
        <w:rPr>
          <w:b/>
          <w:bCs/>
        </w:rPr>
        <w:t xml:space="preserve"> </w:t>
      </w:r>
      <w:r w:rsidR="006B3A38">
        <w:rPr>
          <w:b/>
          <w:bCs/>
        </w:rPr>
        <w:t>for TGF</w:t>
      </w:r>
      <w:r w:rsidR="006B3A38">
        <w:rPr>
          <w:rFonts w:cstheme="minorHAnsi"/>
          <w:b/>
          <w:bCs/>
        </w:rPr>
        <w:t>β</w:t>
      </w:r>
      <w:r w:rsidR="006B3A38">
        <w:rPr>
          <w:b/>
          <w:bCs/>
        </w:rPr>
        <w:t>-induced CD44 cleavage</w:t>
      </w:r>
      <w:r w:rsidR="003F208D">
        <w:rPr>
          <w:b/>
          <w:bCs/>
        </w:rPr>
        <w:t xml:space="preserve"> in mouse embryo fibroblasts (MEF</w:t>
      </w:r>
      <w:r w:rsidR="003F208D" w:rsidRPr="00664E06">
        <w:rPr>
          <w:b/>
          <w:bCs/>
        </w:rPr>
        <w:t xml:space="preserve">). </w:t>
      </w:r>
      <w:r w:rsidR="00D66D8B" w:rsidRPr="00664E06">
        <w:t>(</w:t>
      </w:r>
      <w:r w:rsidR="00D66D8B" w:rsidRPr="00664E06">
        <w:rPr>
          <w:b/>
        </w:rPr>
        <w:t>a</w:t>
      </w:r>
      <w:r w:rsidR="00D66D8B" w:rsidRPr="00664E06">
        <w:t>), Imm</w:t>
      </w:r>
      <w:r w:rsidR="003F208D" w:rsidRPr="00664E06">
        <w:t>unoblotting for FL and TM-ICD Cd</w:t>
      </w:r>
      <w:r w:rsidR="00D66D8B" w:rsidRPr="00664E06">
        <w:t>44, and Traf6, in wild-type (Wt) and Traf6-depleted (</w:t>
      </w:r>
      <w:r w:rsidR="00D66D8B" w:rsidRPr="00664E06">
        <w:rPr>
          <w:i/>
        </w:rPr>
        <w:t xml:space="preserve">Traf6 </w:t>
      </w:r>
      <w:r w:rsidR="00D66D8B" w:rsidRPr="00664E06">
        <w:rPr>
          <w:vertAlign w:val="superscript"/>
        </w:rPr>
        <w:t>-/-</w:t>
      </w:r>
      <w:r w:rsidR="00D66D8B" w:rsidRPr="00664E06">
        <w:t>) MEF cells, treated or not with TGF</w:t>
      </w:r>
      <w:r w:rsidR="00D66D8B" w:rsidRPr="00664E06">
        <w:rPr>
          <w:rFonts w:cstheme="minorHAnsi"/>
        </w:rPr>
        <w:t xml:space="preserve">β (5 ng/ml), </w:t>
      </w:r>
      <w:r w:rsidR="00D66D8B" w:rsidRPr="00664E06">
        <w:t xml:space="preserve">DAPT (40 </w:t>
      </w:r>
      <w:r w:rsidR="00D66D8B" w:rsidRPr="00664E06">
        <w:rPr>
          <w:rFonts w:cstheme="minorHAnsi"/>
        </w:rPr>
        <w:t>μ</w:t>
      </w:r>
      <w:r w:rsidR="00D66D8B" w:rsidRPr="00664E06">
        <w:t xml:space="preserve">M) and TPA (80 nM) </w:t>
      </w:r>
      <w:r w:rsidR="009439BA" w:rsidRPr="00664E06">
        <w:t>for the indicated time periods</w:t>
      </w:r>
      <w:r w:rsidR="00D66D8B" w:rsidRPr="00664E06">
        <w:t xml:space="preserve">. </w:t>
      </w:r>
      <w:r w:rsidR="006B3A38" w:rsidRPr="00664E06">
        <w:t>(</w:t>
      </w:r>
      <w:r w:rsidR="00D66D8B" w:rsidRPr="00664E06">
        <w:rPr>
          <w:b/>
        </w:rPr>
        <w:t>b</w:t>
      </w:r>
      <w:r w:rsidR="006B3A38" w:rsidRPr="00664E06">
        <w:t xml:space="preserve">), </w:t>
      </w:r>
      <w:r w:rsidR="006B3A38">
        <w:t>Wt MEFs and MEFs depleted of Traf6 (</w:t>
      </w:r>
      <w:r w:rsidR="006B3A38" w:rsidRPr="00E47630">
        <w:rPr>
          <w:i/>
        </w:rPr>
        <w:t>Traf6</w:t>
      </w:r>
      <w:r w:rsidR="006B3A38" w:rsidRPr="004049B9">
        <w:rPr>
          <w:i/>
          <w:vertAlign w:val="superscript"/>
        </w:rPr>
        <w:t xml:space="preserve"> </w:t>
      </w:r>
      <w:r w:rsidR="006B3A38" w:rsidRPr="004049B9">
        <w:rPr>
          <w:vertAlign w:val="superscript"/>
        </w:rPr>
        <w:t>-/</w:t>
      </w:r>
      <w:r w:rsidR="006B3A38" w:rsidRPr="00DB59E5">
        <w:rPr>
          <w:vertAlign w:val="superscript"/>
        </w:rPr>
        <w:t>-</w:t>
      </w:r>
      <w:r w:rsidR="006B3A38">
        <w:t>) were transfected with Wt Traf6 cDNA. Subsequently cells were treated or not with TGF</w:t>
      </w:r>
      <w:r w:rsidR="006B3A38">
        <w:rPr>
          <w:rFonts w:cstheme="minorHAnsi"/>
        </w:rPr>
        <w:t>β</w:t>
      </w:r>
      <w:r w:rsidR="006B3A38">
        <w:t xml:space="preserve"> (5 ng/ml) for the indicated time periods or with DAPT (30 </w:t>
      </w:r>
      <w:r w:rsidR="006B3A38">
        <w:rPr>
          <w:rFonts w:cstheme="minorHAnsi"/>
        </w:rPr>
        <w:t>μ</w:t>
      </w:r>
      <w:r w:rsidR="006B3A38">
        <w:t>M) for 6 h or TPA (80 nM) for 1 h, and subjected to immunoblotting</w:t>
      </w:r>
      <w:r w:rsidR="003F208D">
        <w:t xml:space="preserve"> for FL and TM-ICD Cd</w:t>
      </w:r>
      <w:r w:rsidR="009439BA">
        <w:t>44, Traf6 and Gapdh.</w:t>
      </w:r>
      <w:r w:rsidR="006B3A38">
        <w:t xml:space="preserve"> (</w:t>
      </w:r>
      <w:r w:rsidR="00D66D8B">
        <w:rPr>
          <w:b/>
        </w:rPr>
        <w:t>c</w:t>
      </w:r>
      <w:r w:rsidR="006B3A38">
        <w:t xml:space="preserve">), Wt and </w:t>
      </w:r>
      <w:r w:rsidR="006B3A38" w:rsidRPr="00E47630">
        <w:rPr>
          <w:i/>
        </w:rPr>
        <w:t>Traf6</w:t>
      </w:r>
      <w:r w:rsidR="006B3A38" w:rsidRPr="004049B9">
        <w:rPr>
          <w:i/>
          <w:vertAlign w:val="superscript"/>
        </w:rPr>
        <w:t xml:space="preserve"> </w:t>
      </w:r>
      <w:r w:rsidR="006B3A38" w:rsidRPr="004049B9">
        <w:rPr>
          <w:vertAlign w:val="superscript"/>
        </w:rPr>
        <w:t xml:space="preserve">-/- </w:t>
      </w:r>
      <w:r w:rsidR="006B3A38">
        <w:t>MEFs were transfected with catalytically inactive mutant Flag-Traf6 C70A cDNA, and were sub</w:t>
      </w:r>
      <w:r w:rsidR="00D66D8B">
        <w:t xml:space="preserve">jected to analyses as in panel </w:t>
      </w:r>
      <w:r w:rsidR="00D66D8B" w:rsidRPr="00664E06">
        <w:t>(b)</w:t>
      </w:r>
      <w:r w:rsidR="006B3A38" w:rsidRPr="00664E06">
        <w:t>.</w:t>
      </w:r>
      <w:r w:rsidR="009439BA" w:rsidRPr="00664E06">
        <w:t xml:space="preserve"> </w:t>
      </w:r>
      <w:r w:rsidR="000154C7" w:rsidRPr="00664E06">
        <w:t xml:space="preserve">Immunoblots were re-probed for </w:t>
      </w:r>
      <w:r w:rsidR="009439BA" w:rsidRPr="00664E06">
        <w:t>Gapdh</w:t>
      </w:r>
      <w:r w:rsidR="000154C7" w:rsidRPr="00664E06">
        <w:t xml:space="preserve"> which </w:t>
      </w:r>
      <w:r w:rsidR="009439BA" w:rsidRPr="00664E06">
        <w:t>was used as a loading control.</w:t>
      </w:r>
    </w:p>
    <w:p w14:paraId="1309D013" w14:textId="3445B7D4" w:rsidR="006B3A38" w:rsidRPr="00703428" w:rsidRDefault="00D579A4" w:rsidP="006B3A38">
      <w:pPr>
        <w:rPr>
          <w:lang w:val="en-US"/>
        </w:rPr>
      </w:pPr>
      <w:r w:rsidRPr="001E5E11">
        <w:rPr>
          <w:noProof/>
          <w:lang w:val="en-US"/>
        </w:rPr>
        <w:drawing>
          <wp:inline distT="0" distB="0" distL="0" distR="0" wp14:anchorId="71AA1BEA" wp14:editId="7AE4DF15">
            <wp:extent cx="5760720" cy="47669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6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0194E" w14:textId="48C3AB3E" w:rsidR="00B30404" w:rsidRPr="00664E06" w:rsidRDefault="00610ACD" w:rsidP="00610ACD">
      <w:pPr>
        <w:pStyle w:val="MDPI51figurecaption"/>
      </w:pPr>
      <w:bookmarkStart w:id="0" w:name="_GoBack"/>
      <w:bookmarkEnd w:id="0"/>
      <w:r w:rsidRPr="00610ACD">
        <w:rPr>
          <w:b/>
        </w:rPr>
        <w:t xml:space="preserve">Figure </w:t>
      </w:r>
      <w:r>
        <w:rPr>
          <w:b/>
        </w:rPr>
        <w:t>S</w:t>
      </w:r>
      <w:r w:rsidRPr="00610ACD">
        <w:rPr>
          <w:b/>
        </w:rPr>
        <w:t xml:space="preserve">4. </w:t>
      </w:r>
      <w:r w:rsidR="004D348C" w:rsidRPr="00664E06">
        <w:t>Importance of TRAF4 for the cleavage of CD44 in H1299 cells and e</w:t>
      </w:r>
      <w:r w:rsidR="000664FF" w:rsidRPr="00664E06">
        <w:t xml:space="preserve">xpression of TRAF family members in lung cancer and glioma cells. </w:t>
      </w:r>
      <w:r w:rsidR="009439BA" w:rsidRPr="00664E06">
        <w:t>(a</w:t>
      </w:r>
      <w:r w:rsidR="00986EB9" w:rsidRPr="00664E06">
        <w:t>, b</w:t>
      </w:r>
      <w:r w:rsidR="009439BA" w:rsidRPr="00664E06">
        <w:t xml:space="preserve">), </w:t>
      </w:r>
      <w:r w:rsidR="00986EB9" w:rsidRPr="00664E06">
        <w:t>mRNA levels of TRAF family members in A549 cells and U251MG cells (b) stimulated or not with TGF</w:t>
      </w:r>
      <w:r w:rsidR="00986EB9" w:rsidRPr="00664E06">
        <w:rPr>
          <w:rFonts w:ascii="Symbol" w:hAnsi="Symbol"/>
        </w:rPr>
        <w:t></w:t>
      </w:r>
      <w:r w:rsidR="00986EB9" w:rsidRPr="00664E06">
        <w:t xml:space="preserve"> for 24 h, were determined by real-time qPCR and normalized to </w:t>
      </w:r>
      <w:r w:rsidR="00986EB9" w:rsidRPr="00664E06">
        <w:rPr>
          <w:i/>
        </w:rPr>
        <w:t>TBP</w:t>
      </w:r>
      <w:r w:rsidR="00986EB9" w:rsidRPr="00664E06">
        <w:t xml:space="preserve">. (c), </w:t>
      </w:r>
      <w:r w:rsidR="00CE5743" w:rsidRPr="00664E06">
        <w:t xml:space="preserve">Lysates from </w:t>
      </w:r>
      <w:r w:rsidR="009439BA" w:rsidRPr="00664E06">
        <w:t>H1299 cells</w:t>
      </w:r>
      <w:r w:rsidR="00CE5743" w:rsidRPr="00664E06">
        <w:t>,</w:t>
      </w:r>
      <w:r w:rsidR="009439BA" w:rsidRPr="00664E06">
        <w:t xml:space="preserve"> transfected</w:t>
      </w:r>
      <w:r w:rsidR="00CE5743" w:rsidRPr="00664E06">
        <w:t xml:space="preserve"> or not</w:t>
      </w:r>
      <w:r w:rsidR="009439BA" w:rsidRPr="00664E06">
        <w:t xml:space="preserve"> with </w:t>
      </w:r>
      <w:r w:rsidR="009439BA" w:rsidRPr="00664E06">
        <w:rPr>
          <w:i/>
        </w:rPr>
        <w:t>TRAF4</w:t>
      </w:r>
      <w:r w:rsidR="009439BA" w:rsidRPr="00664E06">
        <w:t xml:space="preserve"> </w:t>
      </w:r>
      <w:r w:rsidR="00CE5743" w:rsidRPr="00664E06">
        <w:t>siRNA, and stimulated or not with TGF</w:t>
      </w:r>
      <w:r w:rsidR="00CE5743" w:rsidRPr="00664E06">
        <w:rPr>
          <w:rFonts w:cstheme="minorHAnsi"/>
        </w:rPr>
        <w:t>β</w:t>
      </w:r>
      <w:r w:rsidR="00CE5743" w:rsidRPr="00664E06">
        <w:t xml:space="preserve"> for 24 h,</w:t>
      </w:r>
      <w:r w:rsidR="000154C7" w:rsidRPr="00664E06">
        <w:t xml:space="preserve"> </w:t>
      </w:r>
      <w:r w:rsidR="00CE5743" w:rsidRPr="00664E06">
        <w:t>were subjected to immunoblotting for CD44 FL and TM-ICD; GAPDH and tubulin served as loading controls</w:t>
      </w:r>
      <w:r w:rsidR="009439BA" w:rsidRPr="00664E06">
        <w:t>. (d) depicts the silencing efficiency of TRAF4 and CD44</w:t>
      </w:r>
      <w:r w:rsidR="008022F3" w:rsidRPr="00664E06">
        <w:t xml:space="preserve"> in A549 cells untreated or treated with TGF</w:t>
      </w:r>
      <w:r w:rsidR="008022F3" w:rsidRPr="00664E06">
        <w:rPr>
          <w:rFonts w:cstheme="minorHAnsi"/>
        </w:rPr>
        <w:t>β</w:t>
      </w:r>
      <w:r w:rsidR="009439BA" w:rsidRPr="00664E06">
        <w:t>.</w:t>
      </w:r>
      <w:r w:rsidR="00FD6DC5" w:rsidRPr="00664E06">
        <w:t xml:space="preserve"> *p&lt;0.05, ***p&lt;0.001.</w:t>
      </w:r>
    </w:p>
    <w:p w14:paraId="617A6CA7" w14:textId="77777777" w:rsidR="008277B8" w:rsidRDefault="00DF49F6" w:rsidP="00DF49F6">
      <w:pPr>
        <w:rPr>
          <w:lang w:val="en-US"/>
        </w:rPr>
      </w:pPr>
      <w:r w:rsidRPr="00DF49F6">
        <w:rPr>
          <w:noProof/>
          <w:lang w:eastAsia="sv-SE"/>
        </w:rPr>
        <w:lastRenderedPageBreak/>
        <w:drawing>
          <wp:inline distT="0" distB="0" distL="0" distR="0" wp14:anchorId="56F69357" wp14:editId="4C7F4E6A">
            <wp:extent cx="5760720" cy="323469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71B4F" w14:textId="0A194CDC" w:rsidR="00DF49F6" w:rsidRPr="00664E06" w:rsidRDefault="00610ACD" w:rsidP="00610ACD">
      <w:pPr>
        <w:pStyle w:val="MDPI51figurecaption"/>
      </w:pPr>
      <w:r w:rsidRPr="00610ACD">
        <w:rPr>
          <w:b/>
          <w:bCs/>
        </w:rPr>
        <w:t xml:space="preserve">Figure </w:t>
      </w:r>
      <w:r>
        <w:rPr>
          <w:b/>
          <w:bCs/>
        </w:rPr>
        <w:t>S</w:t>
      </w:r>
      <w:r w:rsidRPr="00610ACD">
        <w:rPr>
          <w:b/>
          <w:bCs/>
        </w:rPr>
        <w:t xml:space="preserve">5. </w:t>
      </w:r>
      <w:r w:rsidR="00DF49F6" w:rsidRPr="00664E06">
        <w:rPr>
          <w:b/>
          <w:bCs/>
        </w:rPr>
        <w:t>TRAF4 is required for TGF</w:t>
      </w:r>
      <w:r w:rsidR="00DF49F6" w:rsidRPr="00664E06">
        <w:rPr>
          <w:rFonts w:cstheme="minorHAnsi"/>
          <w:b/>
          <w:bCs/>
        </w:rPr>
        <w:t>β</w:t>
      </w:r>
      <w:r w:rsidR="00DF49F6" w:rsidRPr="00664E06">
        <w:rPr>
          <w:b/>
          <w:bCs/>
        </w:rPr>
        <w:t xml:space="preserve">-induced RAC1 activity and subsequent CD44 cleavage in H1299. </w:t>
      </w:r>
      <w:r w:rsidR="00DF49F6" w:rsidRPr="00664E06">
        <w:t>(</w:t>
      </w:r>
      <w:r w:rsidR="00DF49F6" w:rsidRPr="00664E06">
        <w:rPr>
          <w:b/>
        </w:rPr>
        <w:t>a</w:t>
      </w:r>
      <w:r w:rsidR="00DF49F6" w:rsidRPr="00664E06">
        <w:t>), H1299 cells were stimulated with TGF</w:t>
      </w:r>
      <w:r w:rsidR="00DF49F6" w:rsidRPr="00664E06">
        <w:rPr>
          <w:rFonts w:ascii="Symbol" w:hAnsi="Symbol"/>
        </w:rPr>
        <w:t></w:t>
      </w:r>
      <w:r w:rsidR="00DF49F6" w:rsidRPr="00664E06">
        <w:t xml:space="preserve"> (5 ng/ml) for the indicated time periods and RAC1 activity was determined after pull-down with GST-PAK1, followed by immunoblotting for RAC1 and GST-PAK1; </w:t>
      </w:r>
      <w:r w:rsidR="00FE63FF" w:rsidRPr="00664E06">
        <w:t>W</w:t>
      </w:r>
      <w:r w:rsidR="00DF49F6" w:rsidRPr="00664E06">
        <w:t>hole cell lysate was immunoblotted for RAC1. (</w:t>
      </w:r>
      <w:r w:rsidR="00DF49F6" w:rsidRPr="00664E06">
        <w:rPr>
          <w:b/>
        </w:rPr>
        <w:t>b</w:t>
      </w:r>
      <w:r w:rsidR="00DF49F6" w:rsidRPr="00664E06">
        <w:t xml:space="preserve">), H1299 cells were transfected with non-targeting siRNA (siCtrl) or </w:t>
      </w:r>
      <w:r w:rsidR="00DF49F6" w:rsidRPr="00664E06">
        <w:rPr>
          <w:i/>
        </w:rPr>
        <w:t>TRAF4</w:t>
      </w:r>
      <w:r w:rsidR="00DF49F6" w:rsidRPr="00664E06">
        <w:t xml:space="preserve"> siRNA, and treated with TGF</w:t>
      </w:r>
      <w:r w:rsidR="00DF49F6" w:rsidRPr="00664E06">
        <w:rPr>
          <w:rFonts w:cstheme="minorHAnsi"/>
        </w:rPr>
        <w:t>β</w:t>
      </w:r>
      <w:r w:rsidR="00DF49F6" w:rsidRPr="00664E06">
        <w:t xml:space="preserve"> (5 ng/ml) for 2 h. RAC1 activity was determined as in panel a. (</w:t>
      </w:r>
      <w:r w:rsidR="00DF49F6" w:rsidRPr="00664E06">
        <w:rPr>
          <w:b/>
        </w:rPr>
        <w:t>c</w:t>
      </w:r>
      <w:r w:rsidR="00DF49F6" w:rsidRPr="00664E06">
        <w:t xml:space="preserve">), H1299 cells were transfected with </w:t>
      </w:r>
      <w:r w:rsidR="00FE63FF" w:rsidRPr="00664E06">
        <w:t xml:space="preserve">either empty vector or various </w:t>
      </w:r>
      <w:r w:rsidR="00DF49F6" w:rsidRPr="00664E06">
        <w:t xml:space="preserve">amounts of </w:t>
      </w:r>
      <w:r w:rsidR="00FE63FF" w:rsidRPr="00664E06">
        <w:t xml:space="preserve">a </w:t>
      </w:r>
      <w:r w:rsidR="00DF49F6" w:rsidRPr="00664E06">
        <w:t xml:space="preserve">RAC1 dominant </w:t>
      </w:r>
      <w:r w:rsidR="00FE63FF" w:rsidRPr="00664E06">
        <w:t xml:space="preserve">negative mutant (MYC-RAC1 N17) in the presence or absence of </w:t>
      </w:r>
      <w:r w:rsidR="00DF49F6" w:rsidRPr="00664E06">
        <w:t>TGF</w:t>
      </w:r>
      <w:r w:rsidR="00DF49F6" w:rsidRPr="00664E06">
        <w:rPr>
          <w:rFonts w:cstheme="minorHAnsi"/>
        </w:rPr>
        <w:t>β</w:t>
      </w:r>
      <w:r w:rsidR="00DF49F6" w:rsidRPr="00664E06">
        <w:t xml:space="preserve"> for 24 h. Cell lysates were subjected to immunoblotting for FL CD44 and CD44 TM-ICD. GAPDH was used as loading control. CD44 TM-ICD bands were determined using the ImageJ software and normalized to GAPDH; values are shown as fold-difference.</w:t>
      </w:r>
    </w:p>
    <w:p w14:paraId="5C842243" w14:textId="77777777" w:rsidR="008635B1" w:rsidRDefault="008635B1" w:rsidP="00DF49F6">
      <w:pPr>
        <w:rPr>
          <w:lang w:val="en-US"/>
        </w:rPr>
      </w:pPr>
      <w:r w:rsidRPr="008635B1">
        <w:rPr>
          <w:noProof/>
          <w:lang w:eastAsia="sv-SE"/>
        </w:rPr>
        <w:drawing>
          <wp:inline distT="0" distB="0" distL="0" distR="0" wp14:anchorId="4AF0223B" wp14:editId="795E1695">
            <wp:extent cx="2458458" cy="2187526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5007" cy="2193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33A6E" w14:textId="4B9870F5" w:rsidR="00FD6DC5" w:rsidRPr="00664E06" w:rsidRDefault="00610ACD" w:rsidP="00610ACD">
      <w:pPr>
        <w:pStyle w:val="MDPI51figurecaption"/>
      </w:pPr>
      <w:r w:rsidRPr="00610ACD">
        <w:rPr>
          <w:b/>
          <w:bCs/>
        </w:rPr>
        <w:t xml:space="preserve">Figure 6. </w:t>
      </w:r>
      <w:r w:rsidR="00A053B4" w:rsidRPr="00664E06">
        <w:rPr>
          <w:b/>
          <w:bCs/>
        </w:rPr>
        <w:t>Knock-down of CD44 decrease cell motility of</w:t>
      </w:r>
      <w:r w:rsidR="008635B1" w:rsidRPr="00664E06">
        <w:rPr>
          <w:b/>
          <w:bCs/>
        </w:rPr>
        <w:t xml:space="preserve"> H1299</w:t>
      </w:r>
      <w:r w:rsidR="00A053B4" w:rsidRPr="00664E06">
        <w:rPr>
          <w:b/>
          <w:bCs/>
        </w:rPr>
        <w:t xml:space="preserve"> cells</w:t>
      </w:r>
      <w:r w:rsidR="008635B1" w:rsidRPr="00664E06">
        <w:rPr>
          <w:b/>
          <w:bCs/>
        </w:rPr>
        <w:t xml:space="preserve">. </w:t>
      </w:r>
      <w:r w:rsidR="00A053B4" w:rsidRPr="00664E06">
        <w:t>W</w:t>
      </w:r>
      <w:r w:rsidR="008635B1" w:rsidRPr="00664E06">
        <w:t>ound healing assay was performed</w:t>
      </w:r>
      <w:r w:rsidR="00A053B4" w:rsidRPr="00664E06">
        <w:t xml:space="preserve"> on cells transfected with control siRNA or siRNAs targeting </w:t>
      </w:r>
      <w:r w:rsidR="00A053B4" w:rsidRPr="00664E06">
        <w:rPr>
          <w:i/>
        </w:rPr>
        <w:t>TRAF4</w:t>
      </w:r>
      <w:r w:rsidR="00A053B4" w:rsidRPr="00664E06">
        <w:t xml:space="preserve"> or </w:t>
      </w:r>
      <w:r w:rsidR="00A053B4" w:rsidRPr="00664E06">
        <w:rPr>
          <w:i/>
        </w:rPr>
        <w:t>CD44</w:t>
      </w:r>
      <w:r w:rsidR="008635B1" w:rsidRPr="00664E06">
        <w:t>. The results are shown as percentage of wound closure and demonstrate average values ± SEM out of at least three independent experiments. Asterisks illustrate significant differences between the con</w:t>
      </w:r>
      <w:r w:rsidR="00FD6DC5" w:rsidRPr="00664E06">
        <w:t>ditions indicated with lines; *p&lt;0.05</w:t>
      </w:r>
      <w:r>
        <w:t>.</w:t>
      </w:r>
    </w:p>
    <w:p w14:paraId="4D58CB5B" w14:textId="77777777" w:rsidR="00610ACD" w:rsidRDefault="00610ACD" w:rsidP="00E07DEC">
      <w:pPr>
        <w:spacing w:after="0" w:line="240" w:lineRule="auto"/>
        <w:jc w:val="both"/>
        <w:rPr>
          <w:rFonts w:ascii="Palatino Linotype" w:eastAsia="宋体" w:hAnsi="Palatino Linotype" w:cs="Calibri"/>
          <w:b/>
          <w:noProof/>
          <w:color w:val="000000"/>
          <w:sz w:val="20"/>
          <w:szCs w:val="20"/>
          <w:lang w:val="en-US" w:eastAsia="zh-CN"/>
        </w:rPr>
      </w:pPr>
    </w:p>
    <w:p w14:paraId="1FE0D753" w14:textId="77777777" w:rsidR="00610ACD" w:rsidRDefault="00610ACD" w:rsidP="00E07DEC">
      <w:pPr>
        <w:spacing w:after="0" w:line="240" w:lineRule="auto"/>
        <w:jc w:val="both"/>
        <w:rPr>
          <w:rFonts w:ascii="Palatino Linotype" w:eastAsia="宋体" w:hAnsi="Palatino Linotype" w:cs="Calibri"/>
          <w:b/>
          <w:noProof/>
          <w:color w:val="000000"/>
          <w:sz w:val="20"/>
          <w:szCs w:val="20"/>
          <w:lang w:val="en-US" w:eastAsia="zh-CN"/>
        </w:rPr>
      </w:pPr>
    </w:p>
    <w:p w14:paraId="66EC564B" w14:textId="01A2A30F" w:rsidR="00E07DEC" w:rsidRPr="007C7B7E" w:rsidRDefault="00610ACD" w:rsidP="00610ACD">
      <w:pPr>
        <w:spacing w:after="0" w:line="240" w:lineRule="auto"/>
        <w:jc w:val="center"/>
        <w:rPr>
          <w:rFonts w:ascii="Palatino Linotype" w:eastAsia="宋体" w:hAnsi="Palatino Linotype" w:cs="Calibri"/>
          <w:b/>
          <w:noProof/>
          <w:color w:val="000000"/>
          <w:sz w:val="20"/>
          <w:szCs w:val="20"/>
          <w:lang w:val="en-US" w:eastAsia="zh-CN"/>
        </w:rPr>
      </w:pPr>
      <w:r>
        <w:rPr>
          <w:rFonts w:ascii="Palatino Linotype" w:eastAsia="宋体" w:hAnsi="Palatino Linotype" w:cs="Calibri"/>
          <w:b/>
          <w:noProof/>
          <w:color w:val="000000"/>
          <w:sz w:val="20"/>
          <w:szCs w:val="20"/>
          <w:lang w:val="en-US" w:eastAsia="zh-CN"/>
        </w:rPr>
        <w:lastRenderedPageBreak/>
        <w:t xml:space="preserve">Table 1. </w:t>
      </w:r>
      <w:r w:rsidR="00E07DEC" w:rsidRPr="007C7B7E">
        <w:rPr>
          <w:rFonts w:ascii="Palatino Linotype" w:eastAsia="宋体" w:hAnsi="Palatino Linotype" w:cs="Calibri"/>
          <w:b/>
          <w:noProof/>
          <w:color w:val="000000"/>
          <w:sz w:val="20"/>
          <w:szCs w:val="20"/>
          <w:lang w:val="en-US" w:eastAsia="zh-CN"/>
        </w:rPr>
        <w:t>Primers used in this study</w:t>
      </w:r>
      <w:r>
        <w:rPr>
          <w:rFonts w:ascii="Palatino Linotype" w:eastAsia="宋体" w:hAnsi="Palatino Linotype" w:cs="Calibri"/>
          <w:b/>
          <w:noProof/>
          <w:color w:val="000000"/>
          <w:sz w:val="20"/>
          <w:szCs w:val="20"/>
          <w:lang w:val="en-US" w:eastAsia="zh-CN"/>
        </w:rPr>
        <w:t>.</w:t>
      </w:r>
    </w:p>
    <w:tbl>
      <w:tblPr>
        <w:tblStyle w:val="PlainTable41"/>
        <w:tblW w:w="11564" w:type="dxa"/>
        <w:jc w:val="center"/>
        <w:tblLook w:val="04A0" w:firstRow="1" w:lastRow="0" w:firstColumn="1" w:lastColumn="0" w:noHBand="0" w:noVBand="1"/>
      </w:tblPr>
      <w:tblGrid>
        <w:gridCol w:w="2404"/>
        <w:gridCol w:w="4508"/>
        <w:gridCol w:w="4652"/>
      </w:tblGrid>
      <w:tr w:rsidR="00E07DEC" w:rsidRPr="00632AF6" w14:paraId="3E409CA8" w14:textId="77777777" w:rsidTr="00632A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2FB9D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Gene</w:t>
            </w:r>
          </w:p>
        </w:tc>
        <w:tc>
          <w:tcPr>
            <w:tcW w:w="4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BB184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5’ Primer sequence</w:t>
            </w:r>
          </w:p>
        </w:tc>
        <w:tc>
          <w:tcPr>
            <w:tcW w:w="4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5FBFB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3’ Primer sequence</w:t>
            </w:r>
          </w:p>
        </w:tc>
      </w:tr>
      <w:tr w:rsidR="00E07DEC" w:rsidRPr="00632AF6" w14:paraId="0D1F1A7A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tcBorders>
              <w:top w:val="single" w:sz="4" w:space="0" w:color="auto"/>
            </w:tcBorders>
            <w:vAlign w:val="center"/>
          </w:tcPr>
          <w:p w14:paraId="4FC6B604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TBP</w:t>
            </w:r>
          </w:p>
        </w:tc>
        <w:tc>
          <w:tcPr>
            <w:tcW w:w="4508" w:type="dxa"/>
            <w:tcBorders>
              <w:top w:val="single" w:sz="4" w:space="0" w:color="auto"/>
            </w:tcBorders>
            <w:vAlign w:val="center"/>
          </w:tcPr>
          <w:p w14:paraId="1541A141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TGGCGTGTGAAGATAACCCAA</w:t>
            </w: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14:paraId="11D40060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TCTTGGCAAACCAGAAACCCT</w:t>
            </w:r>
          </w:p>
        </w:tc>
      </w:tr>
      <w:tr w:rsidR="00E07DEC" w:rsidRPr="00632AF6" w14:paraId="2D820978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7D476540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CD44S</w:t>
            </w:r>
          </w:p>
        </w:tc>
        <w:tc>
          <w:tcPr>
            <w:tcW w:w="4508" w:type="dxa"/>
            <w:vAlign w:val="center"/>
          </w:tcPr>
          <w:p w14:paraId="37044B86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ATAATAAAGGAGCAGCACTTCAGGA</w:t>
            </w:r>
          </w:p>
        </w:tc>
        <w:tc>
          <w:tcPr>
            <w:tcW w:w="4652" w:type="dxa"/>
            <w:vAlign w:val="center"/>
          </w:tcPr>
          <w:p w14:paraId="3AD2368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ATAATTGTGTCTTGGTCTCTGGTAGC</w:t>
            </w:r>
          </w:p>
        </w:tc>
      </w:tr>
      <w:tr w:rsidR="00E07DEC" w:rsidRPr="00632AF6" w14:paraId="50B321FB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70B21E2D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CD44V2</w:t>
            </w:r>
          </w:p>
        </w:tc>
        <w:tc>
          <w:tcPr>
            <w:tcW w:w="4508" w:type="dxa"/>
            <w:vAlign w:val="center"/>
          </w:tcPr>
          <w:p w14:paraId="7C3C9F87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ATAATCAGCAACTGAGACAGCAACCAA</w:t>
            </w:r>
          </w:p>
        </w:tc>
        <w:tc>
          <w:tcPr>
            <w:tcW w:w="4652" w:type="dxa"/>
            <w:vAlign w:val="center"/>
          </w:tcPr>
          <w:p w14:paraId="3CC0EF8F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ATTATAACCAATCCCAGGTTTCTTGCC</w:t>
            </w:r>
          </w:p>
        </w:tc>
      </w:tr>
      <w:tr w:rsidR="00E07DEC" w:rsidRPr="00632AF6" w14:paraId="3CE54E0A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032B7CA5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CD44V3</w:t>
            </w:r>
          </w:p>
        </w:tc>
        <w:tc>
          <w:tcPr>
            <w:tcW w:w="4508" w:type="dxa"/>
            <w:vAlign w:val="center"/>
          </w:tcPr>
          <w:p w14:paraId="36596CFB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ATAATGGCTGGGAGCCAAATGAAGAAA</w:t>
            </w:r>
          </w:p>
        </w:tc>
        <w:tc>
          <w:tcPr>
            <w:tcW w:w="4652" w:type="dxa"/>
            <w:vAlign w:val="center"/>
          </w:tcPr>
          <w:p w14:paraId="1FB6A504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ATAATCATCATCATCAATGCCTGATCCAGA</w:t>
            </w:r>
          </w:p>
        </w:tc>
      </w:tr>
      <w:tr w:rsidR="00E07DEC" w:rsidRPr="00632AF6" w14:paraId="293B8057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43EFA954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CD44V4</w:t>
            </w:r>
          </w:p>
        </w:tc>
        <w:tc>
          <w:tcPr>
            <w:tcW w:w="4508" w:type="dxa"/>
            <w:vAlign w:val="center"/>
          </w:tcPr>
          <w:p w14:paraId="5C3FD13B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ATAATCAGTGGAACCCAAGCATTCAA</w:t>
            </w:r>
          </w:p>
        </w:tc>
        <w:tc>
          <w:tcPr>
            <w:tcW w:w="4652" w:type="dxa"/>
            <w:vAlign w:val="center"/>
          </w:tcPr>
          <w:p w14:paraId="174ABCD9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ATAATCCTTGTGGTTGTCTGAAGTAGCAC</w:t>
            </w:r>
          </w:p>
        </w:tc>
      </w:tr>
      <w:tr w:rsidR="00E07DEC" w:rsidRPr="00632AF6" w14:paraId="763A85A2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6AB74339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CD44V5</w:t>
            </w:r>
          </w:p>
        </w:tc>
        <w:tc>
          <w:tcPr>
            <w:tcW w:w="4508" w:type="dxa"/>
            <w:vAlign w:val="center"/>
          </w:tcPr>
          <w:p w14:paraId="139AD5B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ATAATGAAACTGGAACCCAGAAGCACA</w:t>
            </w:r>
          </w:p>
        </w:tc>
        <w:tc>
          <w:tcPr>
            <w:tcW w:w="4652" w:type="dxa"/>
            <w:vAlign w:val="center"/>
          </w:tcPr>
          <w:p w14:paraId="3604EE66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ATAATTGATGCTCATGGTGAATGAGGG</w:t>
            </w:r>
          </w:p>
        </w:tc>
      </w:tr>
      <w:tr w:rsidR="00E07DEC" w:rsidRPr="00632AF6" w14:paraId="079D78B8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3E259C1A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CD44V6</w:t>
            </w:r>
          </w:p>
        </w:tc>
        <w:tc>
          <w:tcPr>
            <w:tcW w:w="4508" w:type="dxa"/>
            <w:vAlign w:val="center"/>
          </w:tcPr>
          <w:p w14:paraId="43E25BD9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ATAATCAGAAGGAACAGTGGTTTGGCA</w:t>
            </w:r>
          </w:p>
        </w:tc>
        <w:tc>
          <w:tcPr>
            <w:tcW w:w="4652" w:type="dxa"/>
            <w:vAlign w:val="center"/>
          </w:tcPr>
          <w:p w14:paraId="5DEA7BD5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ATAATGTCTTCTTTGGGTGTTTGGCGA</w:t>
            </w:r>
          </w:p>
        </w:tc>
      </w:tr>
      <w:tr w:rsidR="00E07DEC" w:rsidRPr="00632AF6" w14:paraId="2255328F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3F2CD242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CD44V7</w:t>
            </w:r>
          </w:p>
        </w:tc>
        <w:tc>
          <w:tcPr>
            <w:tcW w:w="4508" w:type="dxa"/>
            <w:vAlign w:val="center"/>
          </w:tcPr>
          <w:p w14:paraId="358AF649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Calibri"/>
                <w:noProof/>
                <w:sz w:val="18"/>
                <w:szCs w:val="18"/>
              </w:rPr>
            </w:pPr>
            <w:r w:rsidRPr="00632AF6">
              <w:rPr>
                <w:rFonts w:eastAsia="Arial Unicode MS" w:cs="Calibri"/>
                <w:noProof/>
                <w:sz w:val="18"/>
                <w:szCs w:val="18"/>
              </w:rPr>
              <w:t>ATAATTGCAAGGAAGGACAACACCAAG</w:t>
            </w:r>
          </w:p>
        </w:tc>
        <w:tc>
          <w:tcPr>
            <w:tcW w:w="4652" w:type="dxa"/>
            <w:vAlign w:val="center"/>
          </w:tcPr>
          <w:p w14:paraId="2F170CDC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ATAATGGGTGTGAGATTGGGTTGAAGA</w:t>
            </w:r>
          </w:p>
        </w:tc>
      </w:tr>
      <w:tr w:rsidR="00E07DEC" w:rsidRPr="00632AF6" w14:paraId="775DF782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39815B3C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CD44V8</w:t>
            </w:r>
          </w:p>
        </w:tc>
        <w:tc>
          <w:tcPr>
            <w:tcW w:w="4508" w:type="dxa"/>
            <w:vAlign w:val="center"/>
          </w:tcPr>
          <w:p w14:paraId="3295EAFC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ATAATACGCTTCAGCCTACTGCAAA</w:t>
            </w:r>
          </w:p>
        </w:tc>
        <w:tc>
          <w:tcPr>
            <w:tcW w:w="4652" w:type="dxa"/>
            <w:vAlign w:val="center"/>
          </w:tcPr>
          <w:p w14:paraId="3C64856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ATAATAAGAGGTCCTGTCCTGTCCAAA</w:t>
            </w:r>
          </w:p>
        </w:tc>
      </w:tr>
      <w:tr w:rsidR="00E07DEC" w:rsidRPr="00632AF6" w14:paraId="5DCD3AC6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6AED408B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CD44V9</w:t>
            </w:r>
          </w:p>
        </w:tc>
        <w:tc>
          <w:tcPr>
            <w:tcW w:w="4508" w:type="dxa"/>
            <w:vAlign w:val="center"/>
          </w:tcPr>
          <w:p w14:paraId="2AD1FA5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ATAATGAGCTTCTCTACATCACATGAAGGC</w:t>
            </w:r>
          </w:p>
        </w:tc>
        <w:tc>
          <w:tcPr>
            <w:tcW w:w="4652" w:type="dxa"/>
            <w:vAlign w:val="center"/>
          </w:tcPr>
          <w:p w14:paraId="547D164C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ATAATGTCAGAGTAGAAGTTGTTGGATGGTC</w:t>
            </w:r>
          </w:p>
        </w:tc>
      </w:tr>
      <w:tr w:rsidR="00E07DEC" w:rsidRPr="00632AF6" w14:paraId="7C058A43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25549D9D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CD44V10</w:t>
            </w:r>
          </w:p>
        </w:tc>
        <w:tc>
          <w:tcPr>
            <w:tcW w:w="4508" w:type="dxa"/>
            <w:vAlign w:val="center"/>
          </w:tcPr>
          <w:p w14:paraId="3A2F6827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ATAATACCTCTCATTACCCACACACGA</w:t>
            </w:r>
          </w:p>
        </w:tc>
        <w:tc>
          <w:tcPr>
            <w:tcW w:w="4652" w:type="dxa"/>
            <w:vAlign w:val="center"/>
          </w:tcPr>
          <w:p w14:paraId="47BB6B05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ATAATTAGCTGAGGTCACTGGGATGAA</w:t>
            </w:r>
          </w:p>
        </w:tc>
      </w:tr>
      <w:tr w:rsidR="00E07DEC" w:rsidRPr="00632AF6" w14:paraId="41466554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7B96184F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 xml:space="preserve">CD44 </w:t>
            </w:r>
            <w:r w:rsidRPr="00632AF6">
              <w:rPr>
                <w:rFonts w:cs="Calibri"/>
                <w:noProof/>
                <w:sz w:val="18"/>
                <w:szCs w:val="18"/>
              </w:rPr>
              <w:t>total</w:t>
            </w:r>
          </w:p>
        </w:tc>
        <w:tc>
          <w:tcPr>
            <w:tcW w:w="4508" w:type="dxa"/>
            <w:vAlign w:val="center"/>
          </w:tcPr>
          <w:p w14:paraId="482F8529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ATAATTGCCGCTTTGCAGGTGTATT</w:t>
            </w:r>
          </w:p>
        </w:tc>
        <w:tc>
          <w:tcPr>
            <w:tcW w:w="4652" w:type="dxa"/>
            <w:vAlign w:val="center"/>
          </w:tcPr>
          <w:p w14:paraId="6214567A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ATAATGGCAAGGTGCTATTGAAAGCCT</w:t>
            </w:r>
          </w:p>
        </w:tc>
      </w:tr>
      <w:tr w:rsidR="00E07DEC" w:rsidRPr="00632AF6" w14:paraId="76735BA1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44AA2DA5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NANOG</w:t>
            </w:r>
          </w:p>
        </w:tc>
        <w:tc>
          <w:tcPr>
            <w:tcW w:w="4508" w:type="dxa"/>
            <w:vAlign w:val="center"/>
          </w:tcPr>
          <w:p w14:paraId="4FA5DC85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GCTGGTTGCCTCATGTTATTATGC</w:t>
            </w:r>
          </w:p>
        </w:tc>
        <w:tc>
          <w:tcPr>
            <w:tcW w:w="4652" w:type="dxa"/>
            <w:vAlign w:val="center"/>
          </w:tcPr>
          <w:p w14:paraId="2909C265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CCATGGAGGAAGGAAGAGGAGAGA</w:t>
            </w:r>
          </w:p>
        </w:tc>
      </w:tr>
      <w:tr w:rsidR="00E07DEC" w:rsidRPr="00632AF6" w14:paraId="41013027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428F1F82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POUF5F1</w:t>
            </w:r>
          </w:p>
        </w:tc>
        <w:tc>
          <w:tcPr>
            <w:tcW w:w="4508" w:type="dxa"/>
            <w:vAlign w:val="center"/>
          </w:tcPr>
          <w:p w14:paraId="07B886FC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AGCAAAACCCGGAGGAGT</w:t>
            </w:r>
          </w:p>
        </w:tc>
        <w:tc>
          <w:tcPr>
            <w:tcW w:w="4652" w:type="dxa"/>
            <w:vAlign w:val="center"/>
          </w:tcPr>
          <w:p w14:paraId="4D1F3355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CCACATCGGCCTGTGTATATC</w:t>
            </w:r>
          </w:p>
        </w:tc>
      </w:tr>
      <w:tr w:rsidR="00E07DEC" w:rsidRPr="00632AF6" w14:paraId="56C18ED7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65A10DB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SOX2</w:t>
            </w:r>
          </w:p>
        </w:tc>
        <w:tc>
          <w:tcPr>
            <w:tcW w:w="4508" w:type="dxa"/>
            <w:vAlign w:val="center"/>
          </w:tcPr>
          <w:p w14:paraId="6E977B71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GCCTGGGCGCCGAGTGGA</w:t>
            </w:r>
          </w:p>
        </w:tc>
        <w:tc>
          <w:tcPr>
            <w:tcW w:w="4652" w:type="dxa"/>
            <w:vAlign w:val="center"/>
          </w:tcPr>
          <w:p w14:paraId="4467A21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GGGCGAGCCGTTCATGTAGGTCTG</w:t>
            </w:r>
          </w:p>
        </w:tc>
      </w:tr>
      <w:tr w:rsidR="00E07DEC" w:rsidRPr="00632AF6" w14:paraId="54503625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5A91A31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MMP2</w:t>
            </w:r>
          </w:p>
        </w:tc>
        <w:tc>
          <w:tcPr>
            <w:tcW w:w="4508" w:type="dxa"/>
            <w:vAlign w:val="center"/>
          </w:tcPr>
          <w:p w14:paraId="2029E8FF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GTGCTGAAGGACACACTAAAGAAGA</w:t>
            </w:r>
          </w:p>
        </w:tc>
        <w:tc>
          <w:tcPr>
            <w:tcW w:w="4652" w:type="dxa"/>
            <w:vAlign w:val="center"/>
          </w:tcPr>
          <w:p w14:paraId="02DC30FE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TTGCCATCCTTCTCAAAGTTGTAGG</w:t>
            </w:r>
          </w:p>
        </w:tc>
      </w:tr>
      <w:tr w:rsidR="00E07DEC" w:rsidRPr="00632AF6" w14:paraId="252CB6B1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243A1A4A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CCND1</w:t>
            </w:r>
          </w:p>
        </w:tc>
        <w:tc>
          <w:tcPr>
            <w:tcW w:w="4508" w:type="dxa"/>
            <w:vAlign w:val="center"/>
          </w:tcPr>
          <w:p w14:paraId="640F4220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AGCTCCTGTGCTGCGAAGTGGAAA</w:t>
            </w:r>
          </w:p>
        </w:tc>
        <w:tc>
          <w:tcPr>
            <w:tcW w:w="4652" w:type="dxa"/>
            <w:vAlign w:val="center"/>
          </w:tcPr>
          <w:p w14:paraId="3868BD2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AGTGTTCAATGAAATCGTGCGGGGT</w:t>
            </w:r>
          </w:p>
        </w:tc>
      </w:tr>
      <w:tr w:rsidR="00E07DEC" w:rsidRPr="00632AF6" w14:paraId="03647921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3F69690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HAS1</w:t>
            </w:r>
          </w:p>
        </w:tc>
        <w:tc>
          <w:tcPr>
            <w:tcW w:w="4508" w:type="dxa"/>
            <w:vAlign w:val="center"/>
          </w:tcPr>
          <w:p w14:paraId="49EE6138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GGAATAACCTCTTGCAGCAGTTTC</w:t>
            </w:r>
          </w:p>
        </w:tc>
        <w:tc>
          <w:tcPr>
            <w:tcW w:w="4652" w:type="dxa"/>
            <w:vAlign w:val="center"/>
          </w:tcPr>
          <w:p w14:paraId="591485F9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GCCGGTCATCCCCAAAAG</w:t>
            </w:r>
          </w:p>
        </w:tc>
      </w:tr>
      <w:tr w:rsidR="00E07DEC" w:rsidRPr="00632AF6" w14:paraId="4240260B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40878808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HAS2</w:t>
            </w:r>
          </w:p>
        </w:tc>
        <w:tc>
          <w:tcPr>
            <w:tcW w:w="4508" w:type="dxa"/>
            <w:vAlign w:val="center"/>
          </w:tcPr>
          <w:p w14:paraId="2A7A78B8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TCGCAACACGTAACGCAAT</w:t>
            </w:r>
          </w:p>
        </w:tc>
        <w:tc>
          <w:tcPr>
            <w:tcW w:w="4652" w:type="dxa"/>
            <w:vAlign w:val="center"/>
          </w:tcPr>
          <w:p w14:paraId="3775EE35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ACTTCTCTTTTTCCACCCCATTT</w:t>
            </w:r>
          </w:p>
        </w:tc>
      </w:tr>
      <w:tr w:rsidR="00E07DEC" w:rsidRPr="00632AF6" w14:paraId="272A6716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32005614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HAS3</w:t>
            </w:r>
          </w:p>
        </w:tc>
        <w:tc>
          <w:tcPr>
            <w:tcW w:w="4508" w:type="dxa"/>
            <w:vAlign w:val="center"/>
          </w:tcPr>
          <w:p w14:paraId="51F30E30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AACAAGTACGACTCATGGATTTCCT</w:t>
            </w:r>
          </w:p>
        </w:tc>
        <w:tc>
          <w:tcPr>
            <w:tcW w:w="4652" w:type="dxa"/>
            <w:vAlign w:val="center"/>
          </w:tcPr>
          <w:p w14:paraId="747427DE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GCCCGCTCCACGTTGA</w:t>
            </w:r>
          </w:p>
        </w:tc>
      </w:tr>
      <w:tr w:rsidR="00E07DEC" w:rsidRPr="00632AF6" w14:paraId="045087E9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20C17F26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HYAL1</w:t>
            </w:r>
          </w:p>
        </w:tc>
        <w:tc>
          <w:tcPr>
            <w:tcW w:w="4508" w:type="dxa"/>
            <w:vAlign w:val="center"/>
          </w:tcPr>
          <w:p w14:paraId="3A37AB9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GATGTCAGTGTCTTCGATGTGGTA</w:t>
            </w:r>
          </w:p>
        </w:tc>
        <w:tc>
          <w:tcPr>
            <w:tcW w:w="4652" w:type="dxa"/>
            <w:vAlign w:val="center"/>
          </w:tcPr>
          <w:p w14:paraId="04BDE6EB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GGGAGCTATAGAAAATTGTCATGTCA</w:t>
            </w:r>
          </w:p>
        </w:tc>
      </w:tr>
      <w:tr w:rsidR="00E07DEC" w:rsidRPr="00632AF6" w14:paraId="1A8F6007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207AB48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HYAL2</w:t>
            </w:r>
          </w:p>
        </w:tc>
        <w:tc>
          <w:tcPr>
            <w:tcW w:w="4508" w:type="dxa"/>
            <w:vAlign w:val="center"/>
          </w:tcPr>
          <w:p w14:paraId="1E6BC847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CTAATGAGGGTTTTGTGAACCAGAATAT</w:t>
            </w:r>
          </w:p>
        </w:tc>
        <w:tc>
          <w:tcPr>
            <w:tcW w:w="4652" w:type="dxa"/>
            <w:vAlign w:val="center"/>
          </w:tcPr>
          <w:p w14:paraId="27EF1899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GCAGAATCGAAGCGTGGATAC</w:t>
            </w:r>
          </w:p>
        </w:tc>
      </w:tr>
      <w:tr w:rsidR="00E07DEC" w:rsidRPr="00632AF6" w14:paraId="75FF4A42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0963BA19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TMEM2</w:t>
            </w:r>
          </w:p>
        </w:tc>
        <w:tc>
          <w:tcPr>
            <w:tcW w:w="4508" w:type="dxa"/>
            <w:vAlign w:val="center"/>
          </w:tcPr>
          <w:p w14:paraId="51E7047B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GGAATAGGACTGACCTTTGCCAG</w:t>
            </w:r>
          </w:p>
        </w:tc>
        <w:tc>
          <w:tcPr>
            <w:tcW w:w="4652" w:type="dxa"/>
            <w:vAlign w:val="center"/>
          </w:tcPr>
          <w:p w14:paraId="26A3D3C1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TTCTGACCACCCTGAAAGCCGT</w:t>
            </w:r>
          </w:p>
        </w:tc>
      </w:tr>
      <w:tr w:rsidR="00E07DEC" w:rsidRPr="00632AF6" w14:paraId="249353F3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5DD0BA30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KIAA1199</w:t>
            </w:r>
          </w:p>
        </w:tc>
        <w:tc>
          <w:tcPr>
            <w:tcW w:w="4508" w:type="dxa"/>
            <w:vAlign w:val="center"/>
          </w:tcPr>
          <w:p w14:paraId="2B83B927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ACCGAGCACATTCCAACTACCG</w:t>
            </w:r>
          </w:p>
        </w:tc>
        <w:tc>
          <w:tcPr>
            <w:tcW w:w="4652" w:type="dxa"/>
            <w:vAlign w:val="center"/>
          </w:tcPr>
          <w:p w14:paraId="7762CE5A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noProof/>
                <w:color w:val="1F497D"/>
                <w:sz w:val="18"/>
                <w:szCs w:val="18"/>
                <w:lang w:eastAsia="sv-SE"/>
              </w:rPr>
            </w:pPr>
            <w:r w:rsidRPr="00632AF6">
              <w:rPr>
                <w:rFonts w:eastAsia="Times New Roman" w:cs="Calibri"/>
                <w:noProof/>
                <w:sz w:val="18"/>
                <w:szCs w:val="18"/>
                <w:lang w:eastAsia="sv-SE"/>
              </w:rPr>
              <w:t>GGCAGAGATGATTGAGAGGAACG</w:t>
            </w:r>
          </w:p>
        </w:tc>
      </w:tr>
      <w:tr w:rsidR="00E07DEC" w:rsidRPr="00632AF6" w14:paraId="02CD9DD8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4308517E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TRAF1</w:t>
            </w:r>
          </w:p>
        </w:tc>
        <w:tc>
          <w:tcPr>
            <w:tcW w:w="4508" w:type="dxa"/>
            <w:vAlign w:val="center"/>
          </w:tcPr>
          <w:p w14:paraId="312B1BCD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CTTGGAGCAGAGGGTGGT</w:t>
            </w:r>
          </w:p>
        </w:tc>
        <w:tc>
          <w:tcPr>
            <w:tcW w:w="4652" w:type="dxa"/>
            <w:vAlign w:val="center"/>
          </w:tcPr>
          <w:p w14:paraId="5DD656D2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GCCTGGTGACATTGGTGAT</w:t>
            </w:r>
          </w:p>
        </w:tc>
      </w:tr>
      <w:tr w:rsidR="00E07DEC" w:rsidRPr="00632AF6" w14:paraId="0C30AD77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252D1BFF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TRAF2</w:t>
            </w:r>
          </w:p>
        </w:tc>
        <w:tc>
          <w:tcPr>
            <w:tcW w:w="4508" w:type="dxa"/>
            <w:vAlign w:val="center"/>
          </w:tcPr>
          <w:p w14:paraId="4E97C5C7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AACATTGTCTGCGTCCTGAACC</w:t>
            </w:r>
          </w:p>
        </w:tc>
        <w:tc>
          <w:tcPr>
            <w:tcW w:w="4652" w:type="dxa"/>
            <w:vAlign w:val="center"/>
          </w:tcPr>
          <w:p w14:paraId="2F8B405B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AGCCATCGCCAGGTCCTTG</w:t>
            </w:r>
          </w:p>
        </w:tc>
      </w:tr>
      <w:tr w:rsidR="00E07DEC" w:rsidRPr="00632AF6" w14:paraId="7A71C274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427B6FDE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TRAF3</w:t>
            </w:r>
          </w:p>
        </w:tc>
        <w:tc>
          <w:tcPr>
            <w:tcW w:w="4508" w:type="dxa"/>
            <w:vAlign w:val="center"/>
          </w:tcPr>
          <w:p w14:paraId="147F75FC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CGAGCGGCGACGGAC</w:t>
            </w:r>
          </w:p>
        </w:tc>
        <w:tc>
          <w:tcPr>
            <w:tcW w:w="4652" w:type="dxa"/>
            <w:vAlign w:val="center"/>
          </w:tcPr>
          <w:p w14:paraId="78DE1252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CGCCAGGAGAGTCCATCTTTT</w:t>
            </w:r>
          </w:p>
        </w:tc>
      </w:tr>
      <w:tr w:rsidR="00E07DEC" w:rsidRPr="00632AF6" w14:paraId="14DE50B0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793DE748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rFonts w:cs="Calibri"/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TRAF4</w:t>
            </w:r>
          </w:p>
        </w:tc>
        <w:tc>
          <w:tcPr>
            <w:tcW w:w="4508" w:type="dxa"/>
            <w:vAlign w:val="center"/>
          </w:tcPr>
          <w:p w14:paraId="56DE9AD5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GCTGCATCCACAGTGAGGAGGG</w:t>
            </w:r>
          </w:p>
        </w:tc>
        <w:tc>
          <w:tcPr>
            <w:tcW w:w="4652" w:type="dxa"/>
            <w:vAlign w:val="center"/>
          </w:tcPr>
          <w:p w14:paraId="34E6C9F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CTCAGAGGTGGCATGCTGGGCC</w:t>
            </w:r>
          </w:p>
        </w:tc>
      </w:tr>
      <w:tr w:rsidR="00E07DEC" w:rsidRPr="00632AF6" w14:paraId="396E0A89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2FCA2882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TRAF5</w:t>
            </w:r>
          </w:p>
        </w:tc>
        <w:tc>
          <w:tcPr>
            <w:tcW w:w="4508" w:type="dxa"/>
            <w:vAlign w:val="center"/>
          </w:tcPr>
          <w:p w14:paraId="7980E262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CGCACGTGAGGGAAATCAGA</w:t>
            </w:r>
          </w:p>
        </w:tc>
        <w:tc>
          <w:tcPr>
            <w:tcW w:w="4652" w:type="dxa"/>
            <w:vAlign w:val="center"/>
          </w:tcPr>
          <w:p w14:paraId="6079BDAA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CCGCTCCACAAACTGGTACT</w:t>
            </w:r>
          </w:p>
        </w:tc>
      </w:tr>
      <w:tr w:rsidR="00E07DEC" w:rsidRPr="00632AF6" w14:paraId="4C3D913E" w14:textId="77777777" w:rsidTr="00632AF6">
        <w:trPr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14:paraId="4D96F333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TRAF6</w:t>
            </w:r>
          </w:p>
        </w:tc>
        <w:tc>
          <w:tcPr>
            <w:tcW w:w="4508" w:type="dxa"/>
            <w:vAlign w:val="center"/>
          </w:tcPr>
          <w:p w14:paraId="32FCC5AB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CTGCCCTACAGCCCCAATTC</w:t>
            </w:r>
          </w:p>
        </w:tc>
        <w:tc>
          <w:tcPr>
            <w:tcW w:w="4652" w:type="dxa"/>
            <w:vAlign w:val="center"/>
          </w:tcPr>
          <w:p w14:paraId="2637F84E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CAAGGCGACCCTCTAACTGG</w:t>
            </w:r>
          </w:p>
        </w:tc>
      </w:tr>
      <w:tr w:rsidR="00E07DEC" w:rsidRPr="00632AF6" w14:paraId="650A8EE9" w14:textId="77777777" w:rsidTr="00632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tcBorders>
              <w:bottom w:val="single" w:sz="4" w:space="0" w:color="auto"/>
            </w:tcBorders>
            <w:vAlign w:val="center"/>
          </w:tcPr>
          <w:p w14:paraId="70F9C73F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rPr>
                <w:i/>
                <w:noProof/>
                <w:sz w:val="18"/>
                <w:szCs w:val="18"/>
              </w:rPr>
            </w:pPr>
            <w:r w:rsidRPr="00632AF6">
              <w:rPr>
                <w:rFonts w:cs="Calibri"/>
                <w:i/>
                <w:noProof/>
                <w:sz w:val="18"/>
                <w:szCs w:val="18"/>
              </w:rPr>
              <w:t>TRAF7</w:t>
            </w:r>
          </w:p>
        </w:tc>
        <w:tc>
          <w:tcPr>
            <w:tcW w:w="4508" w:type="dxa"/>
            <w:tcBorders>
              <w:bottom w:val="single" w:sz="4" w:space="0" w:color="auto"/>
            </w:tcBorders>
            <w:vAlign w:val="center"/>
          </w:tcPr>
          <w:p w14:paraId="395D9FEB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GTTCATCGGGAACCAGGACAC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14:paraId="57CCC0BA" w14:textId="77777777" w:rsidR="00E07DEC" w:rsidRPr="00632AF6" w:rsidRDefault="00E07DEC" w:rsidP="00632AF6">
            <w:pPr>
              <w:adjustRightInd w:val="0"/>
              <w:snapToGri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noProof/>
                <w:sz w:val="18"/>
                <w:szCs w:val="18"/>
              </w:rPr>
            </w:pPr>
            <w:r w:rsidRPr="00632AF6">
              <w:rPr>
                <w:rFonts w:cs="Calibri"/>
                <w:noProof/>
                <w:sz w:val="18"/>
                <w:szCs w:val="18"/>
              </w:rPr>
              <w:t>GATCTTCTCCGAGAGCTTTCCC</w:t>
            </w:r>
          </w:p>
        </w:tc>
      </w:tr>
    </w:tbl>
    <w:p w14:paraId="61197DB3" w14:textId="77777777" w:rsidR="00E07DEC" w:rsidRPr="007C7B7E" w:rsidRDefault="00E07DEC" w:rsidP="00E07DEC">
      <w:pPr>
        <w:spacing w:after="0" w:line="260" w:lineRule="atLeast"/>
        <w:jc w:val="both"/>
        <w:rPr>
          <w:rFonts w:ascii="Palatino Linotype" w:eastAsia="宋体" w:hAnsi="Palatino Linotype" w:cs="Calibri"/>
          <w:noProof/>
          <w:color w:val="000000"/>
          <w:sz w:val="20"/>
          <w:szCs w:val="20"/>
          <w:lang w:val="en-US" w:eastAsia="zh-CN"/>
        </w:rPr>
      </w:pPr>
    </w:p>
    <w:p w14:paraId="29F81BF0" w14:textId="77777777" w:rsidR="00E07DEC" w:rsidRDefault="00E07DEC" w:rsidP="00E07DEC"/>
    <w:p w14:paraId="2E548CD9" w14:textId="77777777" w:rsidR="008635B1" w:rsidRPr="00DF49F6" w:rsidRDefault="008635B1" w:rsidP="00DF49F6">
      <w:pPr>
        <w:rPr>
          <w:lang w:val="en-US"/>
        </w:rPr>
      </w:pPr>
    </w:p>
    <w:sectPr w:rsidR="008635B1" w:rsidRPr="00DF4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A38"/>
    <w:rsid w:val="000154C7"/>
    <w:rsid w:val="000664FF"/>
    <w:rsid w:val="00085315"/>
    <w:rsid w:val="0012777C"/>
    <w:rsid w:val="001B33FE"/>
    <w:rsid w:val="001E6825"/>
    <w:rsid w:val="001F3BDD"/>
    <w:rsid w:val="002D5401"/>
    <w:rsid w:val="002E0DEB"/>
    <w:rsid w:val="002F13EF"/>
    <w:rsid w:val="003D5A11"/>
    <w:rsid w:val="003D764C"/>
    <w:rsid w:val="003E43A5"/>
    <w:rsid w:val="003F208D"/>
    <w:rsid w:val="00473846"/>
    <w:rsid w:val="004D348C"/>
    <w:rsid w:val="00610ACD"/>
    <w:rsid w:val="00632AF6"/>
    <w:rsid w:val="00664E06"/>
    <w:rsid w:val="006A5397"/>
    <w:rsid w:val="006B3A38"/>
    <w:rsid w:val="006D5139"/>
    <w:rsid w:val="00703428"/>
    <w:rsid w:val="007E4653"/>
    <w:rsid w:val="008022F3"/>
    <w:rsid w:val="00827582"/>
    <w:rsid w:val="008277B8"/>
    <w:rsid w:val="008635B1"/>
    <w:rsid w:val="008C36E6"/>
    <w:rsid w:val="009439BA"/>
    <w:rsid w:val="00951F7B"/>
    <w:rsid w:val="00986EB9"/>
    <w:rsid w:val="00A053B4"/>
    <w:rsid w:val="00A20D8D"/>
    <w:rsid w:val="00B30404"/>
    <w:rsid w:val="00B32007"/>
    <w:rsid w:val="00B435D5"/>
    <w:rsid w:val="00BD6D36"/>
    <w:rsid w:val="00CE5743"/>
    <w:rsid w:val="00D579A4"/>
    <w:rsid w:val="00D66D8B"/>
    <w:rsid w:val="00DF49F6"/>
    <w:rsid w:val="00E07DEC"/>
    <w:rsid w:val="00F142A5"/>
    <w:rsid w:val="00F76137"/>
    <w:rsid w:val="00FD6DC5"/>
    <w:rsid w:val="00FE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08A66"/>
  <w15:chartTrackingRefBased/>
  <w15:docId w15:val="{EDB460A5-2D51-4B79-BCFA-A03CDBF2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A3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1">
    <w:name w:val="Plain Table 41"/>
    <w:basedOn w:val="TableNormal"/>
    <w:next w:val="PlainTable4"/>
    <w:uiPriority w:val="44"/>
    <w:rsid w:val="00E07DEC"/>
    <w:pPr>
      <w:spacing w:after="0" w:line="240" w:lineRule="auto"/>
      <w:jc w:val="both"/>
    </w:pPr>
    <w:rPr>
      <w:rFonts w:ascii="Palatino Linotype" w:eastAsia="宋体" w:hAnsi="Palatino Linotype" w:cs="Times New Roman"/>
      <w:color w:val="00000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4">
    <w:name w:val="Plain Table 4"/>
    <w:basedOn w:val="TableNormal"/>
    <w:uiPriority w:val="44"/>
    <w:rsid w:val="00E07D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DPI51figurecaption">
    <w:name w:val="MDPI_5.1_figure_caption"/>
    <w:qFormat/>
    <w:rsid w:val="00FD6DC5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876</Words>
  <Characters>5675</Characters>
  <Application>Microsoft Office Word</Application>
  <DocSecurity>0</DocSecurity>
  <Lines>159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Uppsala Universitet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Paraskevi Heldin</dc:creator>
  <cp:keywords/>
  <dc:description/>
  <cp:lastModifiedBy>MDPI</cp:lastModifiedBy>
  <cp:revision>5</cp:revision>
  <dcterms:created xsi:type="dcterms:W3CDTF">2021-03-01T09:12:00Z</dcterms:created>
  <dcterms:modified xsi:type="dcterms:W3CDTF">2021-03-05T09:59:00Z</dcterms:modified>
</cp:coreProperties>
</file>