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30B386" w14:textId="7C491692" w:rsidR="00E57353" w:rsidRPr="0062251F" w:rsidRDefault="00163DD2" w:rsidP="00163DD2">
      <w:pPr>
        <w:pStyle w:val="MDPI12title"/>
      </w:pPr>
      <w:bookmarkStart w:id="0" w:name="_GoBack"/>
      <w:r w:rsidRPr="0062251F">
        <w:rPr>
          <w:shd w:val="clear" w:color="auto" w:fill="FFFFFF"/>
        </w:rPr>
        <w:t xml:space="preserve">Supplementary Material: </w:t>
      </w:r>
      <w:r w:rsidR="00E57353" w:rsidRPr="0062251F">
        <w:rPr>
          <w:shd w:val="clear" w:color="auto" w:fill="FFFFFF"/>
        </w:rPr>
        <w:t xml:space="preserve">Erb-b2 </w:t>
      </w:r>
      <w:r w:rsidR="00A3442D" w:rsidRPr="0062251F">
        <w:rPr>
          <w:shd w:val="clear" w:color="auto" w:fill="FFFFFF"/>
        </w:rPr>
        <w:t xml:space="preserve">Receptor Tyrosine Kinase </w:t>
      </w:r>
      <w:r w:rsidR="00E57353" w:rsidRPr="0062251F">
        <w:rPr>
          <w:shd w:val="clear" w:color="auto" w:fill="FFFFFF"/>
        </w:rPr>
        <w:t>2 (ERBB2)</w:t>
      </w:r>
      <w:r w:rsidR="00E57353" w:rsidRPr="0062251F">
        <w:t xml:space="preserve"> </w:t>
      </w:r>
      <w:r w:rsidR="00A3442D" w:rsidRPr="0062251F">
        <w:t xml:space="preserve">Promotes </w:t>
      </w:r>
      <w:r w:rsidR="00E57353" w:rsidRPr="0062251F">
        <w:t>ATG12-</w:t>
      </w:r>
      <w:r w:rsidR="00A3442D" w:rsidRPr="0062251F">
        <w:t xml:space="preserve">Dependent Autophagy Contributing </w:t>
      </w:r>
      <w:r w:rsidR="00E57353" w:rsidRPr="0062251F">
        <w:t xml:space="preserve">to </w:t>
      </w:r>
      <w:proofErr w:type="gramStart"/>
      <w:r w:rsidR="00A3442D" w:rsidRPr="0062251F">
        <w:t xml:space="preserve">Treatment </w:t>
      </w:r>
      <w:r w:rsidRPr="0062251F">
        <w:t xml:space="preserve"> </w:t>
      </w:r>
      <w:r w:rsidR="00A3442D" w:rsidRPr="0062251F">
        <w:t>Resistance</w:t>
      </w:r>
      <w:proofErr w:type="gramEnd"/>
      <w:r w:rsidR="00A3442D" w:rsidRPr="0062251F">
        <w:t xml:space="preserve"> </w:t>
      </w:r>
      <w:r w:rsidR="00E57353" w:rsidRPr="0062251F">
        <w:t xml:space="preserve">of </w:t>
      </w:r>
      <w:r w:rsidR="00A3442D" w:rsidRPr="0062251F">
        <w:t>Breast Cancer Cells</w:t>
      </w:r>
    </w:p>
    <w:p w14:paraId="19391786" w14:textId="66A01A4F" w:rsidR="00163DD2" w:rsidRPr="0062251F" w:rsidRDefault="00E57353" w:rsidP="000F0091">
      <w:pPr>
        <w:pStyle w:val="MDPI13authornames"/>
      </w:pPr>
      <w:proofErr w:type="spellStart"/>
      <w:r w:rsidRPr="0062251F">
        <w:t>Yongqiang</w:t>
      </w:r>
      <w:proofErr w:type="spellEnd"/>
      <w:r w:rsidRPr="0062251F">
        <w:t xml:space="preserve"> Chen, </w:t>
      </w:r>
      <w:proofErr w:type="spellStart"/>
      <w:r w:rsidRPr="0062251F">
        <w:t>Ruobing</w:t>
      </w:r>
      <w:proofErr w:type="spellEnd"/>
      <w:r w:rsidRPr="0062251F">
        <w:t xml:space="preserve"> Wang, </w:t>
      </w:r>
      <w:proofErr w:type="spellStart"/>
      <w:r w:rsidRPr="0062251F">
        <w:t>Shujun</w:t>
      </w:r>
      <w:proofErr w:type="spellEnd"/>
      <w:r w:rsidRPr="0062251F">
        <w:t xml:space="preserve"> Huang</w:t>
      </w:r>
      <w:r w:rsidR="004006CB" w:rsidRPr="0062251F">
        <w:t>,</w:t>
      </w:r>
      <w:r w:rsidRPr="0062251F">
        <w:t xml:space="preserve"> Elizabeth S</w:t>
      </w:r>
      <w:r w:rsidR="0062251F" w:rsidRPr="0062251F">
        <w:t>.</w:t>
      </w:r>
      <w:r w:rsidRPr="0062251F">
        <w:t xml:space="preserve"> Henson, Jayce B</w:t>
      </w:r>
      <w:r w:rsidR="000F0091" w:rsidRPr="0062251F">
        <w:t xml:space="preserve"> and </w:t>
      </w:r>
      <w:r w:rsidRPr="0062251F">
        <w:t>Spencer B. Gibson</w:t>
      </w:r>
    </w:p>
    <w:p w14:paraId="63DF0817" w14:textId="2A4B8077" w:rsidR="000D6839" w:rsidRPr="0062251F" w:rsidRDefault="00163DD2" w:rsidP="00163DD2">
      <w:pPr>
        <w:pStyle w:val="MDPI52figure"/>
      </w:pPr>
      <w:r w:rsidRPr="0062251F">
        <w:rPr>
          <w:noProof/>
        </w:rPr>
        <w:drawing>
          <wp:inline distT="0" distB="0" distL="0" distR="0" wp14:anchorId="76B9A75E" wp14:editId="2DB730CB">
            <wp:extent cx="6042355" cy="61872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054984" cy="6200197"/>
                    </a:xfrm>
                    <a:prstGeom prst="rect">
                      <a:avLst/>
                    </a:prstGeom>
                  </pic:spPr>
                </pic:pic>
              </a:graphicData>
            </a:graphic>
          </wp:inline>
        </w:drawing>
      </w:r>
    </w:p>
    <w:p w14:paraId="2D8C1B37" w14:textId="179DE474" w:rsidR="00163DD2" w:rsidRPr="0062251F" w:rsidRDefault="00992436" w:rsidP="00992436">
      <w:pPr>
        <w:pStyle w:val="MDPI51figurecaption"/>
        <w:ind w:left="425" w:right="425"/>
        <w:jc w:val="both"/>
      </w:pPr>
      <w:r w:rsidRPr="0062251F">
        <w:rPr>
          <w:b/>
          <w:bCs/>
        </w:rPr>
        <w:t xml:space="preserve">Figure S1. </w:t>
      </w:r>
      <w:r w:rsidR="00163DD2" w:rsidRPr="0062251F">
        <w:t xml:space="preserve">Knockout/knockdown of ERBB2 inhibits </w:t>
      </w:r>
      <w:proofErr w:type="spellStart"/>
      <w:r w:rsidR="00163DD2" w:rsidRPr="0062251F">
        <w:t>autophagyin</w:t>
      </w:r>
      <w:proofErr w:type="spellEnd"/>
      <w:r w:rsidR="00163DD2" w:rsidRPr="0062251F">
        <w:t xml:space="preserve"> SKBR3 cells</w:t>
      </w:r>
      <w:r w:rsidR="00163DD2" w:rsidRPr="0062251F">
        <w:rPr>
          <w:b/>
          <w:bCs/>
        </w:rPr>
        <w:t xml:space="preserve">. </w:t>
      </w:r>
      <w:r w:rsidRPr="0062251F">
        <w:t>(</w:t>
      </w:r>
      <w:r w:rsidRPr="0062251F">
        <w:rPr>
          <w:b/>
          <w:bCs/>
        </w:rPr>
        <w:t>A</w:t>
      </w:r>
      <w:r w:rsidRPr="0062251F">
        <w:t xml:space="preserve">) </w:t>
      </w:r>
      <w:r w:rsidR="00163DD2" w:rsidRPr="0062251F">
        <w:t>More example images of mRFP-LC3 puncta(arrows) in SKBR3 cells without (NIC-</w:t>
      </w:r>
      <w:r w:rsidR="00163DD2" w:rsidRPr="0062251F">
        <w:rPr>
          <w:i/>
          <w:iCs/>
        </w:rPr>
        <w:t>Con</w:t>
      </w:r>
      <w:r w:rsidR="00163DD2" w:rsidRPr="0062251F">
        <w:t>) and with (NIC-</w:t>
      </w:r>
      <w:r w:rsidR="00163DD2" w:rsidRPr="0062251F">
        <w:rPr>
          <w:i/>
          <w:iCs/>
        </w:rPr>
        <w:t>ERBB2</w:t>
      </w:r>
      <w:r w:rsidR="00163DD2" w:rsidRPr="0062251F">
        <w:t xml:space="preserve">) ERBB2 knockout. </w:t>
      </w:r>
      <w:r w:rsidRPr="0062251F">
        <w:t>(</w:t>
      </w:r>
      <w:r w:rsidR="00163DD2" w:rsidRPr="0062251F">
        <w:rPr>
          <w:b/>
          <w:bCs/>
        </w:rPr>
        <w:t>B</w:t>
      </w:r>
      <w:r w:rsidRPr="0062251F">
        <w:t>)</w:t>
      </w:r>
      <w:r w:rsidR="00162A00" w:rsidRPr="0062251F">
        <w:t xml:space="preserve"> </w:t>
      </w:r>
      <w:r w:rsidR="00163DD2" w:rsidRPr="0062251F">
        <w:t xml:space="preserve">Basal </w:t>
      </w:r>
      <w:proofErr w:type="spellStart"/>
      <w:r w:rsidR="00163DD2" w:rsidRPr="0062251F">
        <w:t>autophagyinhibition</w:t>
      </w:r>
      <w:proofErr w:type="spellEnd"/>
      <w:r w:rsidR="00163DD2" w:rsidRPr="0062251F">
        <w:t xml:space="preserve"> by </w:t>
      </w:r>
      <w:r w:rsidR="00163DD2" w:rsidRPr="0062251F">
        <w:rPr>
          <w:i/>
          <w:iCs/>
        </w:rPr>
        <w:t xml:space="preserve">ERBB2 </w:t>
      </w:r>
      <w:proofErr w:type="spellStart"/>
      <w:r w:rsidR="00163DD2" w:rsidRPr="0062251F">
        <w:t>siRNAknockdown</w:t>
      </w:r>
      <w:proofErr w:type="spellEnd"/>
      <w:r w:rsidR="00163DD2" w:rsidRPr="0062251F">
        <w:t xml:space="preserve">. </w:t>
      </w:r>
      <w:r w:rsidR="00162A00" w:rsidRPr="0062251F">
        <w:t>(</w:t>
      </w:r>
      <w:r w:rsidR="00162A00" w:rsidRPr="0062251F">
        <w:rPr>
          <w:b/>
          <w:bCs/>
        </w:rPr>
        <w:t>C</w:t>
      </w:r>
      <w:r w:rsidR="00162A00" w:rsidRPr="0062251F">
        <w:t xml:space="preserve">) </w:t>
      </w:r>
      <w:r w:rsidR="00163DD2" w:rsidRPr="0062251F">
        <w:t xml:space="preserve">Inhibition of amino acid starvation (No AA)-induced </w:t>
      </w:r>
      <w:proofErr w:type="spellStart"/>
      <w:r w:rsidR="00163DD2" w:rsidRPr="0062251F">
        <w:t>autophagyby</w:t>
      </w:r>
      <w:proofErr w:type="spellEnd"/>
      <w:r w:rsidR="00163DD2" w:rsidRPr="0062251F">
        <w:t xml:space="preserve"> </w:t>
      </w:r>
      <w:r w:rsidR="00163DD2" w:rsidRPr="0062251F">
        <w:rPr>
          <w:i/>
          <w:iCs/>
        </w:rPr>
        <w:t>ERBB2</w:t>
      </w:r>
      <w:r w:rsidR="00163DD2" w:rsidRPr="0062251F">
        <w:t xml:space="preserve">siRNAknockdown. </w:t>
      </w:r>
      <w:proofErr w:type="spellStart"/>
      <w:r w:rsidR="00163DD2" w:rsidRPr="0062251F">
        <w:t>Autophagywas</w:t>
      </w:r>
      <w:proofErr w:type="spellEnd"/>
      <w:r w:rsidR="00163DD2" w:rsidRPr="0062251F">
        <w:t xml:space="preserve"> measured by western blotting the </w:t>
      </w:r>
      <w:proofErr w:type="spellStart"/>
      <w:r w:rsidR="00163DD2" w:rsidRPr="0062251F">
        <w:t>autophagymarker</w:t>
      </w:r>
      <w:proofErr w:type="spellEnd"/>
      <w:r w:rsidR="00163DD2" w:rsidRPr="0062251F">
        <w:t xml:space="preserve"> protein LC3-II and the </w:t>
      </w:r>
      <w:proofErr w:type="spellStart"/>
      <w:r w:rsidR="00163DD2" w:rsidRPr="0062251F">
        <w:t>autophagysubstrate</w:t>
      </w:r>
      <w:proofErr w:type="spellEnd"/>
      <w:r w:rsidR="00163DD2" w:rsidRPr="0062251F">
        <w:t xml:space="preserve"> SQSTM1 (p62) in the absence and presence of </w:t>
      </w:r>
      <w:proofErr w:type="gramStart"/>
      <w:r w:rsidR="00163DD2" w:rsidRPr="0062251F">
        <w:t>chloroquine(</w:t>
      </w:r>
      <w:proofErr w:type="gramEnd"/>
      <w:r w:rsidR="00163DD2" w:rsidRPr="0062251F">
        <w:t xml:space="preserve">CQ, 20 </w:t>
      </w:r>
      <w:proofErr w:type="spellStart"/>
      <w:r w:rsidR="00163DD2" w:rsidRPr="0062251F">
        <w:t>μM</w:t>
      </w:r>
      <w:proofErr w:type="spellEnd"/>
      <w:r w:rsidR="00163DD2" w:rsidRPr="0062251F">
        <w:t>).</w:t>
      </w:r>
      <w:proofErr w:type="spellStart"/>
      <w:r w:rsidR="00163DD2" w:rsidRPr="0062251F">
        <w:t>Uncroppedwestern</w:t>
      </w:r>
      <w:proofErr w:type="spellEnd"/>
      <w:r w:rsidR="00163DD2" w:rsidRPr="0062251F">
        <w:t xml:space="preserve"> blot images and quantification of the protein band intensities were shown </w:t>
      </w:r>
      <w:r w:rsidR="0062251F" w:rsidRPr="0062251F">
        <w:t xml:space="preserve">in </w:t>
      </w:r>
      <w:r w:rsidR="0062251F" w:rsidRPr="0062251F">
        <w:t>File S1</w:t>
      </w:r>
      <w:r w:rsidR="00163DD2" w:rsidRPr="0062251F">
        <w:t>.</w:t>
      </w:r>
    </w:p>
    <w:p w14:paraId="782D3F87" w14:textId="77777777" w:rsidR="00992436" w:rsidRPr="0062251F" w:rsidRDefault="00992436" w:rsidP="00992436">
      <w:pPr>
        <w:pStyle w:val="MDPI52figure"/>
        <w:ind w:left="2608"/>
        <w:jc w:val="left"/>
      </w:pPr>
      <w:r w:rsidRPr="0062251F">
        <w:rPr>
          <w:noProof/>
        </w:rPr>
        <w:lastRenderedPageBreak/>
        <w:drawing>
          <wp:inline distT="0" distB="0" distL="0" distR="0" wp14:anchorId="57C46986" wp14:editId="31032008">
            <wp:extent cx="3634205" cy="3390182"/>
            <wp:effectExtent l="0" t="0" r="4445"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38649" cy="3394328"/>
                    </a:xfrm>
                    <a:prstGeom prst="rect">
                      <a:avLst/>
                    </a:prstGeom>
                  </pic:spPr>
                </pic:pic>
              </a:graphicData>
            </a:graphic>
          </wp:inline>
        </w:drawing>
      </w:r>
    </w:p>
    <w:p w14:paraId="264247AC" w14:textId="60CD738A" w:rsidR="00992436" w:rsidRPr="0062251F" w:rsidRDefault="00992436" w:rsidP="00992436">
      <w:pPr>
        <w:pStyle w:val="MDPI51figurecaption"/>
      </w:pPr>
      <w:r w:rsidRPr="0062251F">
        <w:rPr>
          <w:b/>
        </w:rPr>
        <w:t xml:space="preserve">Figure S2. </w:t>
      </w:r>
      <w:r w:rsidRPr="0062251F">
        <w:t>Western blot showed the expression of EGFR and ERBB2 and lapatinib</w:t>
      </w:r>
      <w:r w:rsidR="0062251F" w:rsidRPr="0062251F">
        <w:t xml:space="preserve"> </w:t>
      </w:r>
      <w:r w:rsidRPr="0062251F">
        <w:t xml:space="preserve">(1 </w:t>
      </w:r>
      <w:proofErr w:type="spellStart"/>
      <w:r w:rsidRPr="0062251F">
        <w:t>μM</w:t>
      </w:r>
      <w:proofErr w:type="spellEnd"/>
      <w:r w:rsidRPr="0062251F">
        <w:t xml:space="preserve">) inhibition of tyrosine (Y) </w:t>
      </w:r>
      <w:proofErr w:type="spellStart"/>
      <w:r w:rsidRPr="0062251F">
        <w:t>phosphorylationof</w:t>
      </w:r>
      <w:proofErr w:type="spellEnd"/>
      <w:r w:rsidRPr="0062251F">
        <w:t xml:space="preserve"> EGFR (at Y1068) and ERBB2 (Y877). </w:t>
      </w:r>
      <w:proofErr w:type="spellStart"/>
      <w:r w:rsidRPr="0062251F">
        <w:t>Uncroppedwestern</w:t>
      </w:r>
      <w:proofErr w:type="spellEnd"/>
      <w:r w:rsidRPr="0062251F">
        <w:t xml:space="preserve"> blot images were shown </w:t>
      </w:r>
      <w:r w:rsidR="0062251F" w:rsidRPr="0062251F">
        <w:t>in File S1</w:t>
      </w:r>
      <w:r w:rsidRPr="0062251F">
        <w:t>.</w:t>
      </w:r>
    </w:p>
    <w:p w14:paraId="2020DA5A" w14:textId="77777777" w:rsidR="00992436" w:rsidRPr="0062251F" w:rsidRDefault="00992436" w:rsidP="00992436">
      <w:pPr>
        <w:pStyle w:val="MDPI52figure"/>
        <w:ind w:left="2608"/>
      </w:pPr>
      <w:r w:rsidRPr="0062251F">
        <w:rPr>
          <w:noProof/>
        </w:rPr>
        <w:drawing>
          <wp:inline distT="0" distB="0" distL="0" distR="0" wp14:anchorId="52930633" wp14:editId="3C749984">
            <wp:extent cx="4476902" cy="3465989"/>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485679" cy="3472784"/>
                    </a:xfrm>
                    <a:prstGeom prst="rect">
                      <a:avLst/>
                    </a:prstGeom>
                  </pic:spPr>
                </pic:pic>
              </a:graphicData>
            </a:graphic>
          </wp:inline>
        </w:drawing>
      </w:r>
    </w:p>
    <w:p w14:paraId="27656279" w14:textId="3C4BF58F" w:rsidR="00992436" w:rsidRPr="0062251F" w:rsidRDefault="0062251F" w:rsidP="0062251F">
      <w:pPr>
        <w:pStyle w:val="MDPI51figurecaption"/>
      </w:pPr>
      <w:r w:rsidRPr="0062251F">
        <w:rPr>
          <w:b/>
        </w:rPr>
        <w:t xml:space="preserve">Figure S3. </w:t>
      </w:r>
      <w:r w:rsidRPr="0062251F">
        <w:t xml:space="preserve">ATG12 protein is expressed in human breast cancer tissues. Immunohistochemistry (IHC) staining of ATG12 (brown) was performed using a tumor microarray slide prepared by the Manitoba Tumor Bank. These formalin-fixed, paraffin-embedded human breast </w:t>
      </w:r>
      <w:proofErr w:type="spellStart"/>
      <w:r w:rsidRPr="0062251F">
        <w:t>tumour</w:t>
      </w:r>
      <w:proofErr w:type="spellEnd"/>
      <w:r w:rsidRPr="0062251F">
        <w:t xml:space="preserve"> tissues were stained with an anti-ATG12 antibody(ab109491) and counter-stained with hematoxylin(blue) using the Ventana </w:t>
      </w:r>
      <w:proofErr w:type="spellStart"/>
      <w:r w:rsidRPr="0062251F">
        <w:t>Autostainer</w:t>
      </w:r>
      <w:proofErr w:type="spellEnd"/>
      <w:r w:rsidRPr="0062251F">
        <w:t xml:space="preserve"> following standard protocols provided by the manufacturer. These images are representative of the staining seen throughout the microarray</w:t>
      </w:r>
      <w:r w:rsidR="00992436" w:rsidRPr="0062251F">
        <w:t>.</w:t>
      </w:r>
    </w:p>
    <w:p w14:paraId="777F8323" w14:textId="660F3F5A" w:rsidR="00992436" w:rsidRPr="0062251F" w:rsidRDefault="0062251F" w:rsidP="00992436">
      <w:pPr>
        <w:pStyle w:val="MDPI52figure"/>
        <w:ind w:left="2608"/>
        <w:jc w:val="left"/>
      </w:pPr>
      <w:r w:rsidRPr="0062251F">
        <w:lastRenderedPageBreak/>
        <w:t xml:space="preserve"> </w:t>
      </w:r>
      <w:r w:rsidRPr="0062251F">
        <w:rPr>
          <w:noProof/>
        </w:rPr>
        <w:drawing>
          <wp:inline distT="0" distB="0" distL="0" distR="0" wp14:anchorId="50DD8BFC" wp14:editId="0D0DD0C8">
            <wp:extent cx="2735580" cy="2984500"/>
            <wp:effectExtent l="0" t="0" r="762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5580" cy="2984500"/>
                    </a:xfrm>
                    <a:prstGeom prst="rect">
                      <a:avLst/>
                    </a:prstGeom>
                    <a:noFill/>
                    <a:ln>
                      <a:noFill/>
                    </a:ln>
                  </pic:spPr>
                </pic:pic>
              </a:graphicData>
            </a:graphic>
          </wp:inline>
        </w:drawing>
      </w:r>
    </w:p>
    <w:p w14:paraId="71D6C4FB" w14:textId="40C57653" w:rsidR="00992436" w:rsidRPr="0062251F" w:rsidRDefault="00992436" w:rsidP="00992436">
      <w:pPr>
        <w:pStyle w:val="MDPI51figurecaption"/>
      </w:pPr>
      <w:r w:rsidRPr="0062251F">
        <w:rPr>
          <w:b/>
          <w:bCs/>
        </w:rPr>
        <w:t xml:space="preserve">Figure S4. </w:t>
      </w:r>
      <w:r w:rsidRPr="0062251F">
        <w:t xml:space="preserve">Over-expression of ERBB2 increased </w:t>
      </w:r>
      <w:r w:rsidRPr="0062251F">
        <w:rPr>
          <w:i/>
          <w:iCs/>
        </w:rPr>
        <w:t>ATG12</w:t>
      </w:r>
      <w:r w:rsidRPr="0062251F">
        <w:t xml:space="preserve">mRNA expression. The mRNA level of </w:t>
      </w:r>
      <w:r w:rsidRPr="0062251F">
        <w:rPr>
          <w:i/>
          <w:iCs/>
        </w:rPr>
        <w:t>ATG12</w:t>
      </w:r>
      <w:r w:rsidRPr="0062251F">
        <w:t>was up-regulated by over-expression of ERBB2 in MDA-MB-231 cells. ERBB2 over-expression was demonstrated by western blot in Figure 2A.</w:t>
      </w:r>
      <w:r w:rsidR="0062251F" w:rsidRPr="0062251F">
        <w:t xml:space="preserve"> </w:t>
      </w:r>
      <w:proofErr w:type="gramStart"/>
      <w:r w:rsidRPr="0062251F">
        <w:t>The</w:t>
      </w:r>
      <w:proofErr w:type="gramEnd"/>
      <w:r w:rsidRPr="0062251F">
        <w:t xml:space="preserve"> ATG12 mRNA level was measured by real-time PCR. *, </w:t>
      </w:r>
      <w:r w:rsidRPr="0062251F">
        <w:rPr>
          <w:i/>
          <w:iCs/>
        </w:rPr>
        <w:t xml:space="preserve">p </w:t>
      </w:r>
      <w:r w:rsidRPr="0062251F">
        <w:t>&lt;</w:t>
      </w:r>
      <w:r w:rsidRPr="0062251F">
        <w:rPr>
          <w:i/>
          <w:iCs/>
        </w:rPr>
        <w:t xml:space="preserve"> </w:t>
      </w:r>
      <w:r w:rsidRPr="0062251F">
        <w:t>0.05.</w:t>
      </w:r>
    </w:p>
    <w:p w14:paraId="574FC758" w14:textId="77777777" w:rsidR="00992436" w:rsidRPr="0062251F" w:rsidRDefault="00992436" w:rsidP="00992436">
      <w:pPr>
        <w:pStyle w:val="MDPI52figure"/>
        <w:ind w:left="2608"/>
        <w:jc w:val="left"/>
      </w:pPr>
      <w:r w:rsidRPr="0062251F">
        <w:rPr>
          <w:noProof/>
        </w:rPr>
        <w:drawing>
          <wp:inline distT="0" distB="0" distL="0" distR="0" wp14:anchorId="5022992D" wp14:editId="5A5B4490">
            <wp:extent cx="3752850" cy="34956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752850" cy="3495675"/>
                    </a:xfrm>
                    <a:prstGeom prst="rect">
                      <a:avLst/>
                    </a:prstGeom>
                  </pic:spPr>
                </pic:pic>
              </a:graphicData>
            </a:graphic>
          </wp:inline>
        </w:drawing>
      </w:r>
    </w:p>
    <w:p w14:paraId="2A9F660B" w14:textId="7259242B" w:rsidR="00992436" w:rsidRPr="0062251F" w:rsidRDefault="0062251F" w:rsidP="0062251F">
      <w:pPr>
        <w:pStyle w:val="MDPI51figurecaption"/>
      </w:pPr>
      <w:r w:rsidRPr="0062251F">
        <w:rPr>
          <w:b/>
        </w:rPr>
        <w:t xml:space="preserve">Figure S5. </w:t>
      </w:r>
      <w:r w:rsidRPr="0062251F">
        <w:t xml:space="preserve">Autophagy inhibitors ammonium chloride (NH4Cl) and </w:t>
      </w:r>
      <w:proofErr w:type="gramStart"/>
      <w:r w:rsidRPr="0062251F">
        <w:t>chloroquine(</w:t>
      </w:r>
      <w:proofErr w:type="gramEnd"/>
      <w:r w:rsidRPr="0062251F">
        <w:t xml:space="preserve">CQ) increased Taxol-induced cell death in SKBR3 breast cancer cells. Taxol (paclitaxel), 10 </w:t>
      </w:r>
      <w:proofErr w:type="spellStart"/>
      <w:r w:rsidRPr="0062251F">
        <w:t>μM</w:t>
      </w:r>
      <w:proofErr w:type="spellEnd"/>
      <w:r w:rsidRPr="0062251F">
        <w:t xml:space="preserve">; NH4Cl, 30 mM; CQ, 20 </w:t>
      </w:r>
      <w:proofErr w:type="spellStart"/>
      <w:r w:rsidRPr="0062251F">
        <w:t>μM</w:t>
      </w:r>
      <w:proofErr w:type="spellEnd"/>
      <w:r w:rsidRPr="0062251F">
        <w:t xml:space="preserve">. *, </w:t>
      </w:r>
      <w:r w:rsidRPr="0062251F">
        <w:rPr>
          <w:i/>
          <w:iCs/>
        </w:rPr>
        <w:t>p</w:t>
      </w:r>
      <w:r w:rsidRPr="0062251F">
        <w:t xml:space="preserve"> &lt; 0.05; ***, </w:t>
      </w:r>
      <w:r w:rsidRPr="0062251F">
        <w:rPr>
          <w:i/>
          <w:iCs/>
        </w:rPr>
        <w:t>p</w:t>
      </w:r>
      <w:r w:rsidRPr="0062251F">
        <w:t xml:space="preserve"> &lt; 0.001.</w:t>
      </w:r>
    </w:p>
    <w:p w14:paraId="401A7D20" w14:textId="77777777" w:rsidR="00992436" w:rsidRPr="0062251F" w:rsidRDefault="00992436" w:rsidP="00992436">
      <w:pPr>
        <w:pStyle w:val="MDPI52figure"/>
      </w:pPr>
      <w:r w:rsidRPr="0062251F">
        <w:rPr>
          <w:noProof/>
        </w:rPr>
        <w:lastRenderedPageBreak/>
        <w:drawing>
          <wp:inline distT="0" distB="0" distL="0" distR="0" wp14:anchorId="7A6233C2" wp14:editId="2CB47AB5">
            <wp:extent cx="5149901" cy="3008668"/>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53554" cy="3010802"/>
                    </a:xfrm>
                    <a:prstGeom prst="rect">
                      <a:avLst/>
                    </a:prstGeom>
                  </pic:spPr>
                </pic:pic>
              </a:graphicData>
            </a:graphic>
          </wp:inline>
        </w:drawing>
      </w:r>
    </w:p>
    <w:p w14:paraId="533F1941" w14:textId="089F7161" w:rsidR="00992436" w:rsidRPr="0062251F" w:rsidRDefault="00992436" w:rsidP="00992436">
      <w:pPr>
        <w:pStyle w:val="MDPI51figurecaption"/>
        <w:ind w:left="425" w:right="425"/>
      </w:pPr>
      <w:r w:rsidRPr="0062251F">
        <w:rPr>
          <w:b/>
          <w:bCs/>
        </w:rPr>
        <w:t xml:space="preserve">Figure S6. </w:t>
      </w:r>
      <w:r w:rsidRPr="0062251F">
        <w:t>ERBB2 inhibited docetaxel-induced cell death in breast cancer cells. (</w:t>
      </w:r>
      <w:r w:rsidRPr="0062251F">
        <w:rPr>
          <w:b/>
          <w:bCs/>
        </w:rPr>
        <w:t>A</w:t>
      </w:r>
      <w:r w:rsidRPr="0062251F">
        <w:t>) ERBB2 knockout increased docetaxel-induced cell death in SKBR3 cells. ERBB2 knockout was demonstrated in Figure 1A. The “Control” data shared the “Control” data in Figure 7B. (</w:t>
      </w:r>
      <w:r w:rsidRPr="0062251F">
        <w:rPr>
          <w:b/>
          <w:bCs/>
        </w:rPr>
        <w:t>B</w:t>
      </w:r>
      <w:r w:rsidRPr="0062251F">
        <w:t xml:space="preserve">) ERBB2 over-expression decreased docetaxel-induced cell death in MDA-MB-231 cells. ERBB2 over-expression was demonstrated in Figure 2A. The “Control” data shared the “Control” data in Figure 7D. Docetaxel, 5 </w:t>
      </w:r>
      <w:proofErr w:type="spellStart"/>
      <w:r w:rsidRPr="0062251F">
        <w:t>μM</w:t>
      </w:r>
      <w:proofErr w:type="spellEnd"/>
      <w:r w:rsidRPr="0062251F">
        <w:t xml:space="preserve">. ***, </w:t>
      </w:r>
      <w:r w:rsidRPr="0062251F">
        <w:rPr>
          <w:i/>
        </w:rPr>
        <w:t xml:space="preserve">p </w:t>
      </w:r>
      <w:r w:rsidRPr="0062251F">
        <w:t>&lt;</w:t>
      </w:r>
      <w:r w:rsidRPr="0062251F">
        <w:rPr>
          <w:i/>
        </w:rPr>
        <w:t xml:space="preserve"> </w:t>
      </w:r>
      <w:r w:rsidRPr="0062251F">
        <w:t>0.001.</w:t>
      </w:r>
    </w:p>
    <w:p w14:paraId="36B8AA48" w14:textId="77777777" w:rsidR="00992436" w:rsidRPr="0062251F" w:rsidRDefault="00992436" w:rsidP="00992436">
      <w:pPr>
        <w:pStyle w:val="MDPI52figure"/>
      </w:pPr>
      <w:r w:rsidRPr="0062251F">
        <w:rPr>
          <w:noProof/>
        </w:rPr>
        <w:drawing>
          <wp:inline distT="0" distB="0" distL="0" distR="0" wp14:anchorId="58D45CE0" wp14:editId="29AA75B1">
            <wp:extent cx="5157216" cy="3705735"/>
            <wp:effectExtent l="0" t="0" r="571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65971" cy="3712026"/>
                    </a:xfrm>
                    <a:prstGeom prst="rect">
                      <a:avLst/>
                    </a:prstGeom>
                  </pic:spPr>
                </pic:pic>
              </a:graphicData>
            </a:graphic>
          </wp:inline>
        </w:drawing>
      </w:r>
    </w:p>
    <w:p w14:paraId="65695390" w14:textId="57AE10FF" w:rsidR="00992436" w:rsidRPr="0062251F" w:rsidRDefault="00992436" w:rsidP="00992436">
      <w:pPr>
        <w:pStyle w:val="MDPI51figurecaption"/>
        <w:ind w:left="425" w:right="425"/>
        <w:jc w:val="both"/>
      </w:pPr>
      <w:r w:rsidRPr="0062251F">
        <w:rPr>
          <w:b/>
          <w:bCs/>
        </w:rPr>
        <w:t xml:space="preserve">Figure S7. </w:t>
      </w:r>
      <w:r w:rsidRPr="0062251F">
        <w:t>ERBB2 expression inhibited hypoxia-induced cell death.</w:t>
      </w:r>
      <w:r w:rsidR="00162A00" w:rsidRPr="0062251F">
        <w:rPr>
          <w:b/>
          <w:bCs/>
        </w:rPr>
        <w:t xml:space="preserve"> </w:t>
      </w:r>
      <w:r w:rsidRPr="0062251F">
        <w:t>For hypoxia treatment, cells were maintained under hypoxic conditions (&lt;1% oxygen) at 37°C within a hypoxic chamber (Forma Scientific, Waltham, MA) filled with 5% CO</w:t>
      </w:r>
      <w:r w:rsidRPr="0062251F">
        <w:rPr>
          <w:szCs w:val="18"/>
        </w:rPr>
        <w:t>2</w:t>
      </w:r>
      <w:r w:rsidRPr="0062251F">
        <w:t>balanced with N</w:t>
      </w:r>
      <w:r w:rsidRPr="0062251F">
        <w:rPr>
          <w:szCs w:val="18"/>
        </w:rPr>
        <w:t>2</w:t>
      </w:r>
      <w:r w:rsidRPr="0062251F">
        <w:t xml:space="preserve">. </w:t>
      </w:r>
      <w:r w:rsidR="00162A00" w:rsidRPr="0062251F">
        <w:t>(</w:t>
      </w:r>
      <w:r w:rsidRPr="0062251F">
        <w:rPr>
          <w:b/>
          <w:bCs/>
        </w:rPr>
        <w:t>A</w:t>
      </w:r>
      <w:r w:rsidR="00162A00" w:rsidRPr="0062251F">
        <w:t>)</w:t>
      </w:r>
      <w:r w:rsidRPr="0062251F">
        <w:t xml:space="preserve"> ERBB2 knockout increased hypoxia-induced cell death in SKBR3 cells. Knockout of ERBB2 was demonstrated in Figure 1A. </w:t>
      </w:r>
      <w:r w:rsidR="00162A00" w:rsidRPr="0062251F">
        <w:t>(</w:t>
      </w:r>
      <w:r w:rsidRPr="0062251F">
        <w:rPr>
          <w:b/>
          <w:bCs/>
        </w:rPr>
        <w:t>B</w:t>
      </w:r>
      <w:r w:rsidR="00162A00" w:rsidRPr="0062251F">
        <w:t>)</w:t>
      </w:r>
      <w:r w:rsidRPr="0062251F">
        <w:t xml:space="preserve"> ERBB2 over-expression decreased hypoxia-induced cell death in MDA-MB-231 cells. ERBB2 over-expression was demonstrated in Figure 2A. Results represent three independent 6-replicate experiments. </w:t>
      </w:r>
      <w:r w:rsidRPr="0062251F">
        <w:rPr>
          <w:i/>
        </w:rPr>
        <w:t>n</w:t>
      </w:r>
      <w:r w:rsidRPr="0062251F">
        <w:t xml:space="preserve">, </w:t>
      </w:r>
      <w:proofErr w:type="spellStart"/>
      <w:r w:rsidRPr="0062251F">
        <w:t>normoxia</w:t>
      </w:r>
      <w:proofErr w:type="spellEnd"/>
      <w:r w:rsidRPr="0062251F">
        <w:t>; H, hypoxia. *</w:t>
      </w:r>
      <w:r w:rsidRPr="0062251F">
        <w:rPr>
          <w:i/>
        </w:rPr>
        <w:t xml:space="preserve">p </w:t>
      </w:r>
      <w:r w:rsidRPr="0062251F">
        <w:t>&lt;</w:t>
      </w:r>
      <w:r w:rsidRPr="0062251F">
        <w:rPr>
          <w:i/>
        </w:rPr>
        <w:t xml:space="preserve"> </w:t>
      </w:r>
      <w:r w:rsidRPr="0062251F">
        <w:t>0.05; **</w:t>
      </w:r>
      <w:r w:rsidRPr="0062251F">
        <w:rPr>
          <w:i/>
        </w:rPr>
        <w:t xml:space="preserve">p </w:t>
      </w:r>
      <w:r w:rsidRPr="0062251F">
        <w:t>&lt;</w:t>
      </w:r>
      <w:r w:rsidRPr="0062251F">
        <w:rPr>
          <w:i/>
        </w:rPr>
        <w:t xml:space="preserve"> </w:t>
      </w:r>
      <w:r w:rsidRPr="0062251F">
        <w:t>0.01; ***</w:t>
      </w:r>
      <w:r w:rsidRPr="0062251F">
        <w:rPr>
          <w:i/>
        </w:rPr>
        <w:t xml:space="preserve">p </w:t>
      </w:r>
      <w:r w:rsidRPr="0062251F">
        <w:t>&lt;</w:t>
      </w:r>
      <w:r w:rsidRPr="0062251F">
        <w:rPr>
          <w:i/>
        </w:rPr>
        <w:t xml:space="preserve"> </w:t>
      </w:r>
      <w:r w:rsidRPr="0062251F">
        <w:t>0.001.</w:t>
      </w:r>
    </w:p>
    <w:p w14:paraId="627A23FC" w14:textId="2D4164D1" w:rsidR="00992436" w:rsidRPr="0062251F" w:rsidRDefault="0062251F" w:rsidP="0062251F">
      <w:pPr>
        <w:pStyle w:val="MDPI41tablecaption"/>
        <w:ind w:left="425" w:right="425"/>
        <w:jc w:val="both"/>
      </w:pPr>
      <w:r w:rsidRPr="0062251F">
        <w:rPr>
          <w:b/>
        </w:rPr>
        <w:lastRenderedPageBreak/>
        <w:t xml:space="preserve">Table S1. </w:t>
      </w:r>
      <w:r w:rsidRPr="0062251F">
        <w:t>Effects of autophagy gene upregulation on relapse-free survival (RFS)-based survival probability of patients with ERBB2-positive and –negative breast tumors.</w:t>
      </w:r>
    </w:p>
    <w:tbl>
      <w:tblPr>
        <w:tblW w:w="10465" w:type="dxa"/>
        <w:jc w:val="center"/>
        <w:tblBorders>
          <w:top w:val="single" w:sz="8" w:space="0" w:color="auto"/>
          <w:bottom w:val="single" w:sz="8" w:space="0" w:color="auto"/>
        </w:tblBorders>
        <w:tblLayout w:type="fixed"/>
        <w:tblCellMar>
          <w:left w:w="0" w:type="dxa"/>
          <w:right w:w="0" w:type="dxa"/>
        </w:tblCellMar>
        <w:tblLook w:val="0000" w:firstRow="0" w:lastRow="0" w:firstColumn="0" w:lastColumn="0" w:noHBand="0" w:noVBand="0"/>
      </w:tblPr>
      <w:tblGrid>
        <w:gridCol w:w="1306"/>
        <w:gridCol w:w="1308"/>
        <w:gridCol w:w="1308"/>
        <w:gridCol w:w="1309"/>
        <w:gridCol w:w="1308"/>
        <w:gridCol w:w="1309"/>
        <w:gridCol w:w="1308"/>
        <w:gridCol w:w="1309"/>
      </w:tblGrid>
      <w:tr w:rsidR="00992436" w:rsidRPr="0062251F" w14:paraId="7EEF2695" w14:textId="77777777" w:rsidTr="00992436">
        <w:trPr>
          <w:jc w:val="center"/>
        </w:trPr>
        <w:tc>
          <w:tcPr>
            <w:tcW w:w="1306" w:type="dxa"/>
            <w:tcBorders>
              <w:top w:val="single" w:sz="8" w:space="0" w:color="auto"/>
              <w:bottom w:val="single" w:sz="4" w:space="0" w:color="auto"/>
            </w:tcBorders>
            <w:shd w:val="clear" w:color="auto" w:fill="auto"/>
            <w:vAlign w:val="center"/>
          </w:tcPr>
          <w:p w14:paraId="02C35FB4" w14:textId="77777777" w:rsidR="00992436" w:rsidRPr="0062251F" w:rsidRDefault="00992436" w:rsidP="00992436">
            <w:pPr>
              <w:pStyle w:val="Default"/>
              <w:snapToGrid w:val="0"/>
              <w:jc w:val="center"/>
              <w:rPr>
                <w:rFonts w:ascii="Palatino Linotype" w:hAnsi="Palatino Linotype"/>
                <w:b/>
                <w:sz w:val="18"/>
                <w:szCs w:val="22"/>
              </w:rPr>
            </w:pPr>
            <w:r w:rsidRPr="0062251F">
              <w:rPr>
                <w:rFonts w:ascii="Palatino Linotype" w:hAnsi="Palatino Linotype"/>
                <w:b/>
                <w:sz w:val="18"/>
                <w:szCs w:val="22"/>
              </w:rPr>
              <w:t>Gene</w:t>
            </w:r>
          </w:p>
        </w:tc>
        <w:tc>
          <w:tcPr>
            <w:tcW w:w="1308" w:type="dxa"/>
            <w:tcBorders>
              <w:top w:val="single" w:sz="8" w:space="0" w:color="auto"/>
              <w:bottom w:val="single" w:sz="4" w:space="0" w:color="auto"/>
            </w:tcBorders>
            <w:shd w:val="clear" w:color="auto" w:fill="auto"/>
            <w:vAlign w:val="center"/>
          </w:tcPr>
          <w:p w14:paraId="1C3B381C" w14:textId="77777777" w:rsidR="00992436" w:rsidRPr="0062251F" w:rsidRDefault="00992436" w:rsidP="00992436">
            <w:pPr>
              <w:pStyle w:val="Default"/>
              <w:snapToGrid w:val="0"/>
              <w:jc w:val="center"/>
              <w:rPr>
                <w:rFonts w:ascii="Palatino Linotype" w:hAnsi="Palatino Linotype"/>
                <w:b/>
                <w:sz w:val="18"/>
                <w:szCs w:val="22"/>
              </w:rPr>
            </w:pPr>
            <w:r w:rsidRPr="0062251F">
              <w:rPr>
                <w:rFonts w:ascii="Palatino Linotype" w:hAnsi="Palatino Linotype"/>
                <w:b/>
                <w:sz w:val="18"/>
                <w:szCs w:val="22"/>
              </w:rPr>
              <w:t>Reporter</w:t>
            </w:r>
          </w:p>
        </w:tc>
        <w:tc>
          <w:tcPr>
            <w:tcW w:w="1308" w:type="dxa"/>
            <w:tcBorders>
              <w:top w:val="single" w:sz="8" w:space="0" w:color="auto"/>
              <w:bottom w:val="single" w:sz="4" w:space="0" w:color="auto"/>
            </w:tcBorders>
            <w:shd w:val="clear" w:color="auto" w:fill="auto"/>
            <w:vAlign w:val="center"/>
          </w:tcPr>
          <w:p w14:paraId="26E45B19" w14:textId="77777777" w:rsidR="00992436" w:rsidRPr="0062251F" w:rsidRDefault="00992436" w:rsidP="00992436">
            <w:pPr>
              <w:pStyle w:val="Default"/>
              <w:snapToGrid w:val="0"/>
              <w:jc w:val="center"/>
              <w:rPr>
                <w:rFonts w:ascii="Palatino Linotype" w:hAnsi="Palatino Linotype"/>
                <w:b/>
                <w:sz w:val="18"/>
                <w:szCs w:val="22"/>
              </w:rPr>
            </w:pPr>
            <w:r w:rsidRPr="0062251F">
              <w:rPr>
                <w:rFonts w:ascii="Palatino Linotype" w:hAnsi="Palatino Linotype"/>
                <w:b/>
                <w:bCs/>
                <w:sz w:val="18"/>
                <w:szCs w:val="22"/>
              </w:rPr>
              <w:t>+</w:t>
            </w:r>
          </w:p>
        </w:tc>
        <w:tc>
          <w:tcPr>
            <w:tcW w:w="1309" w:type="dxa"/>
            <w:tcBorders>
              <w:top w:val="single" w:sz="8" w:space="0" w:color="auto"/>
              <w:bottom w:val="single" w:sz="4" w:space="0" w:color="auto"/>
            </w:tcBorders>
            <w:shd w:val="clear" w:color="auto" w:fill="auto"/>
            <w:vAlign w:val="center"/>
          </w:tcPr>
          <w:p w14:paraId="21879F28" w14:textId="1DFF0D6A" w:rsidR="00992436" w:rsidRPr="0062251F" w:rsidRDefault="00992436" w:rsidP="00992436">
            <w:pPr>
              <w:pStyle w:val="Default"/>
              <w:snapToGrid w:val="0"/>
              <w:jc w:val="center"/>
              <w:rPr>
                <w:rFonts w:ascii="Palatino Linotype" w:hAnsi="Palatino Linotype"/>
                <w:b/>
                <w:sz w:val="18"/>
                <w:szCs w:val="22"/>
              </w:rPr>
            </w:pPr>
            <w:r w:rsidRPr="0062251F">
              <w:rPr>
                <w:rFonts w:ascii="Palatino Linotype" w:hAnsi="Palatino Linotype"/>
                <w:b/>
                <w:bCs/>
                <w:sz w:val="18"/>
                <w:szCs w:val="22"/>
              </w:rPr>
              <w:t>−</w:t>
            </w:r>
          </w:p>
        </w:tc>
        <w:tc>
          <w:tcPr>
            <w:tcW w:w="1308" w:type="dxa"/>
            <w:tcBorders>
              <w:top w:val="single" w:sz="8" w:space="0" w:color="auto"/>
              <w:bottom w:val="single" w:sz="4" w:space="0" w:color="auto"/>
            </w:tcBorders>
            <w:shd w:val="clear" w:color="auto" w:fill="auto"/>
            <w:vAlign w:val="center"/>
          </w:tcPr>
          <w:p w14:paraId="6AF18989" w14:textId="77777777" w:rsidR="00992436" w:rsidRPr="0062251F" w:rsidRDefault="00992436" w:rsidP="00992436">
            <w:pPr>
              <w:pStyle w:val="Default"/>
              <w:snapToGrid w:val="0"/>
              <w:jc w:val="center"/>
              <w:rPr>
                <w:rFonts w:ascii="Palatino Linotype" w:hAnsi="Palatino Linotype"/>
                <w:b/>
                <w:sz w:val="18"/>
                <w:szCs w:val="22"/>
              </w:rPr>
            </w:pPr>
            <w:r w:rsidRPr="0062251F">
              <w:rPr>
                <w:rFonts w:ascii="Palatino Linotype" w:hAnsi="Palatino Linotype"/>
                <w:b/>
                <w:sz w:val="18"/>
                <w:szCs w:val="22"/>
              </w:rPr>
              <w:t>Gene</w:t>
            </w:r>
          </w:p>
        </w:tc>
        <w:tc>
          <w:tcPr>
            <w:tcW w:w="1309" w:type="dxa"/>
            <w:tcBorders>
              <w:top w:val="single" w:sz="8" w:space="0" w:color="auto"/>
              <w:bottom w:val="single" w:sz="4" w:space="0" w:color="auto"/>
            </w:tcBorders>
            <w:shd w:val="clear" w:color="auto" w:fill="auto"/>
            <w:vAlign w:val="center"/>
          </w:tcPr>
          <w:p w14:paraId="4F363BF6" w14:textId="77777777" w:rsidR="00992436" w:rsidRPr="0062251F" w:rsidRDefault="00992436" w:rsidP="00992436">
            <w:pPr>
              <w:pStyle w:val="Default"/>
              <w:snapToGrid w:val="0"/>
              <w:jc w:val="center"/>
              <w:rPr>
                <w:rFonts w:ascii="Palatino Linotype" w:hAnsi="Palatino Linotype"/>
                <w:b/>
                <w:sz w:val="18"/>
                <w:szCs w:val="22"/>
              </w:rPr>
            </w:pPr>
            <w:r w:rsidRPr="0062251F">
              <w:rPr>
                <w:rFonts w:ascii="Palatino Linotype" w:hAnsi="Palatino Linotype"/>
                <w:b/>
                <w:sz w:val="18"/>
                <w:szCs w:val="22"/>
              </w:rPr>
              <w:t>Reporter</w:t>
            </w:r>
          </w:p>
        </w:tc>
        <w:tc>
          <w:tcPr>
            <w:tcW w:w="1308" w:type="dxa"/>
            <w:tcBorders>
              <w:top w:val="single" w:sz="8" w:space="0" w:color="auto"/>
              <w:bottom w:val="single" w:sz="4" w:space="0" w:color="auto"/>
            </w:tcBorders>
            <w:shd w:val="clear" w:color="auto" w:fill="auto"/>
            <w:vAlign w:val="center"/>
          </w:tcPr>
          <w:p w14:paraId="6EA73B7C" w14:textId="77777777" w:rsidR="00992436" w:rsidRPr="0062251F" w:rsidRDefault="00992436" w:rsidP="00992436">
            <w:pPr>
              <w:pStyle w:val="Default"/>
              <w:snapToGrid w:val="0"/>
              <w:jc w:val="center"/>
              <w:rPr>
                <w:rFonts w:ascii="Palatino Linotype" w:hAnsi="Palatino Linotype"/>
                <w:b/>
                <w:sz w:val="18"/>
                <w:szCs w:val="22"/>
              </w:rPr>
            </w:pPr>
            <w:r w:rsidRPr="0062251F">
              <w:rPr>
                <w:rFonts w:ascii="Palatino Linotype" w:hAnsi="Palatino Linotype"/>
                <w:b/>
                <w:bCs/>
                <w:sz w:val="18"/>
                <w:szCs w:val="22"/>
              </w:rPr>
              <w:t>+</w:t>
            </w:r>
          </w:p>
        </w:tc>
        <w:tc>
          <w:tcPr>
            <w:tcW w:w="1309" w:type="dxa"/>
            <w:tcBorders>
              <w:top w:val="single" w:sz="8" w:space="0" w:color="auto"/>
              <w:bottom w:val="single" w:sz="4" w:space="0" w:color="auto"/>
            </w:tcBorders>
            <w:shd w:val="clear" w:color="auto" w:fill="auto"/>
            <w:vAlign w:val="center"/>
          </w:tcPr>
          <w:p w14:paraId="20A1EC33" w14:textId="23BD0558" w:rsidR="00992436" w:rsidRPr="0062251F" w:rsidRDefault="00992436" w:rsidP="00992436">
            <w:pPr>
              <w:pStyle w:val="Default"/>
              <w:snapToGrid w:val="0"/>
              <w:jc w:val="center"/>
              <w:rPr>
                <w:rFonts w:ascii="Palatino Linotype" w:hAnsi="Palatino Linotype"/>
                <w:b/>
                <w:sz w:val="18"/>
                <w:szCs w:val="22"/>
              </w:rPr>
            </w:pPr>
            <w:r w:rsidRPr="0062251F">
              <w:rPr>
                <w:rFonts w:ascii="Palatino Linotype" w:hAnsi="Palatino Linotype"/>
                <w:b/>
                <w:bCs/>
                <w:sz w:val="18"/>
                <w:szCs w:val="22"/>
              </w:rPr>
              <w:t>−</w:t>
            </w:r>
          </w:p>
        </w:tc>
      </w:tr>
      <w:tr w:rsidR="00992436" w:rsidRPr="0062251F" w14:paraId="73DA8AF3" w14:textId="77777777" w:rsidTr="00992436">
        <w:trPr>
          <w:jc w:val="center"/>
        </w:trPr>
        <w:tc>
          <w:tcPr>
            <w:tcW w:w="1306" w:type="dxa"/>
            <w:tcBorders>
              <w:top w:val="single" w:sz="4" w:space="0" w:color="auto"/>
            </w:tcBorders>
            <w:shd w:val="clear" w:color="auto" w:fill="auto"/>
            <w:vAlign w:val="center"/>
          </w:tcPr>
          <w:p w14:paraId="37A81BF7"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ULK1</w:t>
            </w:r>
          </w:p>
        </w:tc>
        <w:tc>
          <w:tcPr>
            <w:tcW w:w="1308" w:type="dxa"/>
            <w:tcBorders>
              <w:top w:val="single" w:sz="4" w:space="0" w:color="auto"/>
            </w:tcBorders>
            <w:shd w:val="clear" w:color="auto" w:fill="auto"/>
            <w:vAlign w:val="center"/>
          </w:tcPr>
          <w:p w14:paraId="474593B1"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209333_at</w:t>
            </w:r>
          </w:p>
        </w:tc>
        <w:tc>
          <w:tcPr>
            <w:tcW w:w="1308" w:type="dxa"/>
            <w:tcBorders>
              <w:top w:val="single" w:sz="4" w:space="0" w:color="auto"/>
            </w:tcBorders>
            <w:shd w:val="clear" w:color="auto" w:fill="auto"/>
            <w:vAlign w:val="center"/>
          </w:tcPr>
          <w:p w14:paraId="533FD9A5"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tcBorders>
              <w:top w:val="single" w:sz="4" w:space="0" w:color="auto"/>
            </w:tcBorders>
            <w:shd w:val="clear" w:color="auto" w:fill="auto"/>
            <w:vAlign w:val="center"/>
          </w:tcPr>
          <w:p w14:paraId="538D81CE"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8" w:type="dxa"/>
            <w:tcBorders>
              <w:top w:val="single" w:sz="4" w:space="0" w:color="auto"/>
            </w:tcBorders>
            <w:shd w:val="clear" w:color="auto" w:fill="auto"/>
            <w:vAlign w:val="center"/>
          </w:tcPr>
          <w:p w14:paraId="76B9A721"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ATG4C*</w:t>
            </w:r>
          </w:p>
        </w:tc>
        <w:tc>
          <w:tcPr>
            <w:tcW w:w="1309" w:type="dxa"/>
            <w:tcBorders>
              <w:top w:val="single" w:sz="4" w:space="0" w:color="auto"/>
            </w:tcBorders>
            <w:shd w:val="clear" w:color="auto" w:fill="auto"/>
            <w:vAlign w:val="center"/>
          </w:tcPr>
          <w:p w14:paraId="4B4DA163"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228190_at</w:t>
            </w:r>
          </w:p>
        </w:tc>
        <w:tc>
          <w:tcPr>
            <w:tcW w:w="1308" w:type="dxa"/>
            <w:tcBorders>
              <w:top w:val="single" w:sz="4" w:space="0" w:color="auto"/>
            </w:tcBorders>
            <w:shd w:val="clear" w:color="auto" w:fill="auto"/>
            <w:vAlign w:val="center"/>
          </w:tcPr>
          <w:p w14:paraId="7C352B4D"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tcBorders>
              <w:top w:val="single" w:sz="4" w:space="0" w:color="auto"/>
            </w:tcBorders>
            <w:shd w:val="clear" w:color="auto" w:fill="auto"/>
            <w:vAlign w:val="center"/>
          </w:tcPr>
          <w:p w14:paraId="1ECB2F19"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r>
      <w:tr w:rsidR="00992436" w:rsidRPr="0062251F" w14:paraId="6A744F93" w14:textId="77777777" w:rsidTr="00992436">
        <w:trPr>
          <w:jc w:val="center"/>
        </w:trPr>
        <w:tc>
          <w:tcPr>
            <w:tcW w:w="1306" w:type="dxa"/>
            <w:shd w:val="clear" w:color="auto" w:fill="auto"/>
            <w:vAlign w:val="center"/>
          </w:tcPr>
          <w:p w14:paraId="22118750"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ULK2</w:t>
            </w:r>
          </w:p>
        </w:tc>
        <w:tc>
          <w:tcPr>
            <w:tcW w:w="1308" w:type="dxa"/>
            <w:shd w:val="clear" w:color="auto" w:fill="auto"/>
            <w:vAlign w:val="center"/>
          </w:tcPr>
          <w:p w14:paraId="1580C56F"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204062_s_at</w:t>
            </w:r>
          </w:p>
        </w:tc>
        <w:tc>
          <w:tcPr>
            <w:tcW w:w="1308" w:type="dxa"/>
            <w:shd w:val="clear" w:color="auto" w:fill="auto"/>
            <w:vAlign w:val="center"/>
          </w:tcPr>
          <w:p w14:paraId="0822DDBD"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3CA147CB"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8" w:type="dxa"/>
            <w:shd w:val="clear" w:color="auto" w:fill="auto"/>
            <w:vAlign w:val="center"/>
          </w:tcPr>
          <w:p w14:paraId="124C1010"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ATG4D*</w:t>
            </w:r>
          </w:p>
        </w:tc>
        <w:tc>
          <w:tcPr>
            <w:tcW w:w="1309" w:type="dxa"/>
            <w:shd w:val="clear" w:color="auto" w:fill="auto"/>
            <w:vAlign w:val="center"/>
          </w:tcPr>
          <w:p w14:paraId="0B10FD13"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226871_s_at</w:t>
            </w:r>
          </w:p>
        </w:tc>
        <w:tc>
          <w:tcPr>
            <w:tcW w:w="1308" w:type="dxa"/>
            <w:shd w:val="clear" w:color="auto" w:fill="auto"/>
            <w:vAlign w:val="center"/>
          </w:tcPr>
          <w:p w14:paraId="25C96B6A"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3B2A8D1C"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r>
      <w:tr w:rsidR="00992436" w:rsidRPr="0062251F" w14:paraId="564E6E2C" w14:textId="77777777" w:rsidTr="00992436">
        <w:trPr>
          <w:jc w:val="center"/>
        </w:trPr>
        <w:tc>
          <w:tcPr>
            <w:tcW w:w="1306" w:type="dxa"/>
            <w:shd w:val="clear" w:color="auto" w:fill="auto"/>
            <w:vAlign w:val="center"/>
          </w:tcPr>
          <w:p w14:paraId="0B1DA388"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FIP200</w:t>
            </w:r>
          </w:p>
        </w:tc>
        <w:tc>
          <w:tcPr>
            <w:tcW w:w="1308" w:type="dxa"/>
            <w:shd w:val="clear" w:color="auto" w:fill="auto"/>
            <w:vAlign w:val="center"/>
          </w:tcPr>
          <w:p w14:paraId="0B1745D1"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202033_s_at</w:t>
            </w:r>
          </w:p>
        </w:tc>
        <w:tc>
          <w:tcPr>
            <w:tcW w:w="1308" w:type="dxa"/>
            <w:shd w:val="clear" w:color="auto" w:fill="auto"/>
            <w:vAlign w:val="center"/>
          </w:tcPr>
          <w:p w14:paraId="16DE1940"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617B7A2C"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8" w:type="dxa"/>
            <w:shd w:val="clear" w:color="auto" w:fill="auto"/>
            <w:vAlign w:val="center"/>
          </w:tcPr>
          <w:p w14:paraId="590AE697"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ATG5</w:t>
            </w:r>
          </w:p>
        </w:tc>
        <w:tc>
          <w:tcPr>
            <w:tcW w:w="1309" w:type="dxa"/>
            <w:shd w:val="clear" w:color="auto" w:fill="auto"/>
            <w:vAlign w:val="center"/>
          </w:tcPr>
          <w:p w14:paraId="123D0B52"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202511_s_at</w:t>
            </w:r>
          </w:p>
        </w:tc>
        <w:tc>
          <w:tcPr>
            <w:tcW w:w="1308" w:type="dxa"/>
            <w:shd w:val="clear" w:color="auto" w:fill="auto"/>
            <w:vAlign w:val="center"/>
          </w:tcPr>
          <w:p w14:paraId="4AE801CF"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419A44CE"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Low</w:t>
            </w:r>
          </w:p>
        </w:tc>
      </w:tr>
      <w:tr w:rsidR="00992436" w:rsidRPr="0062251F" w14:paraId="624B16A8" w14:textId="77777777" w:rsidTr="00992436">
        <w:trPr>
          <w:jc w:val="center"/>
        </w:trPr>
        <w:tc>
          <w:tcPr>
            <w:tcW w:w="1306" w:type="dxa"/>
            <w:shd w:val="clear" w:color="auto" w:fill="auto"/>
            <w:vAlign w:val="center"/>
          </w:tcPr>
          <w:p w14:paraId="19E577F0"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ATG101</w:t>
            </w:r>
          </w:p>
        </w:tc>
        <w:tc>
          <w:tcPr>
            <w:tcW w:w="1308" w:type="dxa"/>
            <w:shd w:val="clear" w:color="auto" w:fill="auto"/>
            <w:vAlign w:val="center"/>
          </w:tcPr>
          <w:p w14:paraId="1336DF86"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218214_at</w:t>
            </w:r>
          </w:p>
        </w:tc>
        <w:tc>
          <w:tcPr>
            <w:tcW w:w="1308" w:type="dxa"/>
            <w:shd w:val="clear" w:color="auto" w:fill="auto"/>
            <w:vAlign w:val="center"/>
          </w:tcPr>
          <w:p w14:paraId="3B29C709"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4CC57651"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8" w:type="dxa"/>
            <w:shd w:val="clear" w:color="auto" w:fill="auto"/>
            <w:vAlign w:val="center"/>
          </w:tcPr>
          <w:p w14:paraId="4E58D74B"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ATG7</w:t>
            </w:r>
          </w:p>
        </w:tc>
        <w:tc>
          <w:tcPr>
            <w:tcW w:w="1309" w:type="dxa"/>
            <w:shd w:val="clear" w:color="auto" w:fill="auto"/>
            <w:vAlign w:val="center"/>
          </w:tcPr>
          <w:p w14:paraId="4148383B"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218673_s_at</w:t>
            </w:r>
          </w:p>
        </w:tc>
        <w:tc>
          <w:tcPr>
            <w:tcW w:w="1308" w:type="dxa"/>
            <w:shd w:val="clear" w:color="auto" w:fill="auto"/>
            <w:vAlign w:val="center"/>
          </w:tcPr>
          <w:p w14:paraId="0AA1FD10"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03760930"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r>
      <w:tr w:rsidR="00992436" w:rsidRPr="0062251F" w14:paraId="249A75C1" w14:textId="77777777" w:rsidTr="00992436">
        <w:trPr>
          <w:jc w:val="center"/>
        </w:trPr>
        <w:tc>
          <w:tcPr>
            <w:tcW w:w="1306" w:type="dxa"/>
            <w:shd w:val="clear" w:color="auto" w:fill="auto"/>
            <w:vAlign w:val="center"/>
          </w:tcPr>
          <w:p w14:paraId="75B108EA"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ATG9A</w:t>
            </w:r>
          </w:p>
        </w:tc>
        <w:tc>
          <w:tcPr>
            <w:tcW w:w="1308" w:type="dxa"/>
            <w:shd w:val="clear" w:color="auto" w:fill="auto"/>
            <w:vAlign w:val="center"/>
          </w:tcPr>
          <w:p w14:paraId="23AFE9B4"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202492_at</w:t>
            </w:r>
          </w:p>
        </w:tc>
        <w:tc>
          <w:tcPr>
            <w:tcW w:w="1308" w:type="dxa"/>
            <w:shd w:val="clear" w:color="auto" w:fill="auto"/>
            <w:vAlign w:val="center"/>
          </w:tcPr>
          <w:p w14:paraId="2EA55910"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185676E8"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Low</w:t>
            </w:r>
          </w:p>
        </w:tc>
        <w:tc>
          <w:tcPr>
            <w:tcW w:w="1308" w:type="dxa"/>
            <w:shd w:val="clear" w:color="auto" w:fill="auto"/>
            <w:vAlign w:val="center"/>
          </w:tcPr>
          <w:p w14:paraId="481C6FAF"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ATG10</w:t>
            </w:r>
          </w:p>
        </w:tc>
        <w:tc>
          <w:tcPr>
            <w:tcW w:w="1309" w:type="dxa"/>
            <w:shd w:val="clear" w:color="auto" w:fill="auto"/>
            <w:vAlign w:val="center"/>
          </w:tcPr>
          <w:p w14:paraId="05F55868"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207774_at</w:t>
            </w:r>
          </w:p>
        </w:tc>
        <w:tc>
          <w:tcPr>
            <w:tcW w:w="1308" w:type="dxa"/>
            <w:shd w:val="clear" w:color="auto" w:fill="auto"/>
            <w:vAlign w:val="center"/>
          </w:tcPr>
          <w:p w14:paraId="304D3A5D"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1DC4DE8C"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r>
      <w:tr w:rsidR="00992436" w:rsidRPr="0062251F" w14:paraId="2EACCEB4" w14:textId="77777777" w:rsidTr="00992436">
        <w:trPr>
          <w:jc w:val="center"/>
        </w:trPr>
        <w:tc>
          <w:tcPr>
            <w:tcW w:w="1306" w:type="dxa"/>
            <w:shd w:val="clear" w:color="auto" w:fill="auto"/>
            <w:vAlign w:val="center"/>
          </w:tcPr>
          <w:p w14:paraId="54A43F3C" w14:textId="3EDF81B5"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ATG9B*</w:t>
            </w:r>
          </w:p>
        </w:tc>
        <w:tc>
          <w:tcPr>
            <w:tcW w:w="1308" w:type="dxa"/>
            <w:shd w:val="clear" w:color="auto" w:fill="auto"/>
            <w:vAlign w:val="center"/>
          </w:tcPr>
          <w:p w14:paraId="3C1ABDA2"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229252_at</w:t>
            </w:r>
          </w:p>
        </w:tc>
        <w:tc>
          <w:tcPr>
            <w:tcW w:w="1308" w:type="dxa"/>
            <w:shd w:val="clear" w:color="auto" w:fill="auto"/>
            <w:vAlign w:val="center"/>
          </w:tcPr>
          <w:p w14:paraId="68E9CBB6"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6C38F97A"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8" w:type="dxa"/>
            <w:shd w:val="clear" w:color="auto" w:fill="auto"/>
            <w:vAlign w:val="center"/>
          </w:tcPr>
          <w:p w14:paraId="60C7C0E5"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ATG12</w:t>
            </w:r>
          </w:p>
        </w:tc>
        <w:tc>
          <w:tcPr>
            <w:tcW w:w="1309" w:type="dxa"/>
            <w:shd w:val="clear" w:color="auto" w:fill="auto"/>
            <w:vAlign w:val="center"/>
          </w:tcPr>
          <w:p w14:paraId="6A3FE988"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213026_at</w:t>
            </w:r>
          </w:p>
        </w:tc>
        <w:tc>
          <w:tcPr>
            <w:tcW w:w="1308" w:type="dxa"/>
            <w:shd w:val="clear" w:color="auto" w:fill="auto"/>
            <w:vAlign w:val="center"/>
          </w:tcPr>
          <w:p w14:paraId="30EEE62A"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Low</w:t>
            </w:r>
          </w:p>
        </w:tc>
        <w:tc>
          <w:tcPr>
            <w:tcW w:w="1309" w:type="dxa"/>
            <w:shd w:val="clear" w:color="auto" w:fill="auto"/>
            <w:vAlign w:val="center"/>
          </w:tcPr>
          <w:p w14:paraId="5800B857"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r>
      <w:tr w:rsidR="00992436" w:rsidRPr="0062251F" w14:paraId="695CA54D" w14:textId="77777777" w:rsidTr="00992436">
        <w:trPr>
          <w:jc w:val="center"/>
        </w:trPr>
        <w:tc>
          <w:tcPr>
            <w:tcW w:w="1306" w:type="dxa"/>
            <w:shd w:val="clear" w:color="auto" w:fill="auto"/>
            <w:vAlign w:val="center"/>
          </w:tcPr>
          <w:p w14:paraId="368294DA"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BECN1</w:t>
            </w:r>
          </w:p>
        </w:tc>
        <w:tc>
          <w:tcPr>
            <w:tcW w:w="1308" w:type="dxa"/>
            <w:shd w:val="clear" w:color="auto" w:fill="auto"/>
            <w:vAlign w:val="center"/>
          </w:tcPr>
          <w:p w14:paraId="4A953148"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208946_s_at</w:t>
            </w:r>
          </w:p>
        </w:tc>
        <w:tc>
          <w:tcPr>
            <w:tcW w:w="1308" w:type="dxa"/>
            <w:shd w:val="clear" w:color="auto" w:fill="auto"/>
            <w:vAlign w:val="center"/>
          </w:tcPr>
          <w:p w14:paraId="589078F0"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397C6A9A"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High</w:t>
            </w:r>
          </w:p>
        </w:tc>
        <w:tc>
          <w:tcPr>
            <w:tcW w:w="1308" w:type="dxa"/>
            <w:shd w:val="clear" w:color="auto" w:fill="auto"/>
            <w:vAlign w:val="center"/>
          </w:tcPr>
          <w:p w14:paraId="7512607F"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ATG16L1</w:t>
            </w:r>
          </w:p>
        </w:tc>
        <w:tc>
          <w:tcPr>
            <w:tcW w:w="1309" w:type="dxa"/>
            <w:shd w:val="clear" w:color="auto" w:fill="auto"/>
            <w:vAlign w:val="center"/>
          </w:tcPr>
          <w:p w14:paraId="5D0CDE13"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220521_s_at</w:t>
            </w:r>
          </w:p>
        </w:tc>
        <w:tc>
          <w:tcPr>
            <w:tcW w:w="1308" w:type="dxa"/>
            <w:shd w:val="clear" w:color="auto" w:fill="auto"/>
            <w:vAlign w:val="center"/>
          </w:tcPr>
          <w:p w14:paraId="51B05525"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74BF48E6"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High</w:t>
            </w:r>
          </w:p>
        </w:tc>
      </w:tr>
      <w:tr w:rsidR="00992436" w:rsidRPr="0062251F" w14:paraId="75EF8761" w14:textId="77777777" w:rsidTr="00992436">
        <w:trPr>
          <w:jc w:val="center"/>
        </w:trPr>
        <w:tc>
          <w:tcPr>
            <w:tcW w:w="1306" w:type="dxa"/>
            <w:shd w:val="clear" w:color="auto" w:fill="auto"/>
            <w:vAlign w:val="center"/>
          </w:tcPr>
          <w:p w14:paraId="223E5DA8"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PIK3CB</w:t>
            </w:r>
          </w:p>
        </w:tc>
        <w:tc>
          <w:tcPr>
            <w:tcW w:w="1308" w:type="dxa"/>
            <w:shd w:val="clear" w:color="auto" w:fill="auto"/>
            <w:vAlign w:val="center"/>
          </w:tcPr>
          <w:p w14:paraId="4D9BB1F9"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212688_at</w:t>
            </w:r>
          </w:p>
        </w:tc>
        <w:tc>
          <w:tcPr>
            <w:tcW w:w="1308" w:type="dxa"/>
            <w:shd w:val="clear" w:color="auto" w:fill="auto"/>
            <w:vAlign w:val="center"/>
          </w:tcPr>
          <w:p w14:paraId="69078348"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60445B96"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Low</w:t>
            </w:r>
          </w:p>
        </w:tc>
        <w:tc>
          <w:tcPr>
            <w:tcW w:w="1308" w:type="dxa"/>
            <w:shd w:val="clear" w:color="auto" w:fill="auto"/>
            <w:vAlign w:val="center"/>
          </w:tcPr>
          <w:p w14:paraId="397A820D"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ATG16L2*</w:t>
            </w:r>
          </w:p>
        </w:tc>
        <w:tc>
          <w:tcPr>
            <w:tcW w:w="1309" w:type="dxa"/>
            <w:shd w:val="clear" w:color="auto" w:fill="auto"/>
            <w:vAlign w:val="center"/>
          </w:tcPr>
          <w:p w14:paraId="2BDC1087"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225883_at</w:t>
            </w:r>
          </w:p>
        </w:tc>
        <w:tc>
          <w:tcPr>
            <w:tcW w:w="1308" w:type="dxa"/>
            <w:shd w:val="clear" w:color="auto" w:fill="auto"/>
            <w:vAlign w:val="center"/>
          </w:tcPr>
          <w:p w14:paraId="3472E2C9"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36730765"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High</w:t>
            </w:r>
          </w:p>
        </w:tc>
      </w:tr>
      <w:tr w:rsidR="00992436" w:rsidRPr="0062251F" w14:paraId="624E32F4" w14:textId="77777777" w:rsidTr="00992436">
        <w:trPr>
          <w:jc w:val="center"/>
        </w:trPr>
        <w:tc>
          <w:tcPr>
            <w:tcW w:w="1306" w:type="dxa"/>
            <w:shd w:val="clear" w:color="auto" w:fill="auto"/>
            <w:vAlign w:val="center"/>
          </w:tcPr>
          <w:p w14:paraId="01297E57"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PIK3C3</w:t>
            </w:r>
          </w:p>
        </w:tc>
        <w:tc>
          <w:tcPr>
            <w:tcW w:w="1308" w:type="dxa"/>
            <w:shd w:val="clear" w:color="auto" w:fill="auto"/>
            <w:vAlign w:val="center"/>
          </w:tcPr>
          <w:p w14:paraId="2FE08AE0"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204297_at</w:t>
            </w:r>
          </w:p>
        </w:tc>
        <w:tc>
          <w:tcPr>
            <w:tcW w:w="1308" w:type="dxa"/>
            <w:shd w:val="clear" w:color="auto" w:fill="auto"/>
            <w:vAlign w:val="center"/>
          </w:tcPr>
          <w:p w14:paraId="543C80DA"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3028097E"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8" w:type="dxa"/>
            <w:shd w:val="clear" w:color="auto" w:fill="auto"/>
            <w:vAlign w:val="center"/>
          </w:tcPr>
          <w:p w14:paraId="0B01044A"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MAP1LC3A*</w:t>
            </w:r>
          </w:p>
        </w:tc>
        <w:tc>
          <w:tcPr>
            <w:tcW w:w="1309" w:type="dxa"/>
            <w:shd w:val="clear" w:color="auto" w:fill="auto"/>
            <w:vAlign w:val="center"/>
          </w:tcPr>
          <w:p w14:paraId="410E325F"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232011_s_at</w:t>
            </w:r>
          </w:p>
        </w:tc>
        <w:tc>
          <w:tcPr>
            <w:tcW w:w="1308" w:type="dxa"/>
            <w:shd w:val="clear" w:color="auto" w:fill="auto"/>
            <w:vAlign w:val="center"/>
          </w:tcPr>
          <w:p w14:paraId="58AF35C9"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High</w:t>
            </w:r>
          </w:p>
        </w:tc>
        <w:tc>
          <w:tcPr>
            <w:tcW w:w="1309" w:type="dxa"/>
            <w:shd w:val="clear" w:color="auto" w:fill="auto"/>
            <w:vAlign w:val="center"/>
          </w:tcPr>
          <w:p w14:paraId="54AF409A"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High</w:t>
            </w:r>
          </w:p>
        </w:tc>
      </w:tr>
      <w:tr w:rsidR="00992436" w:rsidRPr="0062251F" w14:paraId="494784CE" w14:textId="77777777" w:rsidTr="00992436">
        <w:trPr>
          <w:jc w:val="center"/>
        </w:trPr>
        <w:tc>
          <w:tcPr>
            <w:tcW w:w="1306" w:type="dxa"/>
            <w:shd w:val="clear" w:color="auto" w:fill="auto"/>
            <w:vAlign w:val="center"/>
          </w:tcPr>
          <w:p w14:paraId="6D05A0C4"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AMBRA1</w:t>
            </w:r>
          </w:p>
        </w:tc>
        <w:tc>
          <w:tcPr>
            <w:tcW w:w="1308" w:type="dxa"/>
            <w:shd w:val="clear" w:color="auto" w:fill="auto"/>
            <w:vAlign w:val="center"/>
          </w:tcPr>
          <w:p w14:paraId="0BF56F26"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52731_at</w:t>
            </w:r>
          </w:p>
        </w:tc>
        <w:tc>
          <w:tcPr>
            <w:tcW w:w="1308" w:type="dxa"/>
            <w:shd w:val="clear" w:color="auto" w:fill="auto"/>
            <w:vAlign w:val="center"/>
          </w:tcPr>
          <w:p w14:paraId="61B5C6AA"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15935B00"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8" w:type="dxa"/>
            <w:shd w:val="clear" w:color="auto" w:fill="auto"/>
            <w:vAlign w:val="center"/>
          </w:tcPr>
          <w:p w14:paraId="5116D069"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MAP1LC3B</w:t>
            </w:r>
          </w:p>
        </w:tc>
        <w:tc>
          <w:tcPr>
            <w:tcW w:w="1309" w:type="dxa"/>
            <w:shd w:val="clear" w:color="auto" w:fill="auto"/>
            <w:vAlign w:val="center"/>
          </w:tcPr>
          <w:p w14:paraId="73463BEF"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208786_s_at</w:t>
            </w:r>
          </w:p>
        </w:tc>
        <w:tc>
          <w:tcPr>
            <w:tcW w:w="1308" w:type="dxa"/>
            <w:shd w:val="clear" w:color="auto" w:fill="auto"/>
            <w:vAlign w:val="center"/>
          </w:tcPr>
          <w:p w14:paraId="68764053"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Low</w:t>
            </w:r>
          </w:p>
        </w:tc>
        <w:tc>
          <w:tcPr>
            <w:tcW w:w="1309" w:type="dxa"/>
            <w:shd w:val="clear" w:color="auto" w:fill="auto"/>
            <w:vAlign w:val="center"/>
          </w:tcPr>
          <w:p w14:paraId="1B8E9DC6"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r>
      <w:tr w:rsidR="00992436" w:rsidRPr="0062251F" w14:paraId="682617D7" w14:textId="77777777" w:rsidTr="00992436">
        <w:trPr>
          <w:jc w:val="center"/>
        </w:trPr>
        <w:tc>
          <w:tcPr>
            <w:tcW w:w="1306" w:type="dxa"/>
            <w:shd w:val="clear" w:color="auto" w:fill="auto"/>
            <w:vAlign w:val="center"/>
          </w:tcPr>
          <w:p w14:paraId="57BE9E70"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UVRAG</w:t>
            </w:r>
          </w:p>
        </w:tc>
        <w:tc>
          <w:tcPr>
            <w:tcW w:w="1308" w:type="dxa"/>
            <w:shd w:val="clear" w:color="auto" w:fill="auto"/>
            <w:vAlign w:val="center"/>
          </w:tcPr>
          <w:p w14:paraId="46D11317"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203241_at</w:t>
            </w:r>
          </w:p>
        </w:tc>
        <w:tc>
          <w:tcPr>
            <w:tcW w:w="1308" w:type="dxa"/>
            <w:shd w:val="clear" w:color="auto" w:fill="auto"/>
            <w:vAlign w:val="center"/>
          </w:tcPr>
          <w:p w14:paraId="5DD6427A"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7FC13C73"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High</w:t>
            </w:r>
          </w:p>
        </w:tc>
        <w:tc>
          <w:tcPr>
            <w:tcW w:w="1308" w:type="dxa"/>
            <w:shd w:val="clear" w:color="auto" w:fill="auto"/>
            <w:vAlign w:val="center"/>
          </w:tcPr>
          <w:p w14:paraId="33390AD4"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MAP1LC3C</w:t>
            </w:r>
          </w:p>
        </w:tc>
        <w:tc>
          <w:tcPr>
            <w:tcW w:w="1309" w:type="dxa"/>
            <w:shd w:val="clear" w:color="auto" w:fill="auto"/>
            <w:vAlign w:val="center"/>
          </w:tcPr>
          <w:p w14:paraId="2E613504"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221697_at</w:t>
            </w:r>
          </w:p>
        </w:tc>
        <w:tc>
          <w:tcPr>
            <w:tcW w:w="1308" w:type="dxa"/>
            <w:shd w:val="clear" w:color="auto" w:fill="auto"/>
            <w:vAlign w:val="center"/>
          </w:tcPr>
          <w:p w14:paraId="623BB7AA"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High</w:t>
            </w:r>
          </w:p>
        </w:tc>
        <w:tc>
          <w:tcPr>
            <w:tcW w:w="1309" w:type="dxa"/>
            <w:shd w:val="clear" w:color="auto" w:fill="auto"/>
            <w:vAlign w:val="center"/>
          </w:tcPr>
          <w:p w14:paraId="2801CD1A"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r>
      <w:tr w:rsidR="00992436" w:rsidRPr="0062251F" w14:paraId="0392FD36" w14:textId="77777777" w:rsidTr="00992436">
        <w:trPr>
          <w:jc w:val="center"/>
        </w:trPr>
        <w:tc>
          <w:tcPr>
            <w:tcW w:w="1306" w:type="dxa"/>
            <w:shd w:val="clear" w:color="auto" w:fill="auto"/>
            <w:vAlign w:val="center"/>
          </w:tcPr>
          <w:p w14:paraId="186D7231"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BIF1</w:t>
            </w:r>
          </w:p>
        </w:tc>
        <w:tc>
          <w:tcPr>
            <w:tcW w:w="1308" w:type="dxa"/>
            <w:shd w:val="clear" w:color="auto" w:fill="auto"/>
            <w:vAlign w:val="center"/>
          </w:tcPr>
          <w:p w14:paraId="39C28889"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205340_at</w:t>
            </w:r>
          </w:p>
        </w:tc>
        <w:tc>
          <w:tcPr>
            <w:tcW w:w="1308" w:type="dxa"/>
            <w:shd w:val="clear" w:color="auto" w:fill="auto"/>
            <w:vAlign w:val="center"/>
          </w:tcPr>
          <w:p w14:paraId="76FCB53A"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57C15A85"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8" w:type="dxa"/>
            <w:shd w:val="clear" w:color="auto" w:fill="auto"/>
            <w:vAlign w:val="center"/>
          </w:tcPr>
          <w:p w14:paraId="2FBA8240"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GABARAPL1</w:t>
            </w:r>
          </w:p>
        </w:tc>
        <w:tc>
          <w:tcPr>
            <w:tcW w:w="1309" w:type="dxa"/>
            <w:shd w:val="clear" w:color="auto" w:fill="auto"/>
            <w:vAlign w:val="center"/>
          </w:tcPr>
          <w:p w14:paraId="2123943D"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208868_s_at</w:t>
            </w:r>
          </w:p>
        </w:tc>
        <w:tc>
          <w:tcPr>
            <w:tcW w:w="1308" w:type="dxa"/>
            <w:shd w:val="clear" w:color="auto" w:fill="auto"/>
            <w:vAlign w:val="center"/>
          </w:tcPr>
          <w:p w14:paraId="6CFAAA78"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676AB447"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r>
      <w:tr w:rsidR="00992436" w:rsidRPr="0062251F" w14:paraId="32DB7719" w14:textId="77777777" w:rsidTr="00992436">
        <w:trPr>
          <w:jc w:val="center"/>
        </w:trPr>
        <w:tc>
          <w:tcPr>
            <w:tcW w:w="1306" w:type="dxa"/>
            <w:shd w:val="clear" w:color="auto" w:fill="auto"/>
            <w:vAlign w:val="center"/>
          </w:tcPr>
          <w:p w14:paraId="3908A5EF"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PIK3R4</w:t>
            </w:r>
          </w:p>
        </w:tc>
        <w:tc>
          <w:tcPr>
            <w:tcW w:w="1308" w:type="dxa"/>
            <w:shd w:val="clear" w:color="auto" w:fill="auto"/>
            <w:vAlign w:val="center"/>
          </w:tcPr>
          <w:p w14:paraId="1BD286D6"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212740_at</w:t>
            </w:r>
          </w:p>
        </w:tc>
        <w:tc>
          <w:tcPr>
            <w:tcW w:w="1308" w:type="dxa"/>
            <w:shd w:val="clear" w:color="auto" w:fill="auto"/>
            <w:vAlign w:val="center"/>
          </w:tcPr>
          <w:p w14:paraId="768B7E61"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607C49BF"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8" w:type="dxa"/>
            <w:shd w:val="clear" w:color="auto" w:fill="auto"/>
            <w:vAlign w:val="center"/>
          </w:tcPr>
          <w:p w14:paraId="1B25FDA1"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GABARAPL2</w:t>
            </w:r>
          </w:p>
        </w:tc>
        <w:tc>
          <w:tcPr>
            <w:tcW w:w="1309" w:type="dxa"/>
            <w:shd w:val="clear" w:color="auto" w:fill="auto"/>
            <w:vAlign w:val="center"/>
          </w:tcPr>
          <w:p w14:paraId="1B7FC9C8"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209046_s_at</w:t>
            </w:r>
          </w:p>
        </w:tc>
        <w:tc>
          <w:tcPr>
            <w:tcW w:w="1308" w:type="dxa"/>
            <w:shd w:val="clear" w:color="auto" w:fill="auto"/>
            <w:vAlign w:val="center"/>
          </w:tcPr>
          <w:p w14:paraId="106CAB4A"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33F4011D"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r>
      <w:tr w:rsidR="00992436" w:rsidRPr="0062251F" w14:paraId="0F658C85" w14:textId="77777777" w:rsidTr="00992436">
        <w:trPr>
          <w:jc w:val="center"/>
        </w:trPr>
        <w:tc>
          <w:tcPr>
            <w:tcW w:w="1306" w:type="dxa"/>
            <w:shd w:val="clear" w:color="auto" w:fill="auto"/>
            <w:vAlign w:val="center"/>
          </w:tcPr>
          <w:p w14:paraId="2874D173"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ATG2A</w:t>
            </w:r>
          </w:p>
        </w:tc>
        <w:tc>
          <w:tcPr>
            <w:tcW w:w="1308" w:type="dxa"/>
            <w:shd w:val="clear" w:color="auto" w:fill="auto"/>
            <w:vAlign w:val="center"/>
          </w:tcPr>
          <w:p w14:paraId="2493FAAD"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213300_at</w:t>
            </w:r>
          </w:p>
        </w:tc>
        <w:tc>
          <w:tcPr>
            <w:tcW w:w="1308" w:type="dxa"/>
            <w:shd w:val="clear" w:color="auto" w:fill="auto"/>
            <w:vAlign w:val="center"/>
          </w:tcPr>
          <w:p w14:paraId="5C0486C7"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34B36885"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8" w:type="dxa"/>
            <w:shd w:val="clear" w:color="auto" w:fill="auto"/>
            <w:vAlign w:val="center"/>
          </w:tcPr>
          <w:p w14:paraId="61BD8331"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WIPI1</w:t>
            </w:r>
          </w:p>
        </w:tc>
        <w:tc>
          <w:tcPr>
            <w:tcW w:w="1309" w:type="dxa"/>
            <w:shd w:val="clear" w:color="auto" w:fill="auto"/>
            <w:vAlign w:val="center"/>
          </w:tcPr>
          <w:p w14:paraId="3E5ED694"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203827_at</w:t>
            </w:r>
          </w:p>
        </w:tc>
        <w:tc>
          <w:tcPr>
            <w:tcW w:w="1308" w:type="dxa"/>
            <w:shd w:val="clear" w:color="auto" w:fill="auto"/>
            <w:vAlign w:val="center"/>
          </w:tcPr>
          <w:p w14:paraId="575AB532"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4DE6194D"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r>
      <w:tr w:rsidR="00992436" w:rsidRPr="0062251F" w14:paraId="6624E345" w14:textId="77777777" w:rsidTr="00992436">
        <w:trPr>
          <w:jc w:val="center"/>
        </w:trPr>
        <w:tc>
          <w:tcPr>
            <w:tcW w:w="1306" w:type="dxa"/>
            <w:shd w:val="clear" w:color="auto" w:fill="auto"/>
            <w:vAlign w:val="center"/>
          </w:tcPr>
          <w:p w14:paraId="45CC9339"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ATG2B</w:t>
            </w:r>
          </w:p>
        </w:tc>
        <w:tc>
          <w:tcPr>
            <w:tcW w:w="1308" w:type="dxa"/>
            <w:shd w:val="clear" w:color="auto" w:fill="auto"/>
            <w:vAlign w:val="center"/>
          </w:tcPr>
          <w:p w14:paraId="5438C16E"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219164_s_at</w:t>
            </w:r>
          </w:p>
        </w:tc>
        <w:tc>
          <w:tcPr>
            <w:tcW w:w="1308" w:type="dxa"/>
            <w:shd w:val="clear" w:color="auto" w:fill="auto"/>
            <w:vAlign w:val="center"/>
          </w:tcPr>
          <w:p w14:paraId="20617CFE"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5704E28E"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8" w:type="dxa"/>
            <w:shd w:val="clear" w:color="auto" w:fill="auto"/>
            <w:vAlign w:val="center"/>
          </w:tcPr>
          <w:p w14:paraId="717449F5"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ATG18B</w:t>
            </w:r>
          </w:p>
        </w:tc>
        <w:tc>
          <w:tcPr>
            <w:tcW w:w="1309" w:type="dxa"/>
            <w:shd w:val="clear" w:color="auto" w:fill="auto"/>
            <w:vAlign w:val="center"/>
          </w:tcPr>
          <w:p w14:paraId="15463D2F"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202031_s_at</w:t>
            </w:r>
          </w:p>
        </w:tc>
        <w:tc>
          <w:tcPr>
            <w:tcW w:w="1308" w:type="dxa"/>
            <w:shd w:val="clear" w:color="auto" w:fill="auto"/>
            <w:vAlign w:val="center"/>
          </w:tcPr>
          <w:p w14:paraId="42A5ED3F"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728B5410"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r>
      <w:tr w:rsidR="00992436" w:rsidRPr="0062251F" w14:paraId="5FDE29E3" w14:textId="77777777" w:rsidTr="00992436">
        <w:trPr>
          <w:jc w:val="center"/>
        </w:trPr>
        <w:tc>
          <w:tcPr>
            <w:tcW w:w="1306" w:type="dxa"/>
            <w:shd w:val="clear" w:color="auto" w:fill="auto"/>
            <w:vAlign w:val="center"/>
          </w:tcPr>
          <w:p w14:paraId="302FB8D7"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ATG3</w:t>
            </w:r>
          </w:p>
        </w:tc>
        <w:tc>
          <w:tcPr>
            <w:tcW w:w="1308" w:type="dxa"/>
            <w:shd w:val="clear" w:color="auto" w:fill="auto"/>
            <w:vAlign w:val="center"/>
          </w:tcPr>
          <w:p w14:paraId="31D2E3BA"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221492_s_at</w:t>
            </w:r>
          </w:p>
        </w:tc>
        <w:tc>
          <w:tcPr>
            <w:tcW w:w="1308" w:type="dxa"/>
            <w:shd w:val="clear" w:color="auto" w:fill="auto"/>
            <w:vAlign w:val="center"/>
          </w:tcPr>
          <w:p w14:paraId="02772553"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2FDF90F5"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Low</w:t>
            </w:r>
          </w:p>
        </w:tc>
        <w:tc>
          <w:tcPr>
            <w:tcW w:w="1308" w:type="dxa"/>
            <w:shd w:val="clear" w:color="auto" w:fill="auto"/>
            <w:vAlign w:val="center"/>
          </w:tcPr>
          <w:p w14:paraId="2EC8DC80"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VMP1</w:t>
            </w:r>
          </w:p>
        </w:tc>
        <w:tc>
          <w:tcPr>
            <w:tcW w:w="1309" w:type="dxa"/>
            <w:shd w:val="clear" w:color="auto" w:fill="auto"/>
            <w:vAlign w:val="center"/>
          </w:tcPr>
          <w:p w14:paraId="6ABFEEA4"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220990_s_at</w:t>
            </w:r>
          </w:p>
        </w:tc>
        <w:tc>
          <w:tcPr>
            <w:tcW w:w="1308" w:type="dxa"/>
            <w:shd w:val="clear" w:color="auto" w:fill="auto"/>
            <w:vAlign w:val="center"/>
          </w:tcPr>
          <w:p w14:paraId="6033091B"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20F1307F"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r>
      <w:tr w:rsidR="00992436" w:rsidRPr="0062251F" w14:paraId="393E7967" w14:textId="77777777" w:rsidTr="00992436">
        <w:trPr>
          <w:jc w:val="center"/>
        </w:trPr>
        <w:tc>
          <w:tcPr>
            <w:tcW w:w="1306" w:type="dxa"/>
            <w:shd w:val="clear" w:color="auto" w:fill="auto"/>
            <w:vAlign w:val="center"/>
          </w:tcPr>
          <w:p w14:paraId="68F9DAAE"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ATG4A</w:t>
            </w:r>
          </w:p>
        </w:tc>
        <w:tc>
          <w:tcPr>
            <w:tcW w:w="1308" w:type="dxa"/>
            <w:shd w:val="clear" w:color="auto" w:fill="auto"/>
            <w:vAlign w:val="center"/>
          </w:tcPr>
          <w:p w14:paraId="544730A8"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213115_at</w:t>
            </w:r>
          </w:p>
        </w:tc>
        <w:tc>
          <w:tcPr>
            <w:tcW w:w="1308" w:type="dxa"/>
            <w:shd w:val="clear" w:color="auto" w:fill="auto"/>
            <w:vAlign w:val="center"/>
          </w:tcPr>
          <w:p w14:paraId="4A228901"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29EEBB63"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8" w:type="dxa"/>
            <w:shd w:val="clear" w:color="auto" w:fill="auto"/>
            <w:vAlign w:val="center"/>
          </w:tcPr>
          <w:p w14:paraId="46979E81"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SQSTM1</w:t>
            </w:r>
          </w:p>
        </w:tc>
        <w:tc>
          <w:tcPr>
            <w:tcW w:w="1309" w:type="dxa"/>
            <w:shd w:val="clear" w:color="auto" w:fill="auto"/>
            <w:vAlign w:val="center"/>
          </w:tcPr>
          <w:p w14:paraId="41A89706"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201471_s_at</w:t>
            </w:r>
          </w:p>
        </w:tc>
        <w:tc>
          <w:tcPr>
            <w:tcW w:w="1308" w:type="dxa"/>
            <w:shd w:val="clear" w:color="auto" w:fill="auto"/>
            <w:vAlign w:val="center"/>
          </w:tcPr>
          <w:p w14:paraId="7BB6AB0D"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29CD04D0"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r>
      <w:tr w:rsidR="00992436" w:rsidRPr="0062251F" w14:paraId="685BFD5C" w14:textId="77777777" w:rsidTr="00D72B42">
        <w:trPr>
          <w:jc w:val="center"/>
        </w:trPr>
        <w:tc>
          <w:tcPr>
            <w:tcW w:w="1306" w:type="dxa"/>
            <w:shd w:val="clear" w:color="auto" w:fill="auto"/>
            <w:vAlign w:val="center"/>
          </w:tcPr>
          <w:p w14:paraId="3ACFBF71" w14:textId="7777777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i/>
                <w:iCs/>
                <w:sz w:val="18"/>
                <w:szCs w:val="22"/>
              </w:rPr>
              <w:t>ATG4B</w:t>
            </w:r>
          </w:p>
        </w:tc>
        <w:tc>
          <w:tcPr>
            <w:tcW w:w="1308" w:type="dxa"/>
            <w:shd w:val="clear" w:color="auto" w:fill="auto"/>
            <w:vAlign w:val="center"/>
          </w:tcPr>
          <w:p w14:paraId="2CC43617" w14:textId="588645E1"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204902_s_at</w:t>
            </w:r>
          </w:p>
        </w:tc>
        <w:tc>
          <w:tcPr>
            <w:tcW w:w="1308" w:type="dxa"/>
            <w:shd w:val="clear" w:color="auto" w:fill="auto"/>
            <w:vAlign w:val="center"/>
          </w:tcPr>
          <w:p w14:paraId="06DF0E82" w14:textId="0A735B67"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9" w:type="dxa"/>
            <w:shd w:val="clear" w:color="auto" w:fill="auto"/>
            <w:vAlign w:val="center"/>
          </w:tcPr>
          <w:p w14:paraId="7E5BE9BE" w14:textId="252C17BD" w:rsidR="00992436" w:rsidRPr="0062251F" w:rsidRDefault="00992436" w:rsidP="00992436">
            <w:pPr>
              <w:pStyle w:val="Default"/>
              <w:snapToGrid w:val="0"/>
              <w:jc w:val="center"/>
              <w:rPr>
                <w:rFonts w:ascii="Palatino Linotype" w:hAnsi="Palatino Linotype"/>
                <w:sz w:val="18"/>
                <w:szCs w:val="22"/>
              </w:rPr>
            </w:pPr>
            <w:r w:rsidRPr="0062251F">
              <w:rPr>
                <w:rFonts w:ascii="Palatino Linotype" w:hAnsi="Palatino Linotype"/>
                <w:sz w:val="18"/>
                <w:szCs w:val="22"/>
              </w:rPr>
              <w:t>NE</w:t>
            </w:r>
          </w:p>
        </w:tc>
        <w:tc>
          <w:tcPr>
            <w:tcW w:w="1308" w:type="dxa"/>
            <w:shd w:val="clear" w:color="auto" w:fill="auto"/>
            <w:vAlign w:val="center"/>
          </w:tcPr>
          <w:p w14:paraId="75ED826F" w14:textId="10077DD7" w:rsidR="00992436" w:rsidRPr="0062251F" w:rsidRDefault="00992436" w:rsidP="00992436">
            <w:pPr>
              <w:pStyle w:val="Default"/>
              <w:snapToGrid w:val="0"/>
              <w:jc w:val="center"/>
              <w:rPr>
                <w:rFonts w:ascii="Palatino Linotype" w:hAnsi="Palatino Linotype"/>
                <w:sz w:val="18"/>
                <w:szCs w:val="22"/>
              </w:rPr>
            </w:pPr>
          </w:p>
        </w:tc>
        <w:tc>
          <w:tcPr>
            <w:tcW w:w="1309" w:type="dxa"/>
            <w:shd w:val="clear" w:color="auto" w:fill="auto"/>
            <w:vAlign w:val="center"/>
          </w:tcPr>
          <w:p w14:paraId="2723129D" w14:textId="21F2AD42" w:rsidR="00992436" w:rsidRPr="0062251F" w:rsidRDefault="00992436" w:rsidP="00992436">
            <w:pPr>
              <w:pStyle w:val="Default"/>
              <w:snapToGrid w:val="0"/>
              <w:jc w:val="center"/>
              <w:rPr>
                <w:rFonts w:ascii="Palatino Linotype" w:hAnsi="Palatino Linotype"/>
                <w:sz w:val="18"/>
                <w:szCs w:val="22"/>
              </w:rPr>
            </w:pPr>
          </w:p>
        </w:tc>
        <w:tc>
          <w:tcPr>
            <w:tcW w:w="1308" w:type="dxa"/>
            <w:shd w:val="clear" w:color="auto" w:fill="auto"/>
            <w:vAlign w:val="center"/>
          </w:tcPr>
          <w:p w14:paraId="685B1761" w14:textId="0C8353A2" w:rsidR="00992436" w:rsidRPr="0062251F" w:rsidRDefault="00992436" w:rsidP="00992436">
            <w:pPr>
              <w:pStyle w:val="Default"/>
              <w:snapToGrid w:val="0"/>
              <w:jc w:val="center"/>
              <w:rPr>
                <w:rFonts w:ascii="Palatino Linotype" w:hAnsi="Palatino Linotype"/>
                <w:sz w:val="18"/>
                <w:szCs w:val="22"/>
              </w:rPr>
            </w:pPr>
          </w:p>
        </w:tc>
        <w:tc>
          <w:tcPr>
            <w:tcW w:w="1309" w:type="dxa"/>
            <w:shd w:val="clear" w:color="auto" w:fill="auto"/>
            <w:vAlign w:val="center"/>
          </w:tcPr>
          <w:p w14:paraId="078DDCCB" w14:textId="32119A59" w:rsidR="00992436" w:rsidRPr="0062251F" w:rsidRDefault="00992436" w:rsidP="00992436">
            <w:pPr>
              <w:pStyle w:val="Default"/>
              <w:snapToGrid w:val="0"/>
              <w:jc w:val="center"/>
              <w:rPr>
                <w:rFonts w:ascii="Palatino Linotype" w:hAnsi="Palatino Linotype"/>
                <w:sz w:val="18"/>
                <w:szCs w:val="22"/>
              </w:rPr>
            </w:pPr>
          </w:p>
        </w:tc>
      </w:tr>
    </w:tbl>
    <w:p w14:paraId="2C13934E" w14:textId="70E81185" w:rsidR="00992436" w:rsidRPr="0062251F" w:rsidRDefault="0062251F" w:rsidP="0062251F">
      <w:pPr>
        <w:pStyle w:val="MDPI43tablefooter"/>
        <w:ind w:left="425" w:right="425"/>
        <w:jc w:val="both"/>
      </w:pPr>
      <w:r w:rsidRPr="0062251F">
        <w:t xml:space="preserve">Data were extracted from the Kaplan-Meier Plotter breast cancer datasets (http://kmplot.com/analysis/index.php?p = </w:t>
      </w:r>
      <w:proofErr w:type="spellStart"/>
      <w:r w:rsidRPr="0062251F">
        <w:t>ser-vice&amp;cancer</w:t>
      </w:r>
      <w:proofErr w:type="spellEnd"/>
      <w:r w:rsidRPr="0062251F">
        <w:t xml:space="preserve"> = breast, accessed on 19</w:t>
      </w:r>
      <w:r w:rsidRPr="0062251F">
        <w:t xml:space="preserve"> November </w:t>
      </w:r>
      <w:r w:rsidRPr="0062251F">
        <w:t>2019). Number of patients (</w:t>
      </w:r>
      <w:r w:rsidRPr="0062251F">
        <w:rPr>
          <w:i/>
          <w:iCs/>
        </w:rPr>
        <w:t>n</w:t>
      </w:r>
      <w:r w:rsidRPr="0062251F">
        <w:t xml:space="preserve">): </w:t>
      </w:r>
      <w:r w:rsidRPr="0062251F">
        <w:rPr>
          <w:i/>
          <w:iCs/>
        </w:rPr>
        <w:t>n</w:t>
      </w:r>
      <w:r w:rsidRPr="0062251F">
        <w:t xml:space="preserve"> = 252 (* </w:t>
      </w:r>
      <w:r w:rsidRPr="0062251F">
        <w:rPr>
          <w:i/>
          <w:iCs/>
        </w:rPr>
        <w:t>n</w:t>
      </w:r>
      <w:r w:rsidRPr="0062251F">
        <w:t xml:space="preserve"> = 150) with ERBB2-positive </w:t>
      </w:r>
      <w:proofErr w:type="gramStart"/>
      <w:r w:rsidRPr="0062251F">
        <w:t>( +</w:t>
      </w:r>
      <w:proofErr w:type="gramEnd"/>
      <w:r w:rsidRPr="0062251F">
        <w:t xml:space="preserve"> ) breast tumors, </w:t>
      </w:r>
      <w:r w:rsidRPr="0062251F">
        <w:rPr>
          <w:i/>
          <w:iCs/>
        </w:rPr>
        <w:t>n</w:t>
      </w:r>
      <w:r w:rsidRPr="0062251F">
        <w:t xml:space="preserve"> = 800 (* </w:t>
      </w:r>
      <w:r w:rsidRPr="0062251F">
        <w:rPr>
          <w:i/>
          <w:iCs/>
        </w:rPr>
        <w:t>n</w:t>
      </w:r>
      <w:r w:rsidRPr="0062251F">
        <w:t xml:space="preserve"> = 635) with ERBB2-negative (</w:t>
      </w:r>
      <w:r w:rsidRPr="0062251F">
        <w:t>−</w:t>
      </w:r>
      <w:r w:rsidRPr="0062251F">
        <w:t>) breast tumors. Statistical significance between survival probabilities of patients bearing breast tumors with high-and low-levels of an autophagy gene: NE, no significant difference; High, sig-</w:t>
      </w:r>
      <w:proofErr w:type="spellStart"/>
      <w:r w:rsidRPr="0062251F">
        <w:t>nificantly</w:t>
      </w:r>
      <w:proofErr w:type="spellEnd"/>
      <w:r w:rsidRPr="0062251F">
        <w:t xml:space="preserve"> higher survival probability with high expression of the gene; Low, significantly lower survival probability with high expression of the gene. Examples of the plots related to ATG12, MAP1LC3B and BECN1were demonstrated in Figure 5. The plots of other autophagy genes were not shown. Gene names were italicized to distinguish them from protein names.</w:t>
      </w:r>
      <w:bookmarkEnd w:id="0"/>
    </w:p>
    <w:sectPr w:rsidR="00992436" w:rsidRPr="0062251F" w:rsidSect="003F26C2">
      <w:headerReference w:type="even" r:id="rId14"/>
      <w:headerReference w:type="default" r:id="rId15"/>
      <w:footerReference w:type="default" r:id="rId16"/>
      <w:headerReference w:type="first" r:id="rId17"/>
      <w:footerReference w:type="first" r:id="rId18"/>
      <w:type w:val="continuous"/>
      <w:pgSz w:w="11906" w:h="16838" w:code="9"/>
      <w:pgMar w:top="1417" w:right="720" w:bottom="1077" w:left="720" w:header="1020" w:footer="340" w:gutter="0"/>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15F375" w14:textId="77777777" w:rsidR="00C57D26" w:rsidRDefault="00C57D26">
      <w:pPr>
        <w:spacing w:line="240" w:lineRule="auto"/>
      </w:pPr>
      <w:r>
        <w:separator/>
      </w:r>
    </w:p>
  </w:endnote>
  <w:endnote w:type="continuationSeparator" w:id="0">
    <w:p w14:paraId="73F12D91" w14:textId="77777777" w:rsidR="00C57D26" w:rsidRDefault="00C57D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altName w:val="Palatino Linotype"/>
    <w:panose1 w:val="02040502050505030304"/>
    <w:charset w:val="00"/>
    <w:family w:val="roman"/>
    <w:pitch w:val="variable"/>
    <w:sig w:usb0="E0000287" w:usb1="40000013" w:usb2="00000000" w:usb3="00000000" w:csb0="0000019F" w:csb1="00000000"/>
  </w:font>
  <w:font w:name="Cordia New">
    <w:altName w:val="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49F608" w14:textId="77777777" w:rsidR="00B7782D" w:rsidRPr="00164C5C" w:rsidRDefault="00B7782D" w:rsidP="00AF7CE2">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FB9ED2" w14:textId="77777777" w:rsidR="00B7782D" w:rsidRDefault="00B7782D" w:rsidP="00B16808">
    <w:pPr>
      <w:pStyle w:val="MDPIfooterfirstpage"/>
      <w:pBdr>
        <w:top w:val="single" w:sz="4" w:space="0" w:color="000000"/>
      </w:pBdr>
      <w:adjustRightInd w:val="0"/>
      <w:snapToGrid w:val="0"/>
      <w:spacing w:before="480" w:line="100" w:lineRule="exact"/>
      <w:rPr>
        <w:i/>
      </w:rPr>
    </w:pPr>
  </w:p>
  <w:p w14:paraId="2308C9F7" w14:textId="572D4EC6" w:rsidR="00B7782D" w:rsidRPr="008B308E" w:rsidRDefault="00B7782D" w:rsidP="00AC5F82">
    <w:pPr>
      <w:pStyle w:val="MDPIfooterfirstpage"/>
      <w:tabs>
        <w:tab w:val="clear" w:pos="8845"/>
        <w:tab w:val="right" w:pos="10466"/>
      </w:tabs>
      <w:spacing w:line="240" w:lineRule="auto"/>
      <w:jc w:val="both"/>
      <w:rPr>
        <w:lang w:val="fr-CH"/>
      </w:rPr>
    </w:pPr>
    <w:r>
      <w:rPr>
        <w:i/>
      </w:rPr>
      <w:t xml:space="preserve">Cancers </w:t>
    </w:r>
    <w:r w:rsidRPr="009A5A53">
      <w:rPr>
        <w:b/>
      </w:rPr>
      <w:t>2021</w:t>
    </w:r>
    <w:r w:rsidRPr="00F71A8C">
      <w:t xml:space="preserve">, </w:t>
    </w:r>
    <w:r w:rsidRPr="009A5A53">
      <w:rPr>
        <w:i/>
      </w:rPr>
      <w:t>13</w:t>
    </w:r>
    <w:r w:rsidRPr="008B308E">
      <w:rPr>
        <w:lang w:val="fr-CH"/>
      </w:rPr>
      <w:tab/>
      <w:t>www.mdpi.com/journal/</w:t>
    </w:r>
    <w:r w:rsidRPr="00511F0B">
      <w:t>cancers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1339CD" w14:textId="77777777" w:rsidR="00C57D26" w:rsidRDefault="00C57D26">
      <w:pPr>
        <w:spacing w:line="240" w:lineRule="auto"/>
      </w:pPr>
      <w:r>
        <w:separator/>
      </w:r>
    </w:p>
  </w:footnote>
  <w:footnote w:type="continuationSeparator" w:id="0">
    <w:p w14:paraId="75D62AFE" w14:textId="77777777" w:rsidR="00C57D26" w:rsidRDefault="00C57D2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D1BC0" w14:textId="77777777" w:rsidR="00B7782D" w:rsidRDefault="00B7782D" w:rsidP="00AF7CE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81F77A" w14:textId="007F7D82" w:rsidR="00B7782D" w:rsidRDefault="00B7782D" w:rsidP="00AC5F82">
    <w:pPr>
      <w:tabs>
        <w:tab w:val="right" w:pos="10466"/>
      </w:tabs>
      <w:adjustRightInd w:val="0"/>
      <w:snapToGrid w:val="0"/>
      <w:spacing w:line="240" w:lineRule="auto"/>
      <w:rPr>
        <w:sz w:val="16"/>
      </w:rPr>
    </w:pPr>
    <w:r>
      <w:rPr>
        <w:i/>
        <w:sz w:val="16"/>
      </w:rPr>
      <w:t xml:space="preserve">Cancers </w:t>
    </w:r>
    <w:r w:rsidRPr="001059C9">
      <w:rPr>
        <w:b/>
        <w:sz w:val="16"/>
      </w:rPr>
      <w:t>2021</w:t>
    </w:r>
    <w:r w:rsidRPr="00F71A8C">
      <w:rPr>
        <w:sz w:val="16"/>
      </w:rPr>
      <w:t xml:space="preserve">, </w:t>
    </w:r>
    <w:r w:rsidRPr="001059C9">
      <w:rPr>
        <w:i/>
        <w:sz w:val="16"/>
      </w:rPr>
      <w:t>13</w:t>
    </w:r>
    <w:r>
      <w:rPr>
        <w:sz w:val="16"/>
      </w:rPr>
      <w:tab/>
    </w:r>
    <w:r w:rsidR="00162A00">
      <w:rPr>
        <w:sz w:val="16"/>
      </w:rPr>
      <w:t>S</w:t>
    </w:r>
    <w:r>
      <w:rPr>
        <w:sz w:val="16"/>
      </w:rPr>
      <w:fldChar w:fldCharType="begin"/>
    </w:r>
    <w:r>
      <w:rPr>
        <w:sz w:val="16"/>
      </w:rPr>
      <w:instrText xml:space="preserve"> PAGE   \* MERGEFORMAT </w:instrText>
    </w:r>
    <w:r>
      <w:rPr>
        <w:sz w:val="16"/>
      </w:rPr>
      <w:fldChar w:fldCharType="separate"/>
    </w:r>
    <w:r w:rsidR="008B31EA">
      <w:rPr>
        <w:sz w:val="16"/>
      </w:rPr>
      <w:t>21</w:t>
    </w:r>
    <w:r>
      <w:rPr>
        <w:sz w:val="16"/>
      </w:rPr>
      <w:fldChar w:fldCharType="end"/>
    </w:r>
    <w:r>
      <w:rPr>
        <w:sz w:val="16"/>
      </w:rPr>
      <w:t xml:space="preserve"> of </w:t>
    </w:r>
    <w:r w:rsidR="00162A00">
      <w:rPr>
        <w:sz w:val="16"/>
      </w:rPr>
      <w:t>S</w:t>
    </w:r>
    <w:r>
      <w:rPr>
        <w:sz w:val="16"/>
      </w:rPr>
      <w:fldChar w:fldCharType="begin"/>
    </w:r>
    <w:r>
      <w:rPr>
        <w:sz w:val="16"/>
      </w:rPr>
      <w:instrText xml:space="preserve"> NUMPAGES   \* MERGEFORMAT </w:instrText>
    </w:r>
    <w:r>
      <w:rPr>
        <w:sz w:val="16"/>
      </w:rPr>
      <w:fldChar w:fldCharType="separate"/>
    </w:r>
    <w:r w:rsidR="008B31EA">
      <w:rPr>
        <w:sz w:val="16"/>
      </w:rPr>
      <w:t>22</w:t>
    </w:r>
    <w:r>
      <w:rPr>
        <w:sz w:val="16"/>
      </w:rPr>
      <w:fldChar w:fldCharType="end"/>
    </w:r>
  </w:p>
  <w:p w14:paraId="65FFB61F" w14:textId="77777777" w:rsidR="00B7782D" w:rsidRPr="00836BB8" w:rsidRDefault="00B7782D" w:rsidP="00B16808">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F7577" w14:textId="77777777" w:rsidR="00162A00" w:rsidRDefault="00162A00" w:rsidP="00162A00">
    <w:pPr>
      <w:tabs>
        <w:tab w:val="right" w:pos="10466"/>
      </w:tabs>
      <w:adjustRightInd w:val="0"/>
      <w:snapToGrid w:val="0"/>
      <w:spacing w:line="240" w:lineRule="auto"/>
      <w:rPr>
        <w:sz w:val="16"/>
      </w:rPr>
    </w:pPr>
    <w:r>
      <w:rPr>
        <w:i/>
        <w:sz w:val="16"/>
      </w:rPr>
      <w:t xml:space="preserve">Cancers </w:t>
    </w:r>
    <w:r w:rsidRPr="001059C9">
      <w:rPr>
        <w:b/>
        <w:sz w:val="16"/>
      </w:rPr>
      <w:t>2021</w:t>
    </w:r>
    <w:r w:rsidRPr="00F71A8C">
      <w:rPr>
        <w:sz w:val="16"/>
      </w:rPr>
      <w:t xml:space="preserve">, </w:t>
    </w:r>
    <w:r w:rsidRPr="001059C9">
      <w:rPr>
        <w:i/>
        <w:sz w:val="16"/>
      </w:rPr>
      <w:t>13</w:t>
    </w:r>
    <w:r>
      <w:rPr>
        <w:sz w:val="16"/>
      </w:rPr>
      <w:tab/>
      <w:t>S</w:t>
    </w:r>
    <w:r>
      <w:rPr>
        <w:sz w:val="16"/>
      </w:rPr>
      <w:fldChar w:fldCharType="begin"/>
    </w:r>
    <w:r>
      <w:rPr>
        <w:sz w:val="16"/>
      </w:rPr>
      <w:instrText xml:space="preserve"> PAGE   \* MERGEFORMAT </w:instrText>
    </w:r>
    <w:r>
      <w:rPr>
        <w:sz w:val="16"/>
      </w:rPr>
      <w:fldChar w:fldCharType="separate"/>
    </w:r>
    <w:r>
      <w:rPr>
        <w:sz w:val="16"/>
      </w:rPr>
      <w:t>2</w:t>
    </w:r>
    <w:r>
      <w:rPr>
        <w:sz w:val="16"/>
      </w:rPr>
      <w:fldChar w:fldCharType="end"/>
    </w:r>
    <w:r>
      <w:rPr>
        <w:sz w:val="16"/>
      </w:rPr>
      <w:t xml:space="preserve"> of S</w:t>
    </w:r>
    <w:r>
      <w:rPr>
        <w:sz w:val="16"/>
      </w:rPr>
      <w:fldChar w:fldCharType="begin"/>
    </w:r>
    <w:r>
      <w:rPr>
        <w:sz w:val="16"/>
      </w:rPr>
      <w:instrText xml:space="preserve"> NUMPAGES   \* MERGEFORMAT </w:instrText>
    </w:r>
    <w:r>
      <w:rPr>
        <w:sz w:val="16"/>
      </w:rPr>
      <w:fldChar w:fldCharType="separate"/>
    </w:r>
    <w:r>
      <w:rPr>
        <w:sz w:val="16"/>
      </w:rPr>
      <w:t>5</w:t>
    </w:r>
    <w:r>
      <w:rPr>
        <w:sz w:val="16"/>
      </w:rPr>
      <w:fldChar w:fldCharType="end"/>
    </w:r>
  </w:p>
  <w:p w14:paraId="741A2979" w14:textId="77777777" w:rsidR="00162A00" w:rsidRPr="00836BB8" w:rsidRDefault="00162A00" w:rsidP="00162A00">
    <w:pPr>
      <w:pBdr>
        <w:bottom w:val="single" w:sz="4" w:space="1" w:color="000000"/>
      </w:pBdr>
      <w:tabs>
        <w:tab w:val="right" w:pos="8844"/>
      </w:tabs>
      <w:adjustRightInd w:val="0"/>
      <w:snapToGrid w:val="0"/>
      <w:spacing w:after="480" w:line="100" w:lineRule="exact"/>
      <w:jc w:val="lef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AA0F88"/>
    <w:multiLevelType w:val="hybridMultilevel"/>
    <w:tmpl w:val="C77C711C"/>
    <w:lvl w:ilvl="0" w:tplc="5286504C">
      <w:start w:val="169"/>
      <w:numFmt w:val="bullet"/>
      <w:lvlText w:val=""/>
      <w:lvlJc w:val="left"/>
      <w:pPr>
        <w:ind w:left="580" w:hanging="360"/>
      </w:pPr>
      <w:rPr>
        <w:rFonts w:ascii="Symbol" w:eastAsia="Times New Roman" w:hAnsi="Symbol" w:cs="Times New Roman" w:hint="default"/>
      </w:rPr>
    </w:lvl>
    <w:lvl w:ilvl="1" w:tplc="1C090003" w:tentative="1">
      <w:start w:val="1"/>
      <w:numFmt w:val="bullet"/>
      <w:lvlText w:val="o"/>
      <w:lvlJc w:val="left"/>
      <w:pPr>
        <w:ind w:left="1300" w:hanging="360"/>
      </w:pPr>
      <w:rPr>
        <w:rFonts w:ascii="Courier New" w:hAnsi="Courier New" w:cs="Courier New" w:hint="default"/>
      </w:rPr>
    </w:lvl>
    <w:lvl w:ilvl="2" w:tplc="1C090005" w:tentative="1">
      <w:start w:val="1"/>
      <w:numFmt w:val="bullet"/>
      <w:lvlText w:val=""/>
      <w:lvlJc w:val="left"/>
      <w:pPr>
        <w:ind w:left="2020" w:hanging="360"/>
      </w:pPr>
      <w:rPr>
        <w:rFonts w:ascii="Wingdings" w:hAnsi="Wingdings" w:hint="default"/>
      </w:rPr>
    </w:lvl>
    <w:lvl w:ilvl="3" w:tplc="1C090001" w:tentative="1">
      <w:start w:val="1"/>
      <w:numFmt w:val="bullet"/>
      <w:lvlText w:val=""/>
      <w:lvlJc w:val="left"/>
      <w:pPr>
        <w:ind w:left="2740" w:hanging="360"/>
      </w:pPr>
      <w:rPr>
        <w:rFonts w:ascii="Symbol" w:hAnsi="Symbol" w:hint="default"/>
      </w:rPr>
    </w:lvl>
    <w:lvl w:ilvl="4" w:tplc="1C090003" w:tentative="1">
      <w:start w:val="1"/>
      <w:numFmt w:val="bullet"/>
      <w:lvlText w:val="o"/>
      <w:lvlJc w:val="left"/>
      <w:pPr>
        <w:ind w:left="3460" w:hanging="360"/>
      </w:pPr>
      <w:rPr>
        <w:rFonts w:ascii="Courier New" w:hAnsi="Courier New" w:cs="Courier New" w:hint="default"/>
      </w:rPr>
    </w:lvl>
    <w:lvl w:ilvl="5" w:tplc="1C090005" w:tentative="1">
      <w:start w:val="1"/>
      <w:numFmt w:val="bullet"/>
      <w:lvlText w:val=""/>
      <w:lvlJc w:val="left"/>
      <w:pPr>
        <w:ind w:left="4180" w:hanging="360"/>
      </w:pPr>
      <w:rPr>
        <w:rFonts w:ascii="Wingdings" w:hAnsi="Wingdings" w:hint="default"/>
      </w:rPr>
    </w:lvl>
    <w:lvl w:ilvl="6" w:tplc="1C090001" w:tentative="1">
      <w:start w:val="1"/>
      <w:numFmt w:val="bullet"/>
      <w:lvlText w:val=""/>
      <w:lvlJc w:val="left"/>
      <w:pPr>
        <w:ind w:left="4900" w:hanging="360"/>
      </w:pPr>
      <w:rPr>
        <w:rFonts w:ascii="Symbol" w:hAnsi="Symbol" w:hint="default"/>
      </w:rPr>
    </w:lvl>
    <w:lvl w:ilvl="7" w:tplc="1C090003" w:tentative="1">
      <w:start w:val="1"/>
      <w:numFmt w:val="bullet"/>
      <w:lvlText w:val="o"/>
      <w:lvlJc w:val="left"/>
      <w:pPr>
        <w:ind w:left="5620" w:hanging="360"/>
      </w:pPr>
      <w:rPr>
        <w:rFonts w:ascii="Courier New" w:hAnsi="Courier New" w:cs="Courier New" w:hint="default"/>
      </w:rPr>
    </w:lvl>
    <w:lvl w:ilvl="8" w:tplc="1C090005" w:tentative="1">
      <w:start w:val="1"/>
      <w:numFmt w:val="bullet"/>
      <w:lvlText w:val=""/>
      <w:lvlJc w:val="left"/>
      <w:pPr>
        <w:ind w:left="6340" w:hanging="360"/>
      </w:pPr>
      <w:rPr>
        <w:rFonts w:ascii="Wingdings" w:hAnsi="Wingdings" w:hint="default"/>
      </w:rPr>
    </w:lvl>
  </w:abstractNum>
  <w:abstractNum w:abstractNumId="1"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E16547"/>
    <w:multiLevelType w:val="hybridMultilevel"/>
    <w:tmpl w:val="2D928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8"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9" w15:restartNumberingAfterBreak="0">
    <w:nsid w:val="56CF7C60"/>
    <w:multiLevelType w:val="hybridMultilevel"/>
    <w:tmpl w:val="BB52EB1E"/>
    <w:lvl w:ilvl="0" w:tplc="08086F0C">
      <w:start w:val="16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69CD1C5B"/>
    <w:multiLevelType w:val="hybridMultilevel"/>
    <w:tmpl w:val="F3CC802A"/>
    <w:lvl w:ilvl="0" w:tplc="0409000F">
      <w:start w:val="1"/>
      <w:numFmt w:val="decimal"/>
      <w:lvlText w:val="%1."/>
      <w:lvlJc w:val="left"/>
      <w:pPr>
        <w:ind w:left="780" w:hanging="420"/>
      </w:pPr>
      <w:rPr>
        <w:rFonts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4"/>
  </w:num>
  <w:num w:numId="2">
    <w:abstractNumId w:val="7"/>
  </w:num>
  <w:num w:numId="3">
    <w:abstractNumId w:val="3"/>
  </w:num>
  <w:num w:numId="4">
    <w:abstractNumId w:val="5"/>
  </w:num>
  <w:num w:numId="5">
    <w:abstractNumId w:val="8"/>
  </w:num>
  <w:num w:numId="6">
    <w:abstractNumId w:val="2"/>
  </w:num>
  <w:num w:numId="7">
    <w:abstractNumId w:val="8"/>
  </w:num>
  <w:num w:numId="8">
    <w:abstractNumId w:val="2"/>
  </w:num>
  <w:num w:numId="9">
    <w:abstractNumId w:val="8"/>
  </w:num>
  <w:num w:numId="10">
    <w:abstractNumId w:val="2"/>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9"/>
  </w:num>
  <w:num w:numId="14">
    <w:abstractNumId w:val="11"/>
  </w:num>
  <w:num w:numId="15">
    <w:abstractNumId w:val="8"/>
  </w:num>
  <w:num w:numId="16">
    <w:abstractNumId w:val="2"/>
  </w:num>
  <w:num w:numId="17">
    <w:abstractNumId w:val="6"/>
  </w:num>
  <w:num w:numId="18">
    <w:abstractNumId w:val="8"/>
  </w:num>
  <w:num w:numId="19">
    <w:abstractNumId w:val="2"/>
  </w:num>
  <w:num w:numId="20">
    <w:abstractNumId w:val="1"/>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353"/>
    <w:rsid w:val="00000CF8"/>
    <w:rsid w:val="000618E3"/>
    <w:rsid w:val="000A6F47"/>
    <w:rsid w:val="000B7215"/>
    <w:rsid w:val="000D4AE8"/>
    <w:rsid w:val="000D6839"/>
    <w:rsid w:val="000F0091"/>
    <w:rsid w:val="000F0E63"/>
    <w:rsid w:val="00103E20"/>
    <w:rsid w:val="001059C9"/>
    <w:rsid w:val="001071AD"/>
    <w:rsid w:val="00110CC2"/>
    <w:rsid w:val="00126C03"/>
    <w:rsid w:val="00135C67"/>
    <w:rsid w:val="001432AB"/>
    <w:rsid w:val="001475F2"/>
    <w:rsid w:val="00162A00"/>
    <w:rsid w:val="00163DD2"/>
    <w:rsid w:val="00186691"/>
    <w:rsid w:val="001A3DE7"/>
    <w:rsid w:val="001B645A"/>
    <w:rsid w:val="001D0EB3"/>
    <w:rsid w:val="001E2AEB"/>
    <w:rsid w:val="001F7B9E"/>
    <w:rsid w:val="002026A3"/>
    <w:rsid w:val="00204520"/>
    <w:rsid w:val="0020497A"/>
    <w:rsid w:val="00232A00"/>
    <w:rsid w:val="002431C5"/>
    <w:rsid w:val="00272F25"/>
    <w:rsid w:val="00293431"/>
    <w:rsid w:val="002A0D6E"/>
    <w:rsid w:val="002A1843"/>
    <w:rsid w:val="002B5823"/>
    <w:rsid w:val="002D78E7"/>
    <w:rsid w:val="002F7D7D"/>
    <w:rsid w:val="00316E1B"/>
    <w:rsid w:val="00326141"/>
    <w:rsid w:val="003271CA"/>
    <w:rsid w:val="00327510"/>
    <w:rsid w:val="003734CA"/>
    <w:rsid w:val="00375BAA"/>
    <w:rsid w:val="00394A33"/>
    <w:rsid w:val="00394E80"/>
    <w:rsid w:val="003A004E"/>
    <w:rsid w:val="003A55A8"/>
    <w:rsid w:val="003B0587"/>
    <w:rsid w:val="003F26C2"/>
    <w:rsid w:val="004006CB"/>
    <w:rsid w:val="00401D30"/>
    <w:rsid w:val="004129B0"/>
    <w:rsid w:val="00420E55"/>
    <w:rsid w:val="0044756D"/>
    <w:rsid w:val="004648D4"/>
    <w:rsid w:val="004807A8"/>
    <w:rsid w:val="0048198B"/>
    <w:rsid w:val="00491D1D"/>
    <w:rsid w:val="004C5F04"/>
    <w:rsid w:val="004C5FE1"/>
    <w:rsid w:val="004D3593"/>
    <w:rsid w:val="004E0105"/>
    <w:rsid w:val="00513C95"/>
    <w:rsid w:val="00534C4A"/>
    <w:rsid w:val="00535ADB"/>
    <w:rsid w:val="005425B6"/>
    <w:rsid w:val="00547F78"/>
    <w:rsid w:val="00557A2C"/>
    <w:rsid w:val="00596A63"/>
    <w:rsid w:val="005A0BED"/>
    <w:rsid w:val="005A2FC5"/>
    <w:rsid w:val="005D2A31"/>
    <w:rsid w:val="005E2B1B"/>
    <w:rsid w:val="005F530C"/>
    <w:rsid w:val="00601713"/>
    <w:rsid w:val="00611407"/>
    <w:rsid w:val="0062251F"/>
    <w:rsid w:val="00627D4F"/>
    <w:rsid w:val="0063570B"/>
    <w:rsid w:val="00676FEB"/>
    <w:rsid w:val="00680A16"/>
    <w:rsid w:val="006837C3"/>
    <w:rsid w:val="00692393"/>
    <w:rsid w:val="0069273C"/>
    <w:rsid w:val="006978FC"/>
    <w:rsid w:val="006A25D2"/>
    <w:rsid w:val="006B71A5"/>
    <w:rsid w:val="006D22CB"/>
    <w:rsid w:val="006D37E0"/>
    <w:rsid w:val="006F5390"/>
    <w:rsid w:val="006F7149"/>
    <w:rsid w:val="007346D0"/>
    <w:rsid w:val="00735EA3"/>
    <w:rsid w:val="007A1A6A"/>
    <w:rsid w:val="007A54A4"/>
    <w:rsid w:val="007B11DB"/>
    <w:rsid w:val="007C17C4"/>
    <w:rsid w:val="007F6471"/>
    <w:rsid w:val="007F76FE"/>
    <w:rsid w:val="00817FC9"/>
    <w:rsid w:val="00844DD2"/>
    <w:rsid w:val="00851EBD"/>
    <w:rsid w:val="00874B5B"/>
    <w:rsid w:val="008A58E0"/>
    <w:rsid w:val="008A5BFD"/>
    <w:rsid w:val="008B0E4D"/>
    <w:rsid w:val="008B31EA"/>
    <w:rsid w:val="008C2538"/>
    <w:rsid w:val="008D036F"/>
    <w:rsid w:val="008D09DD"/>
    <w:rsid w:val="008F4843"/>
    <w:rsid w:val="008F5A5C"/>
    <w:rsid w:val="009075D4"/>
    <w:rsid w:val="00925B94"/>
    <w:rsid w:val="00937F5E"/>
    <w:rsid w:val="00961D5A"/>
    <w:rsid w:val="00963346"/>
    <w:rsid w:val="00964FB2"/>
    <w:rsid w:val="00976CB0"/>
    <w:rsid w:val="00992436"/>
    <w:rsid w:val="009A0611"/>
    <w:rsid w:val="009A5A53"/>
    <w:rsid w:val="009A7C8B"/>
    <w:rsid w:val="009B0211"/>
    <w:rsid w:val="009B3704"/>
    <w:rsid w:val="009D74AE"/>
    <w:rsid w:val="009F70E6"/>
    <w:rsid w:val="00A02616"/>
    <w:rsid w:val="00A040D1"/>
    <w:rsid w:val="00A06051"/>
    <w:rsid w:val="00A3442D"/>
    <w:rsid w:val="00A37C82"/>
    <w:rsid w:val="00A453A4"/>
    <w:rsid w:val="00A53B15"/>
    <w:rsid w:val="00A54818"/>
    <w:rsid w:val="00A56CF6"/>
    <w:rsid w:val="00A70EAB"/>
    <w:rsid w:val="00A72D48"/>
    <w:rsid w:val="00A76A32"/>
    <w:rsid w:val="00A9384E"/>
    <w:rsid w:val="00AA3369"/>
    <w:rsid w:val="00AB68AF"/>
    <w:rsid w:val="00AC1C84"/>
    <w:rsid w:val="00AC2C4A"/>
    <w:rsid w:val="00AC5F82"/>
    <w:rsid w:val="00AE48A6"/>
    <w:rsid w:val="00AF4AAA"/>
    <w:rsid w:val="00AF7CE2"/>
    <w:rsid w:val="00B005DB"/>
    <w:rsid w:val="00B00C21"/>
    <w:rsid w:val="00B16352"/>
    <w:rsid w:val="00B16808"/>
    <w:rsid w:val="00B26679"/>
    <w:rsid w:val="00B30BE9"/>
    <w:rsid w:val="00B43CFF"/>
    <w:rsid w:val="00B63037"/>
    <w:rsid w:val="00B74A9D"/>
    <w:rsid w:val="00B7782D"/>
    <w:rsid w:val="00B874CF"/>
    <w:rsid w:val="00B904C6"/>
    <w:rsid w:val="00B9529E"/>
    <w:rsid w:val="00BB5186"/>
    <w:rsid w:val="00BD0BE9"/>
    <w:rsid w:val="00C22B6D"/>
    <w:rsid w:val="00C32442"/>
    <w:rsid w:val="00C343B1"/>
    <w:rsid w:val="00C34630"/>
    <w:rsid w:val="00C40546"/>
    <w:rsid w:val="00C44C10"/>
    <w:rsid w:val="00C57D26"/>
    <w:rsid w:val="00C770AD"/>
    <w:rsid w:val="00C862EE"/>
    <w:rsid w:val="00C90FA1"/>
    <w:rsid w:val="00CA11A5"/>
    <w:rsid w:val="00CB28FB"/>
    <w:rsid w:val="00CB5381"/>
    <w:rsid w:val="00CB5C68"/>
    <w:rsid w:val="00CD4EB1"/>
    <w:rsid w:val="00D02701"/>
    <w:rsid w:val="00D109C8"/>
    <w:rsid w:val="00D47808"/>
    <w:rsid w:val="00D52E07"/>
    <w:rsid w:val="00D6737D"/>
    <w:rsid w:val="00D67A84"/>
    <w:rsid w:val="00D81694"/>
    <w:rsid w:val="00D936BB"/>
    <w:rsid w:val="00DA0C78"/>
    <w:rsid w:val="00DA4414"/>
    <w:rsid w:val="00DE3283"/>
    <w:rsid w:val="00DE42BF"/>
    <w:rsid w:val="00E13705"/>
    <w:rsid w:val="00E2144B"/>
    <w:rsid w:val="00E21B5D"/>
    <w:rsid w:val="00E317F8"/>
    <w:rsid w:val="00E521BD"/>
    <w:rsid w:val="00E54D15"/>
    <w:rsid w:val="00E57353"/>
    <w:rsid w:val="00E92354"/>
    <w:rsid w:val="00EC2D4D"/>
    <w:rsid w:val="00EE2391"/>
    <w:rsid w:val="00EE2A63"/>
    <w:rsid w:val="00F018AE"/>
    <w:rsid w:val="00F17E93"/>
    <w:rsid w:val="00F22713"/>
    <w:rsid w:val="00F5117F"/>
    <w:rsid w:val="00F528E5"/>
    <w:rsid w:val="00F71A8C"/>
    <w:rsid w:val="00F90736"/>
    <w:rsid w:val="00F953BC"/>
    <w:rsid w:val="00FB29A7"/>
    <w:rsid w:val="00FB2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C30A91"/>
  <w15:chartTrackingRefBased/>
  <w15:docId w15:val="{D0A93894-9565-4CE0-91A6-3E036CC4F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839"/>
    <w:pPr>
      <w:spacing w:line="260" w:lineRule="atLeast"/>
      <w:jc w:val="both"/>
    </w:pPr>
    <w:rPr>
      <w:rFonts w:ascii="Palatino Linotype" w:hAnsi="Palatino Linotype"/>
      <w:noProof/>
      <w:color w:val="000000"/>
    </w:rPr>
  </w:style>
  <w:style w:type="paragraph" w:styleId="Heading1">
    <w:name w:val="heading 1"/>
    <w:basedOn w:val="Normal"/>
    <w:link w:val="Heading1Char"/>
    <w:uiPriority w:val="9"/>
    <w:qFormat/>
    <w:rsid w:val="00E57353"/>
    <w:pPr>
      <w:spacing w:before="100" w:beforeAutospacing="1" w:after="100" w:afterAutospacing="1" w:line="240" w:lineRule="auto"/>
      <w:jc w:val="left"/>
      <w:outlineLvl w:val="0"/>
    </w:pPr>
    <w:rPr>
      <w:rFonts w:ascii="Times New Roman" w:eastAsia="Times New Roman" w:hAnsi="Times New Roman"/>
      <w:b/>
      <w:bCs/>
      <w:noProof w:val="0"/>
      <w:color w:val="auto"/>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3F26C2"/>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3F26C2"/>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3F26C2"/>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3F26C2"/>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3F26C2"/>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3F26C2"/>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3F26C2"/>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3F26C2"/>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3A55A8"/>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0D6839"/>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0D6839"/>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0D6839"/>
    <w:rPr>
      <w:rFonts w:ascii="Palatino Linotype" w:hAnsi="Palatino Linotype"/>
      <w:noProof/>
      <w:color w:val="000000"/>
      <w:szCs w:val="18"/>
    </w:rPr>
  </w:style>
  <w:style w:type="paragraph" w:styleId="Header">
    <w:name w:val="header"/>
    <w:basedOn w:val="Normal"/>
    <w:link w:val="HeaderChar"/>
    <w:uiPriority w:val="99"/>
    <w:rsid w:val="000D6839"/>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0D6839"/>
    <w:rPr>
      <w:rFonts w:ascii="Palatino Linotype" w:hAnsi="Palatino Linotype"/>
      <w:noProof/>
      <w:color w:val="000000"/>
      <w:szCs w:val="18"/>
    </w:rPr>
  </w:style>
  <w:style w:type="paragraph" w:customStyle="1" w:styleId="MDPIheaderjournallogo">
    <w:name w:val="MDPI_header_journal_logo"/>
    <w:qFormat/>
    <w:rsid w:val="003F26C2"/>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3F26C2"/>
    <w:pPr>
      <w:ind w:firstLine="0"/>
    </w:pPr>
  </w:style>
  <w:style w:type="paragraph" w:customStyle="1" w:styleId="MDPI31text">
    <w:name w:val="MDPI_3.1_text"/>
    <w:qFormat/>
    <w:rsid w:val="003F26C2"/>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3F26C2"/>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3F26C2"/>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3F26C2"/>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3F26C2"/>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3F26C2"/>
    <w:pPr>
      <w:numPr>
        <w:numId w:val="18"/>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3F26C2"/>
    <w:pPr>
      <w:numPr>
        <w:numId w:val="19"/>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3F26C2"/>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3F26C2"/>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3F26C2"/>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3F26C2"/>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3F26C2"/>
    <w:pPr>
      <w:adjustRightInd w:val="0"/>
      <w:snapToGrid w:val="0"/>
      <w:spacing w:after="240"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3F26C2"/>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3F26C2"/>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3F26C2"/>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3F26C2"/>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3F26C2"/>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3F26C2"/>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3F26C2"/>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3F26C2"/>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3F26C2"/>
    <w:pPr>
      <w:numPr>
        <w:numId w:val="20"/>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0D6839"/>
    <w:rPr>
      <w:rFonts w:cs="Tahoma"/>
      <w:szCs w:val="18"/>
    </w:rPr>
  </w:style>
  <w:style w:type="character" w:customStyle="1" w:styleId="BalloonTextChar">
    <w:name w:val="Balloon Text Char"/>
    <w:link w:val="BalloonText"/>
    <w:uiPriority w:val="99"/>
    <w:rsid w:val="000D6839"/>
    <w:rPr>
      <w:rFonts w:ascii="Palatino Linotype" w:hAnsi="Palatino Linotype" w:cs="Tahoma"/>
      <w:noProof/>
      <w:color w:val="000000"/>
      <w:szCs w:val="18"/>
    </w:rPr>
  </w:style>
  <w:style w:type="character" w:styleId="LineNumber">
    <w:name w:val="line number"/>
    <w:uiPriority w:val="99"/>
    <w:rsid w:val="00C343B1"/>
    <w:rPr>
      <w:rFonts w:ascii="Palatino Linotype" w:hAnsi="Palatino Linotype"/>
      <w:sz w:val="16"/>
    </w:rPr>
  </w:style>
  <w:style w:type="table" w:customStyle="1" w:styleId="MDPI41threelinetable">
    <w:name w:val="MDPI_4.1_three_line_table"/>
    <w:basedOn w:val="TableNormal"/>
    <w:uiPriority w:val="99"/>
    <w:rsid w:val="003F26C2"/>
    <w:pPr>
      <w:adjustRightInd w:val="0"/>
      <w:snapToGrid w:val="0"/>
      <w:jc w:val="center"/>
    </w:pPr>
    <w:rPr>
      <w:rFonts w:ascii="Palatino Linotype" w:eastAsiaTheme="minorEastAsia"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0D6839"/>
    <w:rPr>
      <w:color w:val="0000FF"/>
      <w:u w:val="single"/>
    </w:rPr>
  </w:style>
  <w:style w:type="character" w:customStyle="1" w:styleId="UnresolvedMention1">
    <w:name w:val="Unresolved Mention1"/>
    <w:uiPriority w:val="99"/>
    <w:semiHidden/>
    <w:unhideWhenUsed/>
    <w:rsid w:val="00963346"/>
    <w:rPr>
      <w:color w:val="605E5C"/>
      <w:shd w:val="clear" w:color="auto" w:fill="E1DFDD"/>
    </w:rPr>
  </w:style>
  <w:style w:type="table" w:styleId="PlainTable4">
    <w:name w:val="Plain Table 4"/>
    <w:basedOn w:val="TableNormal"/>
    <w:uiPriority w:val="44"/>
    <w:rsid w:val="00F71A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3F26C2"/>
    <w:pPr>
      <w:adjustRightInd w:val="0"/>
      <w:snapToGrid w:val="0"/>
      <w:spacing w:line="240" w:lineRule="atLeast"/>
      <w:ind w:right="113"/>
    </w:pPr>
    <w:rPr>
      <w:rFonts w:ascii="Palatino Linotype" w:eastAsiaTheme="minorEastAsia" w:hAnsi="Palatino Linotype" w:cstheme="minorBidi"/>
      <w:sz w:val="14"/>
      <w:szCs w:val="22"/>
    </w:rPr>
  </w:style>
  <w:style w:type="paragraph" w:customStyle="1" w:styleId="MDPI62BackMatter">
    <w:name w:val="MDPI_6.2_BackMatter"/>
    <w:qFormat/>
    <w:rsid w:val="003F26C2"/>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3F26C2"/>
    <w:pPr>
      <w:adjustRightInd w:val="0"/>
      <w:snapToGrid w:val="0"/>
      <w:spacing w:after="120" w:line="240" w:lineRule="atLeast"/>
      <w:ind w:right="113"/>
    </w:pPr>
    <w:rPr>
      <w:rFonts w:ascii="Palatino Linotype" w:hAnsi="Palatino Linotype"/>
      <w:snapToGrid w:val="0"/>
      <w:color w:val="000000" w:themeColor="text1"/>
      <w:sz w:val="14"/>
      <w:lang w:eastAsia="en-US" w:bidi="en-US"/>
    </w:rPr>
  </w:style>
  <w:style w:type="paragraph" w:customStyle="1" w:styleId="MDPI15academiceditor">
    <w:name w:val="MDPI_1.5_academic_editor"/>
    <w:qFormat/>
    <w:rsid w:val="003F26C2"/>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3F26C2"/>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3F26C2"/>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bidi="en-US"/>
    </w:rPr>
  </w:style>
  <w:style w:type="paragraph" w:customStyle="1" w:styleId="MDPI511onefigurecaption">
    <w:name w:val="MDPI_5.1.1_one_figure_caption"/>
    <w:qFormat/>
    <w:rsid w:val="003F26C2"/>
    <w:pPr>
      <w:adjustRightInd w:val="0"/>
      <w:snapToGrid w:val="0"/>
      <w:spacing w:before="240" w:after="120" w:line="260" w:lineRule="atLeast"/>
      <w:jc w:val="center"/>
    </w:pPr>
    <w:rPr>
      <w:rFonts w:ascii="Palatino Linotype" w:eastAsiaTheme="minorEastAsia" w:hAnsi="Palatino Linotype"/>
      <w:noProof/>
      <w:color w:val="000000"/>
      <w:sz w:val="18"/>
      <w:lang w:bidi="en-US"/>
    </w:rPr>
  </w:style>
  <w:style w:type="paragraph" w:customStyle="1" w:styleId="MDPI72Copyright">
    <w:name w:val="MDPI_7.2_Copyright"/>
    <w:qFormat/>
    <w:rsid w:val="003F26C2"/>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3F26C2"/>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3F26C2"/>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3F26C2"/>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3F26C2"/>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3F26C2"/>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3F26C2"/>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3F26C2"/>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3F26C2"/>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3F26C2"/>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0D6839"/>
  </w:style>
  <w:style w:type="paragraph" w:styleId="Bibliography">
    <w:name w:val="Bibliography"/>
    <w:basedOn w:val="Normal"/>
    <w:next w:val="Normal"/>
    <w:uiPriority w:val="37"/>
    <w:semiHidden/>
    <w:unhideWhenUsed/>
    <w:rsid w:val="000D6839"/>
  </w:style>
  <w:style w:type="paragraph" w:styleId="BodyText">
    <w:name w:val="Body Text"/>
    <w:link w:val="BodyTextChar"/>
    <w:rsid w:val="000D6839"/>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0D6839"/>
    <w:rPr>
      <w:rFonts w:ascii="Palatino Linotype" w:hAnsi="Palatino Linotype"/>
      <w:color w:val="000000"/>
      <w:sz w:val="24"/>
      <w:lang w:eastAsia="de-DE"/>
    </w:rPr>
  </w:style>
  <w:style w:type="character" w:styleId="CommentReference">
    <w:name w:val="annotation reference"/>
    <w:uiPriority w:val="99"/>
    <w:rsid w:val="000D6839"/>
    <w:rPr>
      <w:sz w:val="21"/>
      <w:szCs w:val="21"/>
    </w:rPr>
  </w:style>
  <w:style w:type="paragraph" w:styleId="CommentText">
    <w:name w:val="annotation text"/>
    <w:basedOn w:val="Normal"/>
    <w:link w:val="CommentTextChar"/>
    <w:uiPriority w:val="99"/>
    <w:rsid w:val="000D6839"/>
  </w:style>
  <w:style w:type="character" w:customStyle="1" w:styleId="CommentTextChar">
    <w:name w:val="Comment Text Char"/>
    <w:link w:val="CommentText"/>
    <w:uiPriority w:val="99"/>
    <w:rsid w:val="000D6839"/>
    <w:rPr>
      <w:rFonts w:ascii="Palatino Linotype" w:hAnsi="Palatino Linotype"/>
      <w:noProof/>
      <w:color w:val="000000"/>
    </w:rPr>
  </w:style>
  <w:style w:type="paragraph" w:styleId="CommentSubject">
    <w:name w:val="annotation subject"/>
    <w:basedOn w:val="CommentText"/>
    <w:next w:val="CommentText"/>
    <w:link w:val="CommentSubjectChar"/>
    <w:uiPriority w:val="99"/>
    <w:rsid w:val="000D6839"/>
    <w:rPr>
      <w:b/>
      <w:bCs/>
    </w:rPr>
  </w:style>
  <w:style w:type="character" w:customStyle="1" w:styleId="CommentSubjectChar">
    <w:name w:val="Comment Subject Char"/>
    <w:link w:val="CommentSubject"/>
    <w:uiPriority w:val="99"/>
    <w:rsid w:val="000D6839"/>
    <w:rPr>
      <w:rFonts w:ascii="Palatino Linotype" w:hAnsi="Palatino Linotype"/>
      <w:b/>
      <w:bCs/>
      <w:noProof/>
      <w:color w:val="000000"/>
    </w:rPr>
  </w:style>
  <w:style w:type="character" w:styleId="EndnoteReference">
    <w:name w:val="endnote reference"/>
    <w:rsid w:val="000D6839"/>
    <w:rPr>
      <w:vertAlign w:val="superscript"/>
    </w:rPr>
  </w:style>
  <w:style w:type="paragraph" w:styleId="EndnoteText">
    <w:name w:val="endnote text"/>
    <w:basedOn w:val="Normal"/>
    <w:link w:val="EndnoteTextChar"/>
    <w:semiHidden/>
    <w:unhideWhenUsed/>
    <w:rsid w:val="000D6839"/>
    <w:pPr>
      <w:spacing w:line="240" w:lineRule="auto"/>
    </w:pPr>
  </w:style>
  <w:style w:type="character" w:customStyle="1" w:styleId="EndnoteTextChar">
    <w:name w:val="Endnote Text Char"/>
    <w:link w:val="EndnoteText"/>
    <w:semiHidden/>
    <w:rsid w:val="000D6839"/>
    <w:rPr>
      <w:rFonts w:ascii="Palatino Linotype" w:hAnsi="Palatino Linotype"/>
      <w:noProof/>
      <w:color w:val="000000"/>
    </w:rPr>
  </w:style>
  <w:style w:type="character" w:styleId="FollowedHyperlink">
    <w:name w:val="FollowedHyperlink"/>
    <w:rsid w:val="000D6839"/>
    <w:rPr>
      <w:color w:val="954F72"/>
      <w:u w:val="single"/>
    </w:rPr>
  </w:style>
  <w:style w:type="paragraph" w:styleId="FootnoteText">
    <w:name w:val="footnote text"/>
    <w:basedOn w:val="Normal"/>
    <w:link w:val="FootnoteTextChar"/>
    <w:semiHidden/>
    <w:unhideWhenUsed/>
    <w:rsid w:val="000D6839"/>
    <w:pPr>
      <w:spacing w:line="240" w:lineRule="auto"/>
    </w:pPr>
  </w:style>
  <w:style w:type="character" w:customStyle="1" w:styleId="FootnoteTextChar">
    <w:name w:val="Footnote Text Char"/>
    <w:link w:val="FootnoteText"/>
    <w:semiHidden/>
    <w:rsid w:val="000D6839"/>
    <w:rPr>
      <w:rFonts w:ascii="Palatino Linotype" w:hAnsi="Palatino Linotype"/>
      <w:noProof/>
      <w:color w:val="000000"/>
    </w:rPr>
  </w:style>
  <w:style w:type="paragraph" w:styleId="NormalWeb">
    <w:name w:val="Normal (Web)"/>
    <w:basedOn w:val="Normal"/>
    <w:uiPriority w:val="99"/>
    <w:rsid w:val="000D6839"/>
    <w:rPr>
      <w:szCs w:val="24"/>
    </w:rPr>
  </w:style>
  <w:style w:type="paragraph" w:customStyle="1" w:styleId="MsoFootnoteText0">
    <w:name w:val="MsoFootnoteText"/>
    <w:basedOn w:val="NormalWeb"/>
    <w:qFormat/>
    <w:rsid w:val="000D6839"/>
    <w:rPr>
      <w:rFonts w:ascii="Times New Roman" w:hAnsi="Times New Roman"/>
    </w:rPr>
  </w:style>
  <w:style w:type="character" w:styleId="PageNumber">
    <w:name w:val="page number"/>
    <w:rsid w:val="000D6839"/>
  </w:style>
  <w:style w:type="character" w:styleId="PlaceholderText">
    <w:name w:val="Placeholder Text"/>
    <w:uiPriority w:val="99"/>
    <w:semiHidden/>
    <w:rsid w:val="000D6839"/>
    <w:rPr>
      <w:color w:val="808080"/>
    </w:rPr>
  </w:style>
  <w:style w:type="character" w:customStyle="1" w:styleId="Heading1Char">
    <w:name w:val="Heading 1 Char"/>
    <w:basedOn w:val="DefaultParagraphFont"/>
    <w:link w:val="Heading1"/>
    <w:uiPriority w:val="9"/>
    <w:rsid w:val="00E57353"/>
    <w:rPr>
      <w:rFonts w:ascii="Times New Roman" w:eastAsia="Times New Roman" w:hAnsi="Times New Roman"/>
      <w:b/>
      <w:bCs/>
      <w:kern w:val="36"/>
      <w:sz w:val="48"/>
      <w:szCs w:val="48"/>
    </w:rPr>
  </w:style>
  <w:style w:type="paragraph" w:styleId="NoSpacing">
    <w:name w:val="No Spacing"/>
    <w:uiPriority w:val="1"/>
    <w:qFormat/>
    <w:rsid w:val="00E57353"/>
    <w:rPr>
      <w:sz w:val="22"/>
      <w:szCs w:val="22"/>
      <w:lang w:val="en-CA" w:eastAsia="en-US"/>
    </w:rPr>
  </w:style>
  <w:style w:type="character" w:styleId="Emphasis">
    <w:name w:val="Emphasis"/>
    <w:uiPriority w:val="20"/>
    <w:qFormat/>
    <w:rsid w:val="00E57353"/>
    <w:rPr>
      <w:i/>
      <w:iCs/>
    </w:rPr>
  </w:style>
  <w:style w:type="character" w:customStyle="1" w:styleId="ng-binding">
    <w:name w:val="ng-binding"/>
    <w:rsid w:val="00E57353"/>
  </w:style>
  <w:style w:type="character" w:customStyle="1" w:styleId="jrnl">
    <w:name w:val="jrnl"/>
    <w:rsid w:val="00E57353"/>
  </w:style>
  <w:style w:type="character" w:customStyle="1" w:styleId="element-citation">
    <w:name w:val="element-citation"/>
    <w:rsid w:val="00E57353"/>
  </w:style>
  <w:style w:type="character" w:customStyle="1" w:styleId="ref-journal">
    <w:name w:val="ref-journal"/>
    <w:rsid w:val="00E57353"/>
  </w:style>
  <w:style w:type="character" w:customStyle="1" w:styleId="ref-vol">
    <w:name w:val="ref-vol"/>
    <w:rsid w:val="00E57353"/>
  </w:style>
  <w:style w:type="character" w:customStyle="1" w:styleId="hlfld-contribauthor">
    <w:name w:val="hlfld-contribauthor"/>
    <w:rsid w:val="00E57353"/>
  </w:style>
  <w:style w:type="character" w:styleId="Strong">
    <w:name w:val="Strong"/>
    <w:uiPriority w:val="22"/>
    <w:qFormat/>
    <w:rsid w:val="00E57353"/>
    <w:rPr>
      <w:b/>
      <w:bCs/>
    </w:rPr>
  </w:style>
  <w:style w:type="character" w:customStyle="1" w:styleId="nlmgiven-names">
    <w:name w:val="nlm_given-names"/>
    <w:rsid w:val="00E57353"/>
  </w:style>
  <w:style w:type="character" w:customStyle="1" w:styleId="nlmarticle-title">
    <w:name w:val="nlm_article-title"/>
    <w:rsid w:val="00E57353"/>
  </w:style>
  <w:style w:type="character" w:customStyle="1" w:styleId="nlmfpage">
    <w:name w:val="nlm_fpage"/>
    <w:rsid w:val="00E57353"/>
  </w:style>
  <w:style w:type="character" w:customStyle="1" w:styleId="nlmlpage">
    <w:name w:val="nlm_lpage"/>
    <w:rsid w:val="00E57353"/>
  </w:style>
  <w:style w:type="character" w:customStyle="1" w:styleId="docsum-authors">
    <w:name w:val="docsum-authors"/>
    <w:rsid w:val="00E57353"/>
  </w:style>
  <w:style w:type="character" w:customStyle="1" w:styleId="docsum-journal-citation">
    <w:name w:val="docsum-journal-citation"/>
    <w:rsid w:val="00E57353"/>
  </w:style>
  <w:style w:type="paragraph" w:customStyle="1" w:styleId="MDPI61Supplementary">
    <w:name w:val="MDPI_6.1_Supplementary"/>
    <w:qFormat/>
    <w:rsid w:val="00E57353"/>
    <w:pPr>
      <w:spacing w:before="240" w:line="260" w:lineRule="atLeast"/>
      <w:jc w:val="both"/>
    </w:pPr>
    <w:rPr>
      <w:rFonts w:ascii="Palatino Linotype" w:eastAsia="Times New Roman" w:hAnsi="Palatino Linotype"/>
      <w:snapToGrid w:val="0"/>
      <w:color w:val="000000"/>
      <w:sz w:val="18"/>
      <w:lang w:eastAsia="en-US" w:bidi="en-US"/>
    </w:rPr>
  </w:style>
  <w:style w:type="paragraph" w:customStyle="1" w:styleId="MDPI62Acknowledgments">
    <w:name w:val="MDPI_6.2_Acknowledgments"/>
    <w:qFormat/>
    <w:rsid w:val="00E57353"/>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63AuthorContributions">
    <w:name w:val="MDPI_6.3_AuthorContributions"/>
    <w:qFormat/>
    <w:rsid w:val="00E57353"/>
    <w:pPr>
      <w:spacing w:line="260" w:lineRule="atLeast"/>
      <w:jc w:val="both"/>
    </w:pPr>
    <w:rPr>
      <w:rFonts w:ascii="Palatino Linotype" w:hAnsi="Palatino Linotype"/>
      <w:snapToGrid w:val="0"/>
      <w:sz w:val="18"/>
      <w:lang w:eastAsia="en-US" w:bidi="en-US"/>
    </w:rPr>
  </w:style>
  <w:style w:type="paragraph" w:customStyle="1" w:styleId="MDPI64CoI">
    <w:name w:val="MDPI_6.4_CoI"/>
    <w:qFormat/>
    <w:rsid w:val="00E57353"/>
    <w:pPr>
      <w:adjustRightInd w:val="0"/>
      <w:snapToGrid w:val="0"/>
      <w:spacing w:before="120" w:after="120" w:line="260" w:lineRule="atLeast"/>
      <w:jc w:val="both"/>
    </w:pPr>
    <w:rPr>
      <w:rFonts w:ascii="Palatino Linotype" w:eastAsia="Times New Roman" w:hAnsi="Palatino Linotype"/>
      <w:snapToGrid w:val="0"/>
      <w:color w:val="000000"/>
      <w:sz w:val="18"/>
      <w:lang w:eastAsia="de-DE" w:bidi="en-US"/>
    </w:rPr>
  </w:style>
  <w:style w:type="table" w:customStyle="1" w:styleId="PlainTable41">
    <w:name w:val="Plain Table 41"/>
    <w:basedOn w:val="TableNormal"/>
    <w:uiPriority w:val="44"/>
    <w:rsid w:val="00E57353"/>
    <w:rPr>
      <w:sz w:val="22"/>
      <w:szCs w:val="22"/>
      <w:lang w:val="en-CA"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UnresolvedMention10">
    <w:name w:val="Unresolved Mention1"/>
    <w:uiPriority w:val="99"/>
    <w:semiHidden/>
    <w:unhideWhenUsed/>
    <w:rsid w:val="00E57353"/>
    <w:rPr>
      <w:color w:val="605E5C"/>
      <w:shd w:val="clear" w:color="auto" w:fill="E1DFDD"/>
    </w:rPr>
  </w:style>
  <w:style w:type="character" w:customStyle="1" w:styleId="citation-doi">
    <w:name w:val="citation-doi"/>
    <w:rsid w:val="00E57353"/>
  </w:style>
  <w:style w:type="paragraph" w:styleId="Revision">
    <w:name w:val="Revision"/>
    <w:hidden/>
    <w:uiPriority w:val="99"/>
    <w:semiHidden/>
    <w:rsid w:val="00844DD2"/>
    <w:rPr>
      <w:rFonts w:ascii="Palatino Linotype" w:hAnsi="Palatino Linotype"/>
      <w:noProof/>
      <w:color w:val="000000"/>
    </w:rPr>
  </w:style>
  <w:style w:type="character" w:styleId="UnresolvedMention">
    <w:name w:val="Unresolved Mention"/>
    <w:basedOn w:val="DefaultParagraphFont"/>
    <w:uiPriority w:val="99"/>
    <w:semiHidden/>
    <w:unhideWhenUsed/>
    <w:rsid w:val="00976CB0"/>
    <w:rPr>
      <w:color w:val="605E5C"/>
      <w:shd w:val="clear" w:color="auto" w:fill="E1DFDD"/>
    </w:rPr>
  </w:style>
  <w:style w:type="paragraph" w:customStyle="1" w:styleId="Default">
    <w:name w:val="Default"/>
    <w:rsid w:val="00163DD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1444446">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Word%20templates\cancer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cancers-template.dot</Template>
  <TotalTime>1</TotalTime>
  <Pages>5</Pages>
  <Words>776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2</cp:revision>
  <cp:lastPrinted>2021-02-26T15:34:00Z</cp:lastPrinted>
  <dcterms:created xsi:type="dcterms:W3CDTF">2021-03-02T05:47:00Z</dcterms:created>
  <dcterms:modified xsi:type="dcterms:W3CDTF">2021-03-02T05:47:00Z</dcterms:modified>
</cp:coreProperties>
</file>