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ellenraster"/>
        <w:tblW w:w="9124" w:type="dxa"/>
        <w:tblLook w:val="04A0" w:firstRow="1" w:lastRow="0" w:firstColumn="1" w:lastColumn="0" w:noHBand="0" w:noVBand="1"/>
      </w:tblPr>
      <w:tblGrid>
        <w:gridCol w:w="9124"/>
      </w:tblGrid>
      <w:tr w:rsidR="00681060" w:rsidTr="00E478B9">
        <w:trPr>
          <w:trHeight w:val="6520"/>
        </w:trPr>
        <w:tc>
          <w:tcPr>
            <w:tcW w:w="9124" w:type="dxa"/>
          </w:tcPr>
          <w:p w:rsidR="00681060" w:rsidRDefault="00E478B9" w:rsidP="00681060">
            <w:pPr>
              <w:spacing w:after="0"/>
              <w:jc w:val="center"/>
            </w:pPr>
            <w:r w:rsidRPr="00E478B9">
              <w:rPr>
                <w:noProof/>
                <w:lang w:val="de-DE" w:eastAsia="de-DE"/>
              </w:rPr>
              <w:drawing>
                <wp:inline distT="0" distB="0" distL="0" distR="0">
                  <wp:extent cx="3281749" cy="4086225"/>
                  <wp:effectExtent l="0" t="0" r="0" b="0"/>
                  <wp:docPr id="4" name="Grafik 4" descr="C:\Users\ayoubian_h\Desktop\review\Fig\Figure S1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youbian_h\Desktop\review\Fig\Figure S1.t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5">
                                    <a14:imgEffect>
                                      <a14:sharpenSoften amount="39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90398" cy="40969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81060" w:rsidTr="00E478B9">
        <w:trPr>
          <w:trHeight w:val="1688"/>
        </w:trPr>
        <w:tc>
          <w:tcPr>
            <w:tcW w:w="9124" w:type="dxa"/>
          </w:tcPr>
          <w:p w:rsidR="00681060" w:rsidRPr="00681060" w:rsidRDefault="00681060" w:rsidP="00681060">
            <w:pPr>
              <w:spacing w:after="0"/>
              <w:rPr>
                <w:rFonts w:ascii="Palatino Linotype" w:hAnsi="Palatino Linotype" w:cstheme="majorBidi"/>
                <w:sz w:val="20"/>
                <w:szCs w:val="20"/>
              </w:rPr>
            </w:pPr>
            <w:r w:rsidRPr="00681060">
              <w:rPr>
                <w:rFonts w:ascii="Palatino Linotype" w:hAnsi="Palatino Linotype" w:cstheme="majorBidi"/>
                <w:sz w:val="20"/>
                <w:szCs w:val="20"/>
              </w:rPr>
              <w:t>Figure S1. Unsupervised hierarchical clustering of differentially expressed miRNAs in HPV-related versus non-HPV-related PSCC (p ≤ 0.05; q ≥ 0.81; fold change ≥ 2).</w:t>
            </w:r>
          </w:p>
          <w:p w:rsidR="00681060" w:rsidRPr="00681060" w:rsidRDefault="00681060" w:rsidP="00681060">
            <w:pPr>
              <w:spacing w:after="0"/>
              <w:rPr>
                <w:rFonts w:ascii="Palatino Linotype" w:hAnsi="Palatino Linotype" w:cstheme="majorBidi"/>
                <w:sz w:val="20"/>
                <w:szCs w:val="20"/>
              </w:rPr>
            </w:pPr>
          </w:p>
        </w:tc>
      </w:tr>
    </w:tbl>
    <w:p w:rsidR="006D5331" w:rsidRDefault="006D5331"/>
    <w:p w:rsidR="00681060" w:rsidRDefault="00681060"/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9062"/>
      </w:tblGrid>
      <w:tr w:rsidR="00681060" w:rsidTr="00681060">
        <w:tc>
          <w:tcPr>
            <w:tcW w:w="9062" w:type="dxa"/>
          </w:tcPr>
          <w:p w:rsidR="00681060" w:rsidRPr="00681060" w:rsidRDefault="000203B5" w:rsidP="00681060">
            <w:pPr>
              <w:jc w:val="center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  <w:noProof/>
                <w:lang w:val="de-DE" w:eastAsia="de-DE"/>
              </w:rPr>
              <w:lastRenderedPageBreak/>
              <w:drawing>
                <wp:inline distT="0" distB="0" distL="0" distR="0">
                  <wp:extent cx="2892552" cy="2005584"/>
                  <wp:effectExtent l="0" t="0" r="3175" b="0"/>
                  <wp:docPr id="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Figure S2.TIF"/>
                          <pic:cNvPicPr/>
                        </pic:nvPicPr>
                        <pic:blipFill>
                          <a:blip r:embed="rId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7">
                                    <a14:imgEffect>
                                      <a14:sharpenSoften amount="3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92552" cy="20055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81060" w:rsidTr="00681060">
        <w:tc>
          <w:tcPr>
            <w:tcW w:w="9062" w:type="dxa"/>
          </w:tcPr>
          <w:p w:rsidR="00681060" w:rsidRPr="00681060" w:rsidRDefault="00681060" w:rsidP="00681060">
            <w:pPr>
              <w:spacing w:after="0"/>
              <w:rPr>
                <w:rFonts w:ascii="Palatino Linotype" w:hAnsi="Palatino Linotype" w:cstheme="majorBidi"/>
                <w:sz w:val="20"/>
                <w:szCs w:val="20"/>
              </w:rPr>
            </w:pPr>
            <w:r w:rsidRPr="00681060">
              <w:rPr>
                <w:rFonts w:ascii="Palatino Linotype" w:hAnsi="Palatino Linotype" w:cstheme="majorBidi"/>
                <w:sz w:val="20"/>
                <w:szCs w:val="20"/>
              </w:rPr>
              <w:t>Figure S2. Heat map after unsupervised hierarchical clustering of differentially expressed miRNAs in tumor versus normal tissues (p ≤ 0.05; q ≥ 0.99; fold change ≥ 2).</w:t>
            </w:r>
          </w:p>
          <w:p w:rsidR="00681060" w:rsidRPr="00681060" w:rsidRDefault="00681060">
            <w:pPr>
              <w:rPr>
                <w:rFonts w:ascii="Palatino Linotype" w:hAnsi="Palatino Linotype"/>
              </w:rPr>
            </w:pPr>
          </w:p>
        </w:tc>
      </w:tr>
    </w:tbl>
    <w:p w:rsidR="00681060" w:rsidRDefault="00681060"/>
    <w:p w:rsidR="00681060" w:rsidRDefault="00681060"/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8922"/>
      </w:tblGrid>
      <w:tr w:rsidR="00681060" w:rsidTr="00681060">
        <w:trPr>
          <w:trHeight w:val="6007"/>
        </w:trPr>
        <w:tc>
          <w:tcPr>
            <w:tcW w:w="8922" w:type="dxa"/>
          </w:tcPr>
          <w:p w:rsidR="00681060" w:rsidRDefault="000203B5" w:rsidP="00681060">
            <w:pPr>
              <w:jc w:val="center"/>
            </w:pPr>
            <w:r>
              <w:rPr>
                <w:noProof/>
                <w:lang w:val="de-DE" w:eastAsia="de-DE"/>
              </w:rPr>
              <w:lastRenderedPageBreak/>
              <w:drawing>
                <wp:inline distT="0" distB="0" distL="0" distR="0">
                  <wp:extent cx="3946525" cy="5276102"/>
                  <wp:effectExtent l="0" t="0" r="0" b="1270"/>
                  <wp:docPr id="2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Figure S3.TIF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67465" cy="53040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81060" w:rsidTr="00681060">
        <w:trPr>
          <w:trHeight w:val="1873"/>
        </w:trPr>
        <w:tc>
          <w:tcPr>
            <w:tcW w:w="8922" w:type="dxa"/>
          </w:tcPr>
          <w:p w:rsidR="00681060" w:rsidRPr="00681060" w:rsidRDefault="00681060" w:rsidP="00681060">
            <w:pPr>
              <w:spacing w:after="0"/>
              <w:rPr>
                <w:rFonts w:ascii="Palatino Linotype" w:hAnsi="Palatino Linotype" w:cstheme="majorBidi"/>
                <w:sz w:val="20"/>
                <w:szCs w:val="20"/>
              </w:rPr>
            </w:pPr>
            <w:r w:rsidRPr="00681060">
              <w:rPr>
                <w:rFonts w:ascii="Palatino Linotype" w:hAnsi="Palatino Linotype" w:cstheme="majorBidi"/>
                <w:sz w:val="20"/>
                <w:szCs w:val="20"/>
              </w:rPr>
              <w:lastRenderedPageBreak/>
              <w:t xml:space="preserve">Figure S3. Heat map after unsupervised hierarchical clustering of differentially expressed miRNAs in metastatic versus non- metastatic (HPV-positive) basaloid, warty, and warty basaloid histological </w:t>
            </w:r>
            <w:r w:rsidR="000203B5" w:rsidRPr="00681060">
              <w:rPr>
                <w:rFonts w:ascii="Palatino Linotype" w:hAnsi="Palatino Linotype" w:cstheme="majorBidi"/>
                <w:sz w:val="20"/>
                <w:szCs w:val="20"/>
              </w:rPr>
              <w:t>subtype (</w:t>
            </w:r>
            <w:r w:rsidRPr="00681060">
              <w:rPr>
                <w:rFonts w:ascii="Palatino Linotype" w:hAnsi="Palatino Linotype" w:cstheme="majorBidi"/>
                <w:sz w:val="20"/>
                <w:szCs w:val="20"/>
              </w:rPr>
              <w:t>p ≤ 0.05; q ≥0.79; fold change ≥ 2).</w:t>
            </w:r>
          </w:p>
          <w:p w:rsidR="00681060" w:rsidRDefault="00681060"/>
        </w:tc>
      </w:tr>
    </w:tbl>
    <w:p w:rsidR="00681060" w:rsidRDefault="00681060"/>
    <w:p w:rsidR="00E478B9" w:rsidRDefault="00E478B9"/>
    <w:p w:rsidR="00E478B9" w:rsidRDefault="00E478B9"/>
    <w:p w:rsidR="00E478B9" w:rsidRDefault="00E478B9"/>
    <w:p w:rsidR="00E478B9" w:rsidRDefault="00E478B9"/>
    <w:p w:rsidR="00E478B9" w:rsidRDefault="00E478B9"/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9062"/>
      </w:tblGrid>
      <w:tr w:rsidR="00E478B9" w:rsidTr="00304532">
        <w:tc>
          <w:tcPr>
            <w:tcW w:w="9062" w:type="dxa"/>
          </w:tcPr>
          <w:p w:rsidR="00E478B9" w:rsidRDefault="00E478B9" w:rsidP="00304532">
            <w:r w:rsidRPr="00E478B9">
              <w:rPr>
                <w:noProof/>
                <w:lang w:val="de-DE" w:eastAsia="de-DE"/>
              </w:rPr>
              <w:lastRenderedPageBreak/>
              <w:drawing>
                <wp:inline distT="0" distB="0" distL="0" distR="0">
                  <wp:extent cx="5514975" cy="3102173"/>
                  <wp:effectExtent l="0" t="0" r="0" b="3175"/>
                  <wp:docPr id="5" name="Grafik 5" descr="C:\Users\ayoubian_h\Desktop\review\Figure S4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ayoubian_h\Desktop\review\Figure S4.T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0">
                                    <a14:imgEffect>
                                      <a14:sharpenSoften amount="6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25253" cy="31079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478B9" w:rsidTr="00304532">
        <w:tc>
          <w:tcPr>
            <w:tcW w:w="9062" w:type="dxa"/>
          </w:tcPr>
          <w:p w:rsidR="00E478B9" w:rsidRDefault="00E478B9" w:rsidP="006B7DE0">
            <w:r>
              <w:t>Figure S4</w:t>
            </w:r>
            <w:r w:rsidRPr="00690236">
              <w:t>. miRNAs</w:t>
            </w:r>
            <w:r w:rsidR="006B7DE0">
              <w:t xml:space="preserve"> without significant differences </w:t>
            </w:r>
            <w:r w:rsidRPr="00690236">
              <w:t xml:space="preserve">as determined by </w:t>
            </w:r>
            <w:proofErr w:type="spellStart"/>
            <w:r>
              <w:t>TaqMan</w:t>
            </w:r>
            <w:proofErr w:type="spellEnd"/>
            <w:r>
              <w:t>® RT-qPCR (p ≤ 0.05). (a) and (b)</w:t>
            </w:r>
            <w:r w:rsidRPr="00690236">
              <w:t xml:space="preserve">Mean ΔCt value of (HPV-negative) usual PSCC and normal tissue samples; (c) mean ΔCt value of metastatic versus non-metastatic usual (HPV-negative) </w:t>
            </w:r>
            <w:proofErr w:type="spellStart"/>
            <w:r w:rsidRPr="00690236">
              <w:t>tumors</w:t>
            </w:r>
            <w:proofErr w:type="spellEnd"/>
            <w:r w:rsidRPr="00690236">
              <w:t xml:space="preserve">;  Lower </w:t>
            </w:r>
            <w:proofErr w:type="spellStart"/>
            <w:r w:rsidRPr="00690236">
              <w:t>ΔCt</w:t>
            </w:r>
            <w:proofErr w:type="spellEnd"/>
            <w:r w:rsidRPr="00690236">
              <w:t xml:space="preserve"> </w:t>
            </w:r>
            <w:proofErr w:type="spellStart"/>
            <w:r w:rsidRPr="00690236">
              <w:t>implays</w:t>
            </w:r>
            <w:proofErr w:type="spellEnd"/>
            <w:r w:rsidRPr="00690236">
              <w:t xml:space="preserve"> higher expression level. Mann-Whitney U test was used to determine p-values</w:t>
            </w:r>
            <w:bookmarkStart w:id="0" w:name="_GoBack"/>
            <w:bookmarkEnd w:id="0"/>
          </w:p>
        </w:tc>
      </w:tr>
    </w:tbl>
    <w:p w:rsidR="00E478B9" w:rsidRDefault="00E478B9"/>
    <w:p w:rsidR="00E478B9" w:rsidRDefault="00E478B9" w:rsidP="00E478B9">
      <w:pPr>
        <w:spacing w:after="160" w:line="259" w:lineRule="auto"/>
      </w:pPr>
    </w:p>
    <w:sectPr w:rsidR="00E478B9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81060"/>
    <w:rsid w:val="000203B5"/>
    <w:rsid w:val="002C3397"/>
    <w:rsid w:val="00302E72"/>
    <w:rsid w:val="00681060"/>
    <w:rsid w:val="006B7DE0"/>
    <w:rsid w:val="006D5331"/>
    <w:rsid w:val="00E478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DB68A1"/>
  <w15:chartTrackingRefBased/>
  <w15:docId w15:val="{116EBDA3-5B71-4705-92C8-94A9372DCB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681060"/>
    <w:pPr>
      <w:spacing w:after="200" w:line="276" w:lineRule="auto"/>
    </w:pPr>
    <w:rPr>
      <w:lang w:val="en-GB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68106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tiff"/><Relationship Id="rId3" Type="http://schemas.openxmlformats.org/officeDocument/2006/relationships/webSettings" Target="webSettings.xml"/><Relationship Id="rId7" Type="http://schemas.microsoft.com/office/2007/relationships/hdphoto" Target="media/hdphoto2.wdp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microsoft.com/office/2007/relationships/hdphoto" Target="media/hdphoto1.wdp"/><Relationship Id="rId10" Type="http://schemas.microsoft.com/office/2007/relationships/hdphoto" Target="media/hdphoto3.wdp"/><Relationship Id="rId4" Type="http://schemas.openxmlformats.org/officeDocument/2006/relationships/image" Target="media/image1.png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132</Words>
  <Characters>833</Characters>
  <Application>Microsoft Office Word</Application>
  <DocSecurity>4</DocSecurity>
  <Lines>6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Universitätsklinikum des Saarlandes</Company>
  <LinksUpToDate>false</LinksUpToDate>
  <CharactersWithSpaces>964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Ayoubian, Hiresh</dc:creator>
  <cp:keywords/>
  <dc:description/>
  <cp:lastModifiedBy>Junker, Kerstin</cp:lastModifiedBy>
  <cp:revision>2</cp:revision>
  <dcterms:created xsi:type="dcterms:W3CDTF">2021-03-11T14:53:00Z</dcterms:created>
  <dcterms:modified xsi:type="dcterms:W3CDTF">2021-03-11T14:53:00Z</dcterms:modified>
</cp:coreProperties>
</file>