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E210E" w14:textId="2EE6F698" w:rsidR="00A51F88" w:rsidRPr="005E6B94" w:rsidRDefault="00A51F88" w:rsidP="00A51F88">
      <w:pPr>
        <w:pStyle w:val="MDPI12title"/>
      </w:pPr>
      <w:bookmarkStart w:id="0" w:name="_Hlk69042756"/>
      <w:r w:rsidRPr="005E6B94">
        <w:t xml:space="preserve">The Effects of In-Plane Spatial Resolution on CT-Based Radiomic Features’ Stability with and without </w:t>
      </w:r>
      <w:proofErr w:type="spellStart"/>
      <w:r w:rsidRPr="005E6B94">
        <w:t>ComBat</w:t>
      </w:r>
      <w:proofErr w:type="spellEnd"/>
      <w:r w:rsidRPr="005E6B94">
        <w:t xml:space="preserve"> Harmonization</w:t>
      </w:r>
    </w:p>
    <w:p w14:paraId="47AF3E17" w14:textId="77777777" w:rsidR="00A51F88" w:rsidRPr="005E6B94" w:rsidRDefault="00A51F88" w:rsidP="00A51F88">
      <w:pPr>
        <w:pStyle w:val="MDPI13authornames"/>
        <w:rPr>
          <w:vertAlign w:val="superscript"/>
        </w:rPr>
      </w:pPr>
      <w:r w:rsidRPr="005E6B94">
        <w:t xml:space="preserve">Abdalla Ibrahim </w:t>
      </w:r>
      <w:r w:rsidRPr="005E6B94">
        <w:rPr>
          <w:vertAlign w:val="superscript"/>
        </w:rPr>
        <w:t>1,2,3,</w:t>
      </w:r>
      <w:proofErr w:type="gramStart"/>
      <w:r w:rsidRPr="005E6B94">
        <w:rPr>
          <w:vertAlign w:val="superscript"/>
        </w:rPr>
        <w:t>4,</w:t>
      </w:r>
      <w:r w:rsidRPr="005E6B94">
        <w:t>*</w:t>
      </w:r>
      <w:proofErr w:type="gramEnd"/>
      <w:r w:rsidRPr="005E6B94">
        <w:t xml:space="preserve">, Turkey </w:t>
      </w:r>
      <w:proofErr w:type="spellStart"/>
      <w:r w:rsidRPr="005E6B94">
        <w:t>Refaee</w:t>
      </w:r>
      <w:proofErr w:type="spellEnd"/>
      <w:r w:rsidRPr="005E6B94">
        <w:t xml:space="preserve"> </w:t>
      </w:r>
      <w:r w:rsidRPr="005E6B94">
        <w:rPr>
          <w:vertAlign w:val="superscript"/>
        </w:rPr>
        <w:t>1,5,†</w:t>
      </w:r>
      <w:r w:rsidRPr="005E6B94">
        <w:t xml:space="preserve">, Sergey Primakov </w:t>
      </w:r>
      <w:r w:rsidRPr="005E6B94">
        <w:rPr>
          <w:vertAlign w:val="superscript"/>
        </w:rPr>
        <w:t>1,4,†</w:t>
      </w:r>
      <w:r w:rsidRPr="005E6B94">
        <w:t xml:space="preserve">, Bruno </w:t>
      </w:r>
      <w:proofErr w:type="spellStart"/>
      <w:r w:rsidRPr="005E6B94">
        <w:t>Barufaldi</w:t>
      </w:r>
      <w:proofErr w:type="spellEnd"/>
      <w:r w:rsidRPr="005E6B94">
        <w:t xml:space="preserve"> </w:t>
      </w:r>
      <w:r w:rsidRPr="005E6B94">
        <w:rPr>
          <w:vertAlign w:val="superscript"/>
        </w:rPr>
        <w:t>6</w:t>
      </w:r>
      <w:r w:rsidRPr="005E6B94">
        <w:t xml:space="preserve">, Raymond J. </w:t>
      </w:r>
      <w:proofErr w:type="spellStart"/>
      <w:r w:rsidRPr="005E6B94">
        <w:t>Acciavatti</w:t>
      </w:r>
      <w:proofErr w:type="spellEnd"/>
      <w:r w:rsidRPr="005E6B94">
        <w:t xml:space="preserve"> </w:t>
      </w:r>
      <w:r w:rsidRPr="005E6B94">
        <w:rPr>
          <w:vertAlign w:val="superscript"/>
        </w:rPr>
        <w:t>6</w:t>
      </w:r>
      <w:r w:rsidRPr="005E6B94">
        <w:t xml:space="preserve">, Renée W. Y. </w:t>
      </w:r>
      <w:proofErr w:type="spellStart"/>
      <w:r w:rsidRPr="005E6B94">
        <w:t>Granzier</w:t>
      </w:r>
      <w:proofErr w:type="spellEnd"/>
      <w:r w:rsidRPr="005E6B94">
        <w:t xml:space="preserve"> </w:t>
      </w:r>
      <w:r w:rsidRPr="005E6B94">
        <w:rPr>
          <w:vertAlign w:val="superscript"/>
        </w:rPr>
        <w:t>7</w:t>
      </w:r>
      <w:r w:rsidRPr="005E6B94">
        <w:t xml:space="preserve">, Roland </w:t>
      </w:r>
      <w:proofErr w:type="spellStart"/>
      <w:r w:rsidRPr="005E6B94">
        <w:t>Hustinx</w:t>
      </w:r>
      <w:proofErr w:type="spellEnd"/>
      <w:r w:rsidRPr="005E6B94">
        <w:t xml:space="preserve"> </w:t>
      </w:r>
      <w:r w:rsidRPr="005E6B94">
        <w:rPr>
          <w:color w:val="auto"/>
          <w:vertAlign w:val="superscript"/>
        </w:rPr>
        <w:t>3</w:t>
      </w:r>
      <w:r w:rsidRPr="005E6B94">
        <w:rPr>
          <w:color w:val="auto"/>
        </w:rPr>
        <w:t>,</w:t>
      </w:r>
      <w:r w:rsidRPr="005E6B94">
        <w:t xml:space="preserve"> Felix M. </w:t>
      </w:r>
      <w:proofErr w:type="spellStart"/>
      <w:r w:rsidRPr="005E6B94">
        <w:t>Mottaghy</w:t>
      </w:r>
      <w:proofErr w:type="spellEnd"/>
      <w:r w:rsidRPr="005E6B94">
        <w:t xml:space="preserve"> </w:t>
      </w:r>
      <w:r w:rsidRPr="005E6B94">
        <w:rPr>
          <w:vertAlign w:val="superscript"/>
        </w:rPr>
        <w:t>2,4</w:t>
      </w:r>
      <w:r w:rsidRPr="005E6B94">
        <w:t xml:space="preserve">, Henry C. Woodruff </w:t>
      </w:r>
      <w:r w:rsidRPr="005E6B94">
        <w:rPr>
          <w:vertAlign w:val="superscript"/>
        </w:rPr>
        <w:t>1,2</w:t>
      </w:r>
      <w:r w:rsidRPr="005E6B94">
        <w:t xml:space="preserve">, Joachim E. </w:t>
      </w:r>
      <w:proofErr w:type="spellStart"/>
      <w:r w:rsidRPr="005E6B94">
        <w:t>Wildberger</w:t>
      </w:r>
      <w:proofErr w:type="spellEnd"/>
      <w:r w:rsidRPr="005E6B94">
        <w:t xml:space="preserve"> </w:t>
      </w:r>
      <w:r w:rsidRPr="005E6B94">
        <w:rPr>
          <w:vertAlign w:val="superscript"/>
        </w:rPr>
        <w:t>2</w:t>
      </w:r>
      <w:r w:rsidRPr="005E6B94">
        <w:t xml:space="preserve">, Philippe </w:t>
      </w:r>
      <w:proofErr w:type="spellStart"/>
      <w:r w:rsidRPr="005E6B94">
        <w:t>Lambin</w:t>
      </w:r>
      <w:proofErr w:type="spellEnd"/>
      <w:r w:rsidRPr="005E6B94">
        <w:t xml:space="preserve"> </w:t>
      </w:r>
      <w:r w:rsidRPr="005E6B94">
        <w:rPr>
          <w:vertAlign w:val="superscript"/>
        </w:rPr>
        <w:t>1,2</w:t>
      </w:r>
      <w:r w:rsidRPr="005E6B94">
        <w:t xml:space="preserve"> and Andrew D. A. Maidment </w:t>
      </w:r>
      <w:r w:rsidRPr="005E6B94">
        <w:rPr>
          <w:vertAlign w:val="superscript"/>
        </w:rPr>
        <w:t>6</w:t>
      </w:r>
    </w:p>
    <w:bookmarkEnd w:id="0"/>
    <w:p w14:paraId="429B9E9E" w14:textId="77777777" w:rsidR="00A51F88" w:rsidRPr="005E6B94" w:rsidRDefault="00A51F88" w:rsidP="00A51F88">
      <w:pPr>
        <w:pStyle w:val="MDPI16affiliation"/>
        <w:rPr>
          <w:lang w:val="en"/>
        </w:rPr>
      </w:pPr>
      <w:r w:rsidRPr="005E6B94">
        <w:rPr>
          <w:vertAlign w:val="superscript"/>
        </w:rPr>
        <w:t>1</w:t>
      </w:r>
      <w:r w:rsidRPr="005E6B94">
        <w:tab/>
      </w:r>
      <w:r w:rsidRPr="005E6B94">
        <w:rPr>
          <w:lang w:val="en"/>
        </w:rPr>
        <w:t xml:space="preserve">The D-Lab, Department of Precision Medicine, GROW—School for Oncology, Maastricht University, </w:t>
      </w:r>
      <w:r w:rsidRPr="005E6B94">
        <w:t>6200</w:t>
      </w:r>
      <w:r w:rsidRPr="005E6B94">
        <w:rPr>
          <w:lang w:val="en"/>
        </w:rPr>
        <w:t xml:space="preserve"> Maastricht, The Netherlands; </w:t>
      </w:r>
      <w:r w:rsidRPr="005E6B94">
        <w:t>t.refaee@maastrichtuniversity.nl (T.R.); S.primakov@maastrichtuniversity.nl (S.P.); h.woodruff@maastrichtuniversity.nl (H.C.W.); philippe.lambin@maastrichtuniversity.nl (P.L.)</w:t>
      </w:r>
    </w:p>
    <w:p w14:paraId="6720E0CC" w14:textId="77777777" w:rsidR="00A51F88" w:rsidRPr="005E6B94" w:rsidRDefault="00A51F88" w:rsidP="00A51F88">
      <w:pPr>
        <w:pStyle w:val="MDPI16affiliation"/>
        <w:rPr>
          <w:lang w:val="en"/>
        </w:rPr>
      </w:pPr>
      <w:r w:rsidRPr="005E6B94">
        <w:rPr>
          <w:vertAlign w:val="superscript"/>
        </w:rPr>
        <w:t>2</w:t>
      </w:r>
      <w:r w:rsidRPr="005E6B94">
        <w:tab/>
      </w:r>
      <w:r w:rsidRPr="005E6B94">
        <w:rPr>
          <w:lang w:val="en"/>
        </w:rPr>
        <w:t xml:space="preserve">Department of Radiology and Nuclear Medicine, Maastricht University Medical Centre+, 6200 Maastricht, The Netherlands; </w:t>
      </w:r>
      <w:r w:rsidRPr="005E6B94">
        <w:t>felix.mottaghy@mumc.nl (F.M.M.);</w:t>
      </w:r>
      <w:r w:rsidRPr="005E6B94">
        <w:rPr>
          <w:lang w:val="en"/>
        </w:rPr>
        <w:t xml:space="preserve"> </w:t>
      </w:r>
      <w:r w:rsidRPr="005E6B94">
        <w:t>j.wildberger@mumc.nl (J.E.W.)</w:t>
      </w:r>
    </w:p>
    <w:p w14:paraId="415175D6" w14:textId="77777777" w:rsidR="00A51F88" w:rsidRPr="005E6B94" w:rsidRDefault="00A51F88" w:rsidP="00A51F88">
      <w:pPr>
        <w:pStyle w:val="MDPI16affiliation"/>
        <w:rPr>
          <w:lang w:val="en"/>
        </w:rPr>
      </w:pPr>
      <w:r w:rsidRPr="005E6B94">
        <w:rPr>
          <w:vertAlign w:val="superscript"/>
        </w:rPr>
        <w:t>3</w:t>
      </w:r>
      <w:r w:rsidRPr="005E6B94">
        <w:tab/>
      </w:r>
      <w:r w:rsidRPr="005E6B94">
        <w:rPr>
          <w:lang w:val="en"/>
        </w:rPr>
        <w:t>Division of Nuclear Medicine and Oncological Imaging, Department of Medical Physics, University Hospital of Liège</w:t>
      </w:r>
      <w:r w:rsidRPr="005E6B94" w:rsidDel="00141EA9">
        <w:rPr>
          <w:lang w:val="en"/>
        </w:rPr>
        <w:t xml:space="preserve"> </w:t>
      </w:r>
      <w:r w:rsidRPr="005E6B94">
        <w:rPr>
          <w:lang w:val="en"/>
        </w:rPr>
        <w:t xml:space="preserve">and GIGA CRC-in vivo imaging, University of Liège, 4000 Liege, Belgium; </w:t>
      </w:r>
      <w:r w:rsidRPr="005E6B94">
        <w:t>rhustinx@ulg.ac.be (R.H</w:t>
      </w:r>
      <w:r w:rsidRPr="005E6B94">
        <w:rPr>
          <w:rFonts w:ascii="宋体" w:eastAsia="宋体" w:hAnsi="宋体" w:cs="宋体"/>
          <w:lang w:eastAsia="zh-CN"/>
        </w:rPr>
        <w:t>.</w:t>
      </w:r>
      <w:r w:rsidRPr="005E6B94">
        <w:t>)</w:t>
      </w:r>
    </w:p>
    <w:p w14:paraId="6D225F2B" w14:textId="77777777" w:rsidR="00A51F88" w:rsidRPr="005E6B94" w:rsidRDefault="00A51F88" w:rsidP="00A51F88">
      <w:pPr>
        <w:pStyle w:val="MDPI16affiliation"/>
        <w:rPr>
          <w:lang w:val="en"/>
        </w:rPr>
      </w:pPr>
      <w:r w:rsidRPr="005E6B94">
        <w:rPr>
          <w:vertAlign w:val="superscript"/>
        </w:rPr>
        <w:t>4</w:t>
      </w:r>
      <w:r w:rsidRPr="005E6B94">
        <w:tab/>
      </w:r>
      <w:r w:rsidRPr="005E6B94">
        <w:rPr>
          <w:lang w:val="en"/>
        </w:rPr>
        <w:t>Department of Nuclear Medicine and Comprehensive diagnostic center Aachen (CDCA), University Hospital RWTH Aachen University, 52074 Aachen, Germany</w:t>
      </w:r>
    </w:p>
    <w:p w14:paraId="5AA9D8F3" w14:textId="77777777" w:rsidR="00A51F88" w:rsidRPr="005E6B94" w:rsidRDefault="00A51F88" w:rsidP="00A51F88">
      <w:pPr>
        <w:pStyle w:val="MDPI16affiliation"/>
        <w:rPr>
          <w:lang w:val="en"/>
        </w:rPr>
      </w:pPr>
      <w:r w:rsidRPr="005E6B94">
        <w:rPr>
          <w:vertAlign w:val="superscript"/>
        </w:rPr>
        <w:t>5</w:t>
      </w:r>
      <w:r w:rsidRPr="005E6B94">
        <w:tab/>
      </w:r>
      <w:r w:rsidRPr="005E6B94">
        <w:rPr>
          <w:lang w:val="en"/>
        </w:rPr>
        <w:t xml:space="preserve">Department of Diagnostic Radiology, Faculty of Applied Medical Sciences, </w:t>
      </w:r>
      <w:proofErr w:type="spellStart"/>
      <w:r w:rsidRPr="005E6B94">
        <w:rPr>
          <w:lang w:val="en"/>
        </w:rPr>
        <w:t>Jazan</w:t>
      </w:r>
      <w:proofErr w:type="spellEnd"/>
      <w:r w:rsidRPr="005E6B94">
        <w:rPr>
          <w:lang w:val="en"/>
        </w:rPr>
        <w:t xml:space="preserve"> University, </w:t>
      </w:r>
      <w:r w:rsidRPr="005E6B94">
        <w:rPr>
          <w:rStyle w:val="hgkelc"/>
        </w:rPr>
        <w:t xml:space="preserve">45142 </w:t>
      </w:r>
      <w:proofErr w:type="spellStart"/>
      <w:r w:rsidRPr="005E6B94">
        <w:rPr>
          <w:lang w:val="en"/>
        </w:rPr>
        <w:t>Jazan</w:t>
      </w:r>
      <w:proofErr w:type="spellEnd"/>
      <w:r w:rsidRPr="005E6B94">
        <w:rPr>
          <w:lang w:val="en"/>
        </w:rPr>
        <w:t>, Saudi Arabia</w:t>
      </w:r>
    </w:p>
    <w:p w14:paraId="40F4C482" w14:textId="77777777" w:rsidR="00A51F88" w:rsidRPr="005E6B94" w:rsidRDefault="00A51F88" w:rsidP="00A51F88">
      <w:pPr>
        <w:pStyle w:val="MDPI16affiliation"/>
        <w:rPr>
          <w:lang w:val="en"/>
        </w:rPr>
      </w:pPr>
      <w:r w:rsidRPr="005E6B94">
        <w:rPr>
          <w:vertAlign w:val="superscript"/>
        </w:rPr>
        <w:t>6</w:t>
      </w:r>
      <w:r w:rsidRPr="005E6B94">
        <w:tab/>
      </w:r>
      <w:r w:rsidRPr="005E6B94">
        <w:rPr>
          <w:lang w:val="en"/>
        </w:rPr>
        <w:t xml:space="preserve">Department of Radiology, Perelman School of Medicine, University of Pennsylvania, Philadelphia, PA </w:t>
      </w:r>
      <w:r w:rsidRPr="005E6B94">
        <w:t>19104,</w:t>
      </w:r>
      <w:r w:rsidRPr="005E6B94">
        <w:rPr>
          <w:lang w:val="en"/>
        </w:rPr>
        <w:t xml:space="preserve"> USA; </w:t>
      </w:r>
      <w:r w:rsidRPr="005E6B94">
        <w:t>Bruno.Barufaldi@pennmedicine.upenn.edu (B.B.);</w:t>
      </w:r>
      <w:r w:rsidRPr="005E6B94">
        <w:rPr>
          <w:lang w:val="en"/>
        </w:rPr>
        <w:t xml:space="preserve"> </w:t>
      </w:r>
      <w:r w:rsidRPr="005E6B94">
        <w:t>racci@pennmedicine.upenn.edu (R.J.A.); Andrew.Maidment@pennmedicine.upenn.edu</w:t>
      </w:r>
      <w:r w:rsidRPr="005E6B94" w:rsidDel="00FD37FB">
        <w:t xml:space="preserve"> </w:t>
      </w:r>
      <w:r w:rsidRPr="005E6B94">
        <w:t>(A.D.A.M.)</w:t>
      </w:r>
    </w:p>
    <w:p w14:paraId="09238E17" w14:textId="77777777" w:rsidR="00A51F88" w:rsidRPr="005E6B94" w:rsidRDefault="00A51F88" w:rsidP="00A51F88">
      <w:pPr>
        <w:pStyle w:val="MDPI16affiliation"/>
        <w:rPr>
          <w:lang w:val="en"/>
        </w:rPr>
      </w:pPr>
      <w:r w:rsidRPr="005E6B94">
        <w:rPr>
          <w:vertAlign w:val="superscript"/>
        </w:rPr>
        <w:t>7</w:t>
      </w:r>
      <w:r w:rsidRPr="005E6B94">
        <w:tab/>
      </w:r>
      <w:r w:rsidRPr="005E6B94">
        <w:rPr>
          <w:lang w:val="en"/>
        </w:rPr>
        <w:t xml:space="preserve">Department of Surgery, GROW—School for Oncology, Maastricht University Medical Centre+, 6200 Maastricht, the Netherlands; </w:t>
      </w:r>
      <w:r w:rsidRPr="005E6B94">
        <w:t xml:space="preserve">r.granzier@maastrichtuniversity.nl </w:t>
      </w:r>
    </w:p>
    <w:p w14:paraId="340EBA2F" w14:textId="77777777" w:rsidR="00A51F88" w:rsidRPr="005E6B94" w:rsidRDefault="00A51F88" w:rsidP="00A51F88">
      <w:pPr>
        <w:pStyle w:val="MDPI16affiliation"/>
      </w:pPr>
      <w:r w:rsidRPr="005E6B94">
        <w:rPr>
          <w:b/>
        </w:rPr>
        <w:t>*</w:t>
      </w:r>
      <w:r w:rsidRPr="005E6B94">
        <w:tab/>
        <w:t>Correspondence: a.ibrahim@maastrichtuniversity.nl</w:t>
      </w:r>
    </w:p>
    <w:p w14:paraId="34096EE6" w14:textId="77777777" w:rsidR="00A51F88" w:rsidRPr="005E6B94" w:rsidRDefault="00A51F88" w:rsidP="00A51F88">
      <w:pPr>
        <w:pStyle w:val="MDPI16affiliation"/>
      </w:pPr>
      <w:r w:rsidRPr="005E6B94">
        <w:t>†</w:t>
      </w:r>
      <w:r w:rsidRPr="005E6B94">
        <w:tab/>
      </w:r>
      <w:r w:rsidRPr="005E6B94">
        <w:rPr>
          <w:lang w:val="en"/>
        </w:rPr>
        <w:t>Authors contributed equally.</w:t>
      </w:r>
    </w:p>
    <w:p w14:paraId="760A8120" w14:textId="77777777" w:rsidR="008D63CD" w:rsidRDefault="008D63CD" w:rsidP="006D3FD4">
      <w:pPr>
        <w:pStyle w:val="MDPI16affiliation"/>
      </w:pPr>
    </w:p>
    <w:p w14:paraId="0C08A42F" w14:textId="77777777" w:rsidR="008D63CD" w:rsidRDefault="008D63CD" w:rsidP="006D3FD4">
      <w:pPr>
        <w:pStyle w:val="MDPI16affiliation"/>
      </w:pPr>
    </w:p>
    <w:p w14:paraId="428F66C8" w14:textId="77777777" w:rsidR="006D3FD4" w:rsidRPr="00550626" w:rsidRDefault="008D63CD" w:rsidP="006D3FD4">
      <w:pPr>
        <w:pStyle w:val="MDPI16affiliation"/>
      </w:pPr>
      <w:r w:rsidRPr="008D63CD">
        <w:rPr>
          <w:noProof/>
          <w:lang w:val="nl-NL" w:eastAsia="nl-NL" w:bidi="ar-SA"/>
        </w:rPr>
        <w:drawing>
          <wp:anchor distT="0" distB="0" distL="114300" distR="114300" simplePos="0" relativeHeight="251658240" behindDoc="0" locked="0" layoutInCell="1" allowOverlap="1" wp14:anchorId="70F7622B" wp14:editId="5D7E0FB8">
            <wp:simplePos x="0" y="0"/>
            <wp:positionH relativeFrom="column">
              <wp:posOffset>2091842</wp:posOffset>
            </wp:positionH>
            <wp:positionV relativeFrom="paragraph">
              <wp:posOffset>258292</wp:posOffset>
            </wp:positionV>
            <wp:extent cx="1296670" cy="2858770"/>
            <wp:effectExtent l="0" t="0" r="0" b="0"/>
            <wp:wrapTopAndBottom/>
            <wp:docPr id="1" name="Picture 1" descr="C:\Users\a.ibrahim\Desktop\labeled_cc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ibrahim\Desktop\labeled_cc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670" cy="285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2B971A" w14:textId="77777777" w:rsidR="008D63CD" w:rsidRPr="008D63CD" w:rsidRDefault="008D63CD">
      <w:pPr>
        <w:rPr>
          <w:rFonts w:ascii="Palatino Linotype" w:hAnsi="Palatino Linotype"/>
          <w:sz w:val="18"/>
          <w:lang w:val="en-US"/>
        </w:rPr>
      </w:pPr>
      <w:r w:rsidRPr="008D63CD">
        <w:rPr>
          <w:rFonts w:ascii="Palatino Linotype" w:hAnsi="Palatino Linotype"/>
          <w:b/>
          <w:sz w:val="18"/>
          <w:lang w:val="en-US"/>
        </w:rPr>
        <w:t xml:space="preserve">Figure S1. </w:t>
      </w:r>
      <w:r w:rsidRPr="008D63CD">
        <w:rPr>
          <w:rFonts w:ascii="Palatino Linotype" w:hAnsi="Palatino Linotype"/>
          <w:sz w:val="18"/>
          <w:lang w:val="en-US"/>
        </w:rPr>
        <w:t>The scanned CCR Phantom.</w:t>
      </w:r>
    </w:p>
    <w:p w14:paraId="6F509470" w14:textId="77777777" w:rsidR="008D63CD" w:rsidRDefault="008D63CD">
      <w:pPr>
        <w:rPr>
          <w:rFonts w:ascii="Palatino Linotype" w:hAnsi="Palatino Linotype"/>
          <w:b/>
          <w:lang w:val="en-US"/>
        </w:rPr>
      </w:pPr>
    </w:p>
    <w:p w14:paraId="015B7E48" w14:textId="77777777" w:rsidR="008D63CD" w:rsidRDefault="008D63CD">
      <w:pPr>
        <w:rPr>
          <w:rFonts w:ascii="Palatino Linotype" w:hAnsi="Palatino Linotype"/>
          <w:b/>
          <w:lang w:val="en-US"/>
        </w:rPr>
      </w:pPr>
    </w:p>
    <w:p w14:paraId="7AE05B8A" w14:textId="1E4416C9" w:rsidR="00F21DBC" w:rsidRDefault="00BD1531" w:rsidP="00F21DBC">
      <w:pPr>
        <w:rPr>
          <w:lang w:val="en-GB"/>
        </w:rPr>
      </w:pPr>
      <w:r w:rsidRPr="00BD1531">
        <w:rPr>
          <w:noProof/>
          <w:lang w:eastAsia="nl-NL"/>
        </w:rPr>
        <w:lastRenderedPageBreak/>
        <w:drawing>
          <wp:inline distT="0" distB="0" distL="0" distR="0" wp14:anchorId="3FC3FE94" wp14:editId="25A74D10">
            <wp:extent cx="4587875" cy="3228340"/>
            <wp:effectExtent l="0" t="0" r="3175" b="0"/>
            <wp:docPr id="2" name="Picture 2" descr="C:\Users\a.ibrahim\Desktop\CCR_New\Manuscript\Cancers\Figures\Figure 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ibrahim\Desktop\CCR_New\Manuscript\Cancers\Figures\Figure S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875" cy="322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4C3A2" w14:textId="77777777" w:rsidR="00F21DBC" w:rsidRDefault="00F21DBC" w:rsidP="00F21DBC">
      <w:pPr>
        <w:tabs>
          <w:tab w:val="left" w:pos="1610"/>
        </w:tabs>
        <w:rPr>
          <w:rFonts w:ascii="Palatino Linotype" w:hAnsi="Palatino Linotype"/>
          <w:sz w:val="18"/>
          <w:lang w:val="en-GB"/>
        </w:rPr>
      </w:pPr>
      <w:r w:rsidRPr="00F21DBC">
        <w:rPr>
          <w:rFonts w:ascii="Palatino Linotype" w:hAnsi="Palatino Linotype"/>
          <w:b/>
          <w:sz w:val="18"/>
          <w:lang w:val="en-GB"/>
        </w:rPr>
        <w:t>Figure S</w:t>
      </w:r>
      <w:r w:rsidR="008D63CD">
        <w:rPr>
          <w:rFonts w:ascii="Palatino Linotype" w:hAnsi="Palatino Linotype"/>
          <w:b/>
          <w:sz w:val="18"/>
          <w:lang w:val="en-GB"/>
        </w:rPr>
        <w:t>2</w:t>
      </w:r>
      <w:r w:rsidRPr="00F21DBC">
        <w:rPr>
          <w:rFonts w:ascii="Palatino Linotype" w:hAnsi="Palatino Linotype"/>
          <w:b/>
          <w:sz w:val="18"/>
          <w:lang w:val="en-GB"/>
        </w:rPr>
        <w:t>.</w:t>
      </w:r>
      <w:r w:rsidRPr="00F21DBC">
        <w:rPr>
          <w:rFonts w:ascii="Palatino Linotype" w:hAnsi="Palatino Linotype"/>
          <w:sz w:val="18"/>
          <w:lang w:val="en-GB"/>
        </w:rPr>
        <w:t xml:space="preserve"> The percentage of concordant features following resampling compared to no resampling with linear trendlines, LightSpeed model.</w:t>
      </w:r>
    </w:p>
    <w:p w14:paraId="3B51B518" w14:textId="65D8211B" w:rsidR="00BD1531" w:rsidRDefault="00BD1531" w:rsidP="00BD1531">
      <w:pPr>
        <w:rPr>
          <w:rFonts w:ascii="Palatino Linotype" w:hAnsi="Palatino Linotype"/>
          <w:sz w:val="18"/>
          <w:lang w:val="en-GB"/>
        </w:rPr>
      </w:pPr>
    </w:p>
    <w:p w14:paraId="0A2DDD42" w14:textId="326E8393" w:rsidR="00BD1531" w:rsidRDefault="00BD1531" w:rsidP="00BD1531">
      <w:pPr>
        <w:rPr>
          <w:rFonts w:ascii="Palatino Linotype" w:hAnsi="Palatino Linotype"/>
          <w:sz w:val="18"/>
          <w:lang w:val="en-GB"/>
        </w:rPr>
      </w:pPr>
      <w:r w:rsidRPr="00BD1531">
        <w:rPr>
          <w:rFonts w:ascii="Palatino Linotype" w:hAnsi="Palatino Linotype"/>
          <w:noProof/>
          <w:sz w:val="18"/>
          <w:lang w:eastAsia="nl-NL"/>
        </w:rPr>
        <w:drawing>
          <wp:inline distT="0" distB="0" distL="0" distR="0" wp14:anchorId="0CF26D34" wp14:editId="444F54A1">
            <wp:extent cx="4619625" cy="3180715"/>
            <wp:effectExtent l="0" t="0" r="9525" b="635"/>
            <wp:docPr id="3" name="Picture 3" descr="C:\Users\a.ibrahim\Desktop\CCR_New\Manuscript\Cancers\Figures\Figure 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.ibrahim\Desktop\CCR_New\Manuscript\Cancers\Figures\Figure S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318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B55EE" w14:textId="3A45BEEA" w:rsidR="00DE7CD9" w:rsidRPr="00DE7CD9" w:rsidRDefault="00F21DBC" w:rsidP="00DE7CD9">
      <w:pPr>
        <w:rPr>
          <w:lang w:val="en-GB"/>
        </w:rPr>
      </w:pPr>
      <w:r w:rsidRPr="00F21DBC">
        <w:rPr>
          <w:rFonts w:ascii="Palatino Linotype" w:hAnsi="Palatino Linotype"/>
          <w:b/>
          <w:sz w:val="18"/>
          <w:lang w:val="en"/>
        </w:rPr>
        <w:t>Figure S</w:t>
      </w:r>
      <w:r w:rsidR="008D63CD">
        <w:rPr>
          <w:rFonts w:ascii="Palatino Linotype" w:hAnsi="Palatino Linotype"/>
          <w:b/>
          <w:sz w:val="18"/>
          <w:lang w:val="en"/>
        </w:rPr>
        <w:t>3</w:t>
      </w:r>
      <w:r w:rsidRPr="00F21DBC">
        <w:rPr>
          <w:rFonts w:ascii="Palatino Linotype" w:hAnsi="Palatino Linotype"/>
          <w:b/>
          <w:sz w:val="18"/>
          <w:lang w:val="en"/>
        </w:rPr>
        <w:t>.</w:t>
      </w:r>
      <w:r w:rsidRPr="00F21DBC">
        <w:rPr>
          <w:rFonts w:ascii="Palatino Linotype" w:hAnsi="Palatino Linotype"/>
          <w:sz w:val="18"/>
          <w:lang w:val="en"/>
        </w:rPr>
        <w:t xml:space="preserve"> The percentage of concordant features following resampling and </w:t>
      </w:r>
      <w:proofErr w:type="spellStart"/>
      <w:r w:rsidRPr="00F21DBC">
        <w:rPr>
          <w:rFonts w:ascii="Palatino Linotype" w:hAnsi="Palatino Linotype"/>
          <w:sz w:val="18"/>
          <w:lang w:val="en"/>
        </w:rPr>
        <w:t>ComBat</w:t>
      </w:r>
      <w:proofErr w:type="spellEnd"/>
      <w:r w:rsidRPr="00F21DBC">
        <w:rPr>
          <w:rFonts w:ascii="Palatino Linotype" w:hAnsi="Palatino Linotype"/>
          <w:sz w:val="18"/>
          <w:lang w:val="en"/>
        </w:rPr>
        <w:t xml:space="preserve"> harmonization compared to no resampling with linear trendlines, LightSpeed Pro 32 model.</w:t>
      </w:r>
    </w:p>
    <w:p w14:paraId="49DC6BE5" w14:textId="77777777" w:rsidR="00F21DBC" w:rsidRDefault="00F21DBC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pPr w:leftFromText="141" w:rightFromText="141" w:vertAnchor="page" w:horzAnchor="margin" w:tblpY="1321"/>
        <w:tblW w:w="8647" w:type="dxa"/>
        <w:tblLook w:val="04A0" w:firstRow="1" w:lastRow="0" w:firstColumn="1" w:lastColumn="0" w:noHBand="0" w:noVBand="1"/>
      </w:tblPr>
      <w:tblGrid>
        <w:gridCol w:w="1280"/>
        <w:gridCol w:w="1167"/>
        <w:gridCol w:w="1167"/>
        <w:gridCol w:w="1167"/>
        <w:gridCol w:w="1167"/>
        <w:gridCol w:w="1167"/>
        <w:gridCol w:w="1532"/>
      </w:tblGrid>
      <w:tr w:rsidR="00F21DBC" w:rsidRPr="00BD1531" w14:paraId="085155B7" w14:textId="77777777" w:rsidTr="00F21DBC">
        <w:tc>
          <w:tcPr>
            <w:tcW w:w="8647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8240144" w14:textId="77777777" w:rsidR="00F21DBC" w:rsidRPr="00367910" w:rsidRDefault="00F21DBC" w:rsidP="00F21DBC">
            <w:pPr>
              <w:adjustRightInd w:val="0"/>
              <w:snapToGrid w:val="0"/>
              <w:spacing w:line="228" w:lineRule="auto"/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</w:pPr>
            <w:r w:rsidRPr="00DE7CD9"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  <w:lastRenderedPageBreak/>
              <w:t>Table S1</w:t>
            </w:r>
            <w:r w:rsidRPr="00367910"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  <w:t xml:space="preserve">. </w:t>
            </w:r>
            <w:r w:rsidRPr="00367910">
              <w:rPr>
                <w:rFonts w:eastAsia="Times New Roman"/>
                <w:snapToGrid w:val="0"/>
                <w:sz w:val="18"/>
                <w:szCs w:val="18"/>
                <w:lang w:val="en-GB" w:eastAsia="de-DE" w:bidi="en-US"/>
              </w:rPr>
              <w:t>Number of pair-wise concordant HRFs with a CCC &gt; 0.9 before resampling, LightSpeed Pro</w:t>
            </w:r>
            <w:r>
              <w:rPr>
                <w:rFonts w:eastAsia="Times New Roman"/>
                <w:snapToGrid w:val="0"/>
                <w:sz w:val="18"/>
                <w:szCs w:val="18"/>
                <w:lang w:val="en-GB" w:eastAsia="de-DE" w:bidi="en-US"/>
              </w:rPr>
              <w:t xml:space="preserve"> 32</w:t>
            </w:r>
            <w:r w:rsidRPr="00367910">
              <w:rPr>
                <w:rFonts w:eastAsia="Times New Roman"/>
                <w:snapToGrid w:val="0"/>
                <w:sz w:val="18"/>
                <w:szCs w:val="18"/>
                <w:lang w:val="en-GB" w:eastAsia="de-DE" w:bidi="en-US"/>
              </w:rPr>
              <w:t xml:space="preserve"> model.</w:t>
            </w:r>
          </w:p>
        </w:tc>
      </w:tr>
      <w:tr w:rsidR="00F21DBC" w:rsidRPr="00367910" w14:paraId="068F86F6" w14:textId="77777777" w:rsidTr="00F21DBC">
        <w:tc>
          <w:tcPr>
            <w:tcW w:w="128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351EFF3" w14:textId="77777777" w:rsidR="00F21DBC" w:rsidRPr="00367910" w:rsidRDefault="00F21DBC" w:rsidP="00F21DBC">
            <w:pPr>
              <w:adjustRightInd w:val="0"/>
              <w:snapToGrid w:val="0"/>
              <w:spacing w:line="228" w:lineRule="auto"/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</w:pPr>
            <w:r w:rsidRPr="00367910"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  <w:t>Scan</w:t>
            </w:r>
          </w:p>
        </w:tc>
        <w:tc>
          <w:tcPr>
            <w:tcW w:w="11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96F0608" w14:textId="77777777" w:rsidR="00F21DBC" w:rsidRPr="00367910" w:rsidRDefault="00F21DBC" w:rsidP="00F21DBC">
            <w:pPr>
              <w:adjustRightInd w:val="0"/>
              <w:snapToGrid w:val="0"/>
              <w:spacing w:line="228" w:lineRule="auto"/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</w:pPr>
            <w:r w:rsidRPr="00367910"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  <w:t>CCR-2-022</w:t>
            </w:r>
          </w:p>
        </w:tc>
        <w:tc>
          <w:tcPr>
            <w:tcW w:w="11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347490E" w14:textId="77777777" w:rsidR="00F21DBC" w:rsidRPr="00367910" w:rsidRDefault="00F21DBC" w:rsidP="00F21DBC">
            <w:pPr>
              <w:adjustRightInd w:val="0"/>
              <w:snapToGrid w:val="0"/>
              <w:spacing w:line="228" w:lineRule="auto"/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</w:pPr>
            <w:r w:rsidRPr="00367910"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  <w:t>CCR-2-023</w:t>
            </w:r>
          </w:p>
        </w:tc>
        <w:tc>
          <w:tcPr>
            <w:tcW w:w="11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0CA8A5C" w14:textId="77777777" w:rsidR="00F21DBC" w:rsidRPr="00367910" w:rsidRDefault="00F21DBC" w:rsidP="00F21DBC">
            <w:pPr>
              <w:adjustRightInd w:val="0"/>
              <w:snapToGrid w:val="0"/>
              <w:spacing w:line="228" w:lineRule="auto"/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</w:pPr>
            <w:r w:rsidRPr="00367910"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  <w:t>CCR-2-024</w:t>
            </w:r>
          </w:p>
        </w:tc>
        <w:tc>
          <w:tcPr>
            <w:tcW w:w="11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52AB0F5" w14:textId="77777777" w:rsidR="00F21DBC" w:rsidRPr="00367910" w:rsidRDefault="00F21DBC" w:rsidP="00F21DBC">
            <w:pPr>
              <w:adjustRightInd w:val="0"/>
              <w:snapToGrid w:val="0"/>
              <w:spacing w:line="228" w:lineRule="auto"/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</w:pPr>
            <w:r w:rsidRPr="00367910"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  <w:t>CCR-2-025</w:t>
            </w:r>
          </w:p>
        </w:tc>
        <w:tc>
          <w:tcPr>
            <w:tcW w:w="11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1D3700F" w14:textId="77777777" w:rsidR="00F21DBC" w:rsidRPr="00367910" w:rsidRDefault="00F21DBC" w:rsidP="00F21DBC">
            <w:pPr>
              <w:adjustRightInd w:val="0"/>
              <w:snapToGrid w:val="0"/>
              <w:spacing w:line="228" w:lineRule="auto"/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</w:pPr>
            <w:r w:rsidRPr="00367910"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  <w:t>CCR-2-026</w:t>
            </w:r>
          </w:p>
        </w:tc>
        <w:tc>
          <w:tcPr>
            <w:tcW w:w="15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77ECD1C" w14:textId="77777777" w:rsidR="00F21DBC" w:rsidRPr="00367910" w:rsidRDefault="00F21DBC" w:rsidP="00F21DBC">
            <w:pPr>
              <w:adjustRightInd w:val="0"/>
              <w:snapToGrid w:val="0"/>
              <w:spacing w:line="228" w:lineRule="auto"/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</w:pPr>
            <w:r w:rsidRPr="00367910"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  <w:t>CCR-2-027</w:t>
            </w:r>
          </w:p>
        </w:tc>
      </w:tr>
      <w:tr w:rsidR="00F21DBC" w:rsidRPr="00367910" w14:paraId="4843F8CB" w14:textId="77777777" w:rsidTr="00F21DBC">
        <w:tc>
          <w:tcPr>
            <w:tcW w:w="128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B395266" w14:textId="77777777" w:rsidR="00F21DBC" w:rsidRPr="00367910" w:rsidRDefault="00F21DBC" w:rsidP="00F21DBC">
            <w:pPr>
              <w:adjustRightInd w:val="0"/>
              <w:snapToGrid w:val="0"/>
              <w:spacing w:line="228" w:lineRule="auto"/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</w:pPr>
            <w:r w:rsidRPr="00367910"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  <w:t>CCR-2-023</w:t>
            </w:r>
          </w:p>
        </w:tc>
        <w:tc>
          <w:tcPr>
            <w:tcW w:w="116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11AF462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72 (79.1%)</w:t>
            </w:r>
          </w:p>
        </w:tc>
        <w:tc>
          <w:tcPr>
            <w:tcW w:w="116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21E51EF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</w:p>
        </w:tc>
        <w:tc>
          <w:tcPr>
            <w:tcW w:w="116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039FAE4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</w:p>
        </w:tc>
        <w:tc>
          <w:tcPr>
            <w:tcW w:w="116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B5AD817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</w:p>
        </w:tc>
        <w:tc>
          <w:tcPr>
            <w:tcW w:w="116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20CD56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</w:p>
        </w:tc>
        <w:tc>
          <w:tcPr>
            <w:tcW w:w="153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072340F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</w:p>
        </w:tc>
      </w:tr>
      <w:tr w:rsidR="00F21DBC" w:rsidRPr="00367910" w14:paraId="55DDE700" w14:textId="77777777" w:rsidTr="00F21DBC">
        <w:tc>
          <w:tcPr>
            <w:tcW w:w="12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2AC5950" w14:textId="77777777" w:rsidR="00F21DBC" w:rsidRPr="00367910" w:rsidRDefault="00F21DBC" w:rsidP="00F21DBC">
            <w:pPr>
              <w:adjustRightInd w:val="0"/>
              <w:snapToGrid w:val="0"/>
              <w:spacing w:line="228" w:lineRule="auto"/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</w:pPr>
            <w:r w:rsidRPr="00367910"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  <w:t>CCR-2-024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8EB3C89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60 (65.9%)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37E31F4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82 (90.1%)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B4F43D8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AEA8605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2242B69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</w:p>
        </w:tc>
        <w:tc>
          <w:tcPr>
            <w:tcW w:w="15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0A21A76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</w:p>
        </w:tc>
      </w:tr>
      <w:tr w:rsidR="00F21DBC" w:rsidRPr="00367910" w14:paraId="4D4BEACC" w14:textId="77777777" w:rsidTr="00F21DBC">
        <w:tc>
          <w:tcPr>
            <w:tcW w:w="12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CF3C570" w14:textId="77777777" w:rsidR="00F21DBC" w:rsidRPr="00367910" w:rsidRDefault="00F21DBC" w:rsidP="00F21DBC">
            <w:pPr>
              <w:adjustRightInd w:val="0"/>
              <w:snapToGrid w:val="0"/>
              <w:spacing w:line="228" w:lineRule="auto"/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</w:pPr>
            <w:r w:rsidRPr="00367910"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  <w:t>CCR-2-025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EEA3CBD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46 (50.5%)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B2923CF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50 (54.9%)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44F8D7F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62 (68.1%)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AF41E0C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2319530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</w:p>
        </w:tc>
        <w:tc>
          <w:tcPr>
            <w:tcW w:w="15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33542AF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</w:p>
        </w:tc>
      </w:tr>
      <w:tr w:rsidR="00F21DBC" w:rsidRPr="00367910" w14:paraId="06CA3067" w14:textId="77777777" w:rsidTr="00F21DBC">
        <w:tc>
          <w:tcPr>
            <w:tcW w:w="12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7B68ED" w14:textId="77777777" w:rsidR="00F21DBC" w:rsidRPr="00367910" w:rsidRDefault="00F21DBC" w:rsidP="00F21DBC">
            <w:pPr>
              <w:adjustRightInd w:val="0"/>
              <w:snapToGrid w:val="0"/>
              <w:spacing w:line="228" w:lineRule="auto"/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</w:pPr>
            <w:r w:rsidRPr="00367910"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  <w:t>CCR-2-026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753D9D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52 (57.1%)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5C99111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62 (68.1%)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0CF1BA2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74 (81.3%)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463E341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67 (73.6%)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7120071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</w:p>
        </w:tc>
        <w:tc>
          <w:tcPr>
            <w:tcW w:w="15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8A7C1FF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</w:p>
        </w:tc>
      </w:tr>
      <w:tr w:rsidR="00F21DBC" w:rsidRPr="00367910" w14:paraId="15215045" w14:textId="77777777" w:rsidTr="00F21DBC">
        <w:tc>
          <w:tcPr>
            <w:tcW w:w="12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5AF8DF4" w14:textId="77777777" w:rsidR="00F21DBC" w:rsidRPr="00367910" w:rsidRDefault="00F21DBC" w:rsidP="00F21DBC">
            <w:pPr>
              <w:adjustRightInd w:val="0"/>
              <w:snapToGrid w:val="0"/>
              <w:spacing w:line="228" w:lineRule="auto"/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</w:pPr>
            <w:r w:rsidRPr="00367910"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  <w:t>CCR-2-027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AE57567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39 (42.8%)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FD5A6E5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44 (48.3%)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27054B0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51 (56.0%)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A6DD84E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67 (73.6%)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30FDF2F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66 (72.5%)</w:t>
            </w:r>
          </w:p>
        </w:tc>
        <w:tc>
          <w:tcPr>
            <w:tcW w:w="15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2F1E66B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</w:p>
        </w:tc>
      </w:tr>
      <w:tr w:rsidR="00F21DBC" w:rsidRPr="00367910" w14:paraId="0D33F7D9" w14:textId="77777777" w:rsidTr="00F21DBC">
        <w:tc>
          <w:tcPr>
            <w:tcW w:w="128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A111FCA" w14:textId="77777777" w:rsidR="00F21DBC" w:rsidRPr="00367910" w:rsidRDefault="00F21DBC" w:rsidP="00F21DBC">
            <w:pPr>
              <w:adjustRightInd w:val="0"/>
              <w:snapToGrid w:val="0"/>
              <w:spacing w:line="228" w:lineRule="auto"/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</w:pPr>
            <w:r w:rsidRPr="00367910">
              <w:rPr>
                <w:rFonts w:eastAsia="Times New Roman"/>
                <w:b/>
                <w:snapToGrid w:val="0"/>
                <w:sz w:val="18"/>
                <w:szCs w:val="18"/>
                <w:lang w:val="en-GB" w:eastAsia="de-DE" w:bidi="en-US"/>
              </w:rPr>
              <w:t>CCR-2-028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DFD661E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41 (45.0%)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D436FA8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44 (48.3%)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F1F42F1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49 (53.8%)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D57F942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43 (47.2%)</w:t>
            </w:r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3022D6C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68 (74.7%)</w:t>
            </w:r>
          </w:p>
        </w:tc>
        <w:tc>
          <w:tcPr>
            <w:tcW w:w="153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59556E9" w14:textId="77777777" w:rsidR="00F21DBC" w:rsidRPr="00367910" w:rsidRDefault="00F21DBC" w:rsidP="00F21DBC">
            <w:pPr>
              <w:rPr>
                <w:noProof/>
                <w:sz w:val="18"/>
                <w:szCs w:val="18"/>
                <w:lang w:val="en-GB" w:eastAsia="zh-CN"/>
              </w:rPr>
            </w:pPr>
            <w:r w:rsidRPr="00367910">
              <w:rPr>
                <w:noProof/>
                <w:sz w:val="18"/>
                <w:szCs w:val="18"/>
                <w:lang w:val="en-GB" w:eastAsia="zh-CN"/>
              </w:rPr>
              <w:t>67 (73.6%)</w:t>
            </w:r>
          </w:p>
        </w:tc>
      </w:tr>
    </w:tbl>
    <w:p w14:paraId="1DB7F316" w14:textId="77777777" w:rsidR="00F21DBC" w:rsidRDefault="00F21DBC">
      <w:pPr>
        <w:rPr>
          <w:lang w:val="en-GB"/>
        </w:rPr>
      </w:pPr>
    </w:p>
    <w:p w14:paraId="34F54FC3" w14:textId="77777777" w:rsidR="00DE7CD9" w:rsidRDefault="00DE7CD9" w:rsidP="00DE7CD9">
      <w:pPr>
        <w:rPr>
          <w:lang w:val="en-GB"/>
        </w:rPr>
      </w:pPr>
    </w:p>
    <w:p w14:paraId="4201AB3B" w14:textId="77777777" w:rsidR="00F21DBC" w:rsidRDefault="00F21DBC" w:rsidP="00DE7CD9">
      <w:pPr>
        <w:rPr>
          <w:lang w:val="en-GB"/>
        </w:rPr>
      </w:pPr>
    </w:p>
    <w:p w14:paraId="5512C389" w14:textId="77777777" w:rsidR="00F21DBC" w:rsidRPr="00DE7CD9" w:rsidRDefault="00F21DBC" w:rsidP="00DE7CD9">
      <w:pPr>
        <w:rPr>
          <w:lang w:val="en-GB"/>
        </w:rPr>
      </w:pPr>
    </w:p>
    <w:tbl>
      <w:tblPr>
        <w:tblStyle w:val="PlainTable2"/>
        <w:tblpPr w:leftFromText="141" w:rightFromText="141" w:vertAnchor="text" w:horzAnchor="margin" w:tblpY="69"/>
        <w:tblW w:w="8931" w:type="dxa"/>
        <w:tblBorders>
          <w:top w:val="single" w:sz="4" w:space="0" w:color="FFFFFF" w:themeColor="background1"/>
          <w:insideH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5"/>
        <w:gridCol w:w="1276"/>
        <w:gridCol w:w="1276"/>
        <w:gridCol w:w="1276"/>
        <w:gridCol w:w="1276"/>
        <w:gridCol w:w="1276"/>
      </w:tblGrid>
      <w:tr w:rsidR="00DE7CD9" w:rsidRPr="00BD1531" w14:paraId="0CD5706D" w14:textId="77777777" w:rsidTr="00DE7C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gridSpan w:val="7"/>
            <w:tcBorders>
              <w:bottom w:val="single" w:sz="4" w:space="0" w:color="000000" w:themeColor="text1"/>
            </w:tcBorders>
            <w:noWrap/>
          </w:tcPr>
          <w:p w14:paraId="4BE43516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 w:val="0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Table S2.</w:t>
            </w:r>
            <w:r w:rsidRPr="00DE7CD9">
              <w:rPr>
                <w:rFonts w:ascii="Palatino Linotype" w:eastAsia="Times New Roman" w:hAnsi="Palatino Linotype" w:cs="Calibri"/>
                <w:b w:val="0"/>
                <w:bCs w:val="0"/>
                <w:sz w:val="18"/>
                <w:szCs w:val="18"/>
                <w:lang w:val="en-GB" w:eastAsia="nl-NL"/>
              </w:rPr>
              <w:t xml:space="preserve"> Number of pair-wise concordant HRFs with a CCC &gt; 0.9 after </w:t>
            </w:r>
            <w:proofErr w:type="spellStart"/>
            <w:r w:rsidRPr="00DE7CD9">
              <w:rPr>
                <w:rFonts w:ascii="Palatino Linotype" w:eastAsia="Times New Roman" w:hAnsi="Palatino Linotype" w:cs="Calibri"/>
                <w:b w:val="0"/>
                <w:bCs w:val="0"/>
                <w:sz w:val="18"/>
                <w:szCs w:val="18"/>
                <w:lang w:val="en-GB" w:eastAsia="nl-NL"/>
              </w:rPr>
              <w:t>ComBat</w:t>
            </w:r>
            <w:proofErr w:type="spellEnd"/>
            <w:r w:rsidRPr="00DE7CD9">
              <w:rPr>
                <w:rFonts w:ascii="Palatino Linotype" w:eastAsia="Times New Roman" w:hAnsi="Palatino Linotype" w:cs="Calibri"/>
                <w:b w:val="0"/>
                <w:bCs w:val="0"/>
                <w:sz w:val="18"/>
                <w:szCs w:val="18"/>
                <w:lang w:val="en-GB" w:eastAsia="nl-NL"/>
              </w:rPr>
              <w:t>, LightSpeed Pro 32 model.</w:t>
            </w:r>
          </w:p>
        </w:tc>
      </w:tr>
      <w:tr w:rsidR="00DE7CD9" w:rsidRPr="00DE7CD9" w14:paraId="178B28EE" w14:textId="77777777" w:rsidTr="00DE7C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14:paraId="7346BA7F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Scan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14:paraId="7B6D7D1D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  <w:t>CCR-022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000000" w:themeColor="text1"/>
            </w:tcBorders>
            <w:noWrap/>
            <w:hideMark/>
          </w:tcPr>
          <w:p w14:paraId="3265BFCA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  <w:t>CCR-023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000000" w:themeColor="text1"/>
            </w:tcBorders>
            <w:noWrap/>
            <w:hideMark/>
          </w:tcPr>
          <w:p w14:paraId="047B84C6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  <w:t>CCR-024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000000" w:themeColor="text1"/>
            </w:tcBorders>
            <w:noWrap/>
            <w:hideMark/>
          </w:tcPr>
          <w:p w14:paraId="11A151FC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  <w:t>CCR-025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000000" w:themeColor="text1"/>
            </w:tcBorders>
            <w:noWrap/>
            <w:hideMark/>
          </w:tcPr>
          <w:p w14:paraId="74D2F0E8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  <w:t>CCR-026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000000" w:themeColor="text1"/>
            </w:tcBorders>
            <w:noWrap/>
            <w:hideMark/>
          </w:tcPr>
          <w:p w14:paraId="5B70F59B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  <w:t>CCR-027</w:t>
            </w:r>
          </w:p>
        </w:tc>
      </w:tr>
      <w:tr w:rsidR="00DE7CD9" w:rsidRPr="00DE7CD9" w14:paraId="06EDCF9B" w14:textId="77777777" w:rsidTr="00DE7CD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000000" w:themeColor="text1"/>
            </w:tcBorders>
            <w:noWrap/>
            <w:hideMark/>
          </w:tcPr>
          <w:p w14:paraId="50AE0255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CCR-023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noWrap/>
            <w:vAlign w:val="bottom"/>
            <w:hideMark/>
          </w:tcPr>
          <w:p w14:paraId="3E9C68D8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76 (83.5%)</w:t>
            </w: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noWrap/>
            <w:hideMark/>
          </w:tcPr>
          <w:p w14:paraId="116F0AE0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noWrap/>
            <w:hideMark/>
          </w:tcPr>
          <w:p w14:paraId="6C00F622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noWrap/>
            <w:hideMark/>
          </w:tcPr>
          <w:p w14:paraId="7BEF707B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noWrap/>
            <w:hideMark/>
          </w:tcPr>
          <w:p w14:paraId="2BBB21E2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noWrap/>
            <w:hideMark/>
          </w:tcPr>
          <w:p w14:paraId="450FB70A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</w:tr>
      <w:tr w:rsidR="00DE7CD9" w:rsidRPr="00DE7CD9" w14:paraId="38A48D8E" w14:textId="77777777" w:rsidTr="00DE7C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C422008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CCR-024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FD3D1FC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67 (73.6%)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C2B8CC9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83 (91.2%)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DC4C57F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0D9881B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4474E19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E8BEA33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</w:tr>
      <w:tr w:rsidR="00DE7CD9" w:rsidRPr="00DE7CD9" w14:paraId="1FA72A88" w14:textId="77777777" w:rsidTr="00DE7CD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noWrap/>
            <w:hideMark/>
          </w:tcPr>
          <w:p w14:paraId="1BD75110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CCR-025</w:t>
            </w:r>
          </w:p>
        </w:tc>
        <w:tc>
          <w:tcPr>
            <w:tcW w:w="1275" w:type="dxa"/>
            <w:noWrap/>
            <w:vAlign w:val="bottom"/>
            <w:hideMark/>
          </w:tcPr>
          <w:p w14:paraId="2E4D8970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56 (61.5%)</w:t>
            </w:r>
          </w:p>
        </w:tc>
        <w:tc>
          <w:tcPr>
            <w:tcW w:w="1276" w:type="dxa"/>
            <w:noWrap/>
            <w:vAlign w:val="bottom"/>
            <w:hideMark/>
          </w:tcPr>
          <w:p w14:paraId="6F9E511F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60 (65.9%)</w:t>
            </w:r>
          </w:p>
        </w:tc>
        <w:tc>
          <w:tcPr>
            <w:tcW w:w="1276" w:type="dxa"/>
            <w:noWrap/>
            <w:vAlign w:val="bottom"/>
            <w:hideMark/>
          </w:tcPr>
          <w:p w14:paraId="279AFE63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68 (74.7%)</w:t>
            </w:r>
          </w:p>
        </w:tc>
        <w:tc>
          <w:tcPr>
            <w:tcW w:w="1276" w:type="dxa"/>
            <w:noWrap/>
            <w:hideMark/>
          </w:tcPr>
          <w:p w14:paraId="001DD3A4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noWrap/>
            <w:hideMark/>
          </w:tcPr>
          <w:p w14:paraId="134CEC7C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noWrap/>
            <w:hideMark/>
          </w:tcPr>
          <w:p w14:paraId="0919037B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</w:tr>
      <w:tr w:rsidR="00DE7CD9" w:rsidRPr="00DE7CD9" w14:paraId="188962CC" w14:textId="77777777" w:rsidTr="00DE7C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B176CD1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CCR-026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CB66FEE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60 (65.9%)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DF0EDC6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69 (75.8%)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EDECFED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75 (82.4%)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4DB6879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70 (76.9%)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043DEB2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6C32C5A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</w:tr>
      <w:tr w:rsidR="00DE7CD9" w:rsidRPr="00DE7CD9" w14:paraId="17B1789B" w14:textId="77777777" w:rsidTr="00DE7CD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noWrap/>
            <w:hideMark/>
          </w:tcPr>
          <w:p w14:paraId="699FE760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CCR-027</w:t>
            </w:r>
          </w:p>
        </w:tc>
        <w:tc>
          <w:tcPr>
            <w:tcW w:w="1275" w:type="dxa"/>
            <w:noWrap/>
            <w:vAlign w:val="bottom"/>
            <w:hideMark/>
          </w:tcPr>
          <w:p w14:paraId="367C41B7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53 (58.2%)</w:t>
            </w:r>
          </w:p>
        </w:tc>
        <w:tc>
          <w:tcPr>
            <w:tcW w:w="1276" w:type="dxa"/>
            <w:noWrap/>
            <w:vAlign w:val="bottom"/>
            <w:hideMark/>
          </w:tcPr>
          <w:p w14:paraId="57F1DC46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54 (59.3%)</w:t>
            </w:r>
          </w:p>
        </w:tc>
        <w:tc>
          <w:tcPr>
            <w:tcW w:w="1276" w:type="dxa"/>
            <w:noWrap/>
            <w:vAlign w:val="bottom"/>
            <w:hideMark/>
          </w:tcPr>
          <w:p w14:paraId="749C5E9D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58 (63.7%)</w:t>
            </w:r>
          </w:p>
        </w:tc>
        <w:tc>
          <w:tcPr>
            <w:tcW w:w="1276" w:type="dxa"/>
            <w:noWrap/>
            <w:vAlign w:val="bottom"/>
            <w:hideMark/>
          </w:tcPr>
          <w:p w14:paraId="2DE6B089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70 (76.9%)</w:t>
            </w:r>
          </w:p>
        </w:tc>
        <w:tc>
          <w:tcPr>
            <w:tcW w:w="1276" w:type="dxa"/>
            <w:noWrap/>
            <w:vAlign w:val="bottom"/>
            <w:hideMark/>
          </w:tcPr>
          <w:p w14:paraId="060F4938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69 (75.8%)</w:t>
            </w:r>
          </w:p>
        </w:tc>
        <w:tc>
          <w:tcPr>
            <w:tcW w:w="1276" w:type="dxa"/>
            <w:noWrap/>
            <w:hideMark/>
          </w:tcPr>
          <w:p w14:paraId="1378ADD5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</w:tr>
      <w:tr w:rsidR="00DE7CD9" w:rsidRPr="00DE7CD9" w14:paraId="42CD95DF" w14:textId="77777777" w:rsidTr="00DE7C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E6C9CF1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CCR-028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7CD79BA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49 (53.8%)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0C3CCE8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52 (57.1%)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298AF55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57 (62.6%)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68B1B8F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55 (60.4%)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1AD01F6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72 (79.1%)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530F903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70 (76.9%)</w:t>
            </w:r>
          </w:p>
        </w:tc>
      </w:tr>
    </w:tbl>
    <w:p w14:paraId="63FB652D" w14:textId="77777777" w:rsidR="00DE7CD9" w:rsidRPr="00DE7CD9" w:rsidRDefault="00DE7CD9" w:rsidP="00DE7CD9">
      <w:pPr>
        <w:rPr>
          <w:lang w:val="en-GB"/>
        </w:rPr>
      </w:pPr>
    </w:p>
    <w:p w14:paraId="3E654F08" w14:textId="77777777" w:rsidR="00DE7CD9" w:rsidRPr="00DE7CD9" w:rsidRDefault="00DE7CD9" w:rsidP="00DE7CD9">
      <w:pPr>
        <w:rPr>
          <w:lang w:val="en-GB"/>
        </w:rPr>
      </w:pPr>
    </w:p>
    <w:tbl>
      <w:tblPr>
        <w:tblStyle w:val="PlainTable2"/>
        <w:tblpPr w:leftFromText="141" w:rightFromText="141" w:vertAnchor="text" w:horzAnchor="margin" w:tblpY="206"/>
        <w:tblW w:w="8931" w:type="dxa"/>
        <w:tblBorders>
          <w:top w:val="single" w:sz="4" w:space="0" w:color="FFFFFF" w:themeColor="background1"/>
          <w:insideH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5"/>
        <w:gridCol w:w="1276"/>
        <w:gridCol w:w="1276"/>
        <w:gridCol w:w="1276"/>
        <w:gridCol w:w="1276"/>
        <w:gridCol w:w="1276"/>
      </w:tblGrid>
      <w:tr w:rsidR="00DE7CD9" w:rsidRPr="00BD1531" w14:paraId="3EA7B709" w14:textId="77777777" w:rsidTr="00DE7C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gridSpan w:val="7"/>
            <w:tcBorders>
              <w:bottom w:val="single" w:sz="4" w:space="0" w:color="000000" w:themeColor="text1"/>
            </w:tcBorders>
            <w:noWrap/>
          </w:tcPr>
          <w:p w14:paraId="4F95BE05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 w:val="0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 xml:space="preserve">Table </w:t>
            </w:r>
            <w: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S3</w:t>
            </w: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.</w:t>
            </w:r>
            <w:r w:rsidRPr="00DE7CD9">
              <w:rPr>
                <w:rFonts w:ascii="Palatino Linotype" w:eastAsia="Times New Roman" w:hAnsi="Palatino Linotype" w:cs="Calibri"/>
                <w:b w:val="0"/>
                <w:bCs w:val="0"/>
                <w:sz w:val="18"/>
                <w:szCs w:val="18"/>
                <w:lang w:val="en-GB" w:eastAsia="nl-NL"/>
              </w:rPr>
              <w:t xml:space="preserve">  Number of pair-wise concordant HRFs with a CCC &gt; 0.9 after resampling* using CWS, LightSpeed </w:t>
            </w:r>
            <w:r>
              <w:rPr>
                <w:rFonts w:ascii="Palatino Linotype" w:eastAsia="Times New Roman" w:hAnsi="Palatino Linotype" w:cs="Calibri"/>
                <w:b w:val="0"/>
                <w:bCs w:val="0"/>
                <w:sz w:val="18"/>
                <w:szCs w:val="18"/>
                <w:lang w:val="en-GB" w:eastAsia="nl-NL"/>
              </w:rPr>
              <w:t xml:space="preserve">Pro 32 </w:t>
            </w:r>
            <w:r w:rsidRPr="00DE7CD9">
              <w:rPr>
                <w:rFonts w:ascii="Palatino Linotype" w:eastAsia="Times New Roman" w:hAnsi="Palatino Linotype" w:cs="Calibri"/>
                <w:b w:val="0"/>
                <w:bCs w:val="0"/>
                <w:sz w:val="18"/>
                <w:szCs w:val="18"/>
                <w:lang w:val="en-GB" w:eastAsia="nl-NL"/>
              </w:rPr>
              <w:t>model.</w:t>
            </w:r>
          </w:p>
        </w:tc>
      </w:tr>
      <w:tr w:rsidR="00DE7CD9" w:rsidRPr="00DE7CD9" w14:paraId="36E14747" w14:textId="77777777" w:rsidTr="00DE7C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14:paraId="4325995B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Scan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14:paraId="1478FDAC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  <w:t>CCR-022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000000" w:themeColor="text1"/>
            </w:tcBorders>
            <w:noWrap/>
            <w:hideMark/>
          </w:tcPr>
          <w:p w14:paraId="00A85926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  <w:t>CCR-023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000000" w:themeColor="text1"/>
            </w:tcBorders>
            <w:noWrap/>
            <w:hideMark/>
          </w:tcPr>
          <w:p w14:paraId="5570B9FB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  <w:t>CCR-024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000000" w:themeColor="text1"/>
            </w:tcBorders>
            <w:noWrap/>
            <w:hideMark/>
          </w:tcPr>
          <w:p w14:paraId="609BAE58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  <w:t>CCR-025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000000" w:themeColor="text1"/>
            </w:tcBorders>
            <w:noWrap/>
            <w:hideMark/>
          </w:tcPr>
          <w:p w14:paraId="4F7C5B4E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  <w:t>CCR-026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000000" w:themeColor="text1"/>
            </w:tcBorders>
            <w:noWrap/>
            <w:hideMark/>
          </w:tcPr>
          <w:p w14:paraId="70C7AA68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  <w:t>CCR-027</w:t>
            </w:r>
          </w:p>
        </w:tc>
      </w:tr>
      <w:tr w:rsidR="00DE7CD9" w:rsidRPr="00DE7CD9" w14:paraId="74C27CB2" w14:textId="77777777" w:rsidTr="00DE7CD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000000" w:themeColor="text1"/>
            </w:tcBorders>
            <w:noWrap/>
            <w:hideMark/>
          </w:tcPr>
          <w:p w14:paraId="7B782D0E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CCR-023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noWrap/>
            <w:vAlign w:val="bottom"/>
            <w:hideMark/>
          </w:tcPr>
          <w:p w14:paraId="4C65701D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90 (98.9%)</w:t>
            </w: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noWrap/>
            <w:hideMark/>
          </w:tcPr>
          <w:p w14:paraId="6A8AF674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noWrap/>
            <w:hideMark/>
          </w:tcPr>
          <w:p w14:paraId="701DABE3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noWrap/>
            <w:hideMark/>
          </w:tcPr>
          <w:p w14:paraId="3D5804F2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noWrap/>
            <w:hideMark/>
          </w:tcPr>
          <w:p w14:paraId="74C29DE3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noWrap/>
            <w:hideMark/>
          </w:tcPr>
          <w:p w14:paraId="693015D5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</w:tr>
      <w:tr w:rsidR="00DE7CD9" w:rsidRPr="00DE7CD9" w14:paraId="370B194D" w14:textId="77777777" w:rsidTr="00DE7C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4369D37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CCR-024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E3A3E32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89 (97.8%)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B70B744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90 (98.9%)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E3380E5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8E4BF30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A8760CB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69902BF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</w:tr>
      <w:tr w:rsidR="00DE7CD9" w:rsidRPr="00DE7CD9" w14:paraId="66EA55DA" w14:textId="77777777" w:rsidTr="00DE7CD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noWrap/>
            <w:hideMark/>
          </w:tcPr>
          <w:p w14:paraId="3FD6767D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CCR-025</w:t>
            </w:r>
          </w:p>
        </w:tc>
        <w:tc>
          <w:tcPr>
            <w:tcW w:w="1275" w:type="dxa"/>
            <w:noWrap/>
            <w:vAlign w:val="bottom"/>
            <w:hideMark/>
          </w:tcPr>
          <w:p w14:paraId="218C793F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74 (81.3%)</w:t>
            </w:r>
          </w:p>
        </w:tc>
        <w:tc>
          <w:tcPr>
            <w:tcW w:w="1276" w:type="dxa"/>
            <w:noWrap/>
            <w:vAlign w:val="bottom"/>
            <w:hideMark/>
          </w:tcPr>
          <w:p w14:paraId="25142594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75 (82.4%)</w:t>
            </w:r>
          </w:p>
        </w:tc>
        <w:tc>
          <w:tcPr>
            <w:tcW w:w="1276" w:type="dxa"/>
            <w:noWrap/>
            <w:vAlign w:val="bottom"/>
            <w:hideMark/>
          </w:tcPr>
          <w:p w14:paraId="10F26161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75 (82.4%)</w:t>
            </w:r>
          </w:p>
        </w:tc>
        <w:tc>
          <w:tcPr>
            <w:tcW w:w="1276" w:type="dxa"/>
            <w:noWrap/>
            <w:hideMark/>
          </w:tcPr>
          <w:p w14:paraId="3D8E8C12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noWrap/>
            <w:hideMark/>
          </w:tcPr>
          <w:p w14:paraId="20A07378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noWrap/>
            <w:hideMark/>
          </w:tcPr>
          <w:p w14:paraId="467A8FC5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</w:tr>
      <w:tr w:rsidR="00DE7CD9" w:rsidRPr="00DE7CD9" w14:paraId="090B5146" w14:textId="77777777" w:rsidTr="00DE7C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6EC6B81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CCR-026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6E50F7F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88 (96.7%)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4C9080F5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90 (98.9%)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5EB020BA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90 (98.9%)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5E464BA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74 (81.3%)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5F8EF4A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A00BACD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</w:tr>
      <w:tr w:rsidR="00DE7CD9" w:rsidRPr="00DE7CD9" w14:paraId="394A5E6F" w14:textId="77777777" w:rsidTr="00DE7CD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noWrap/>
            <w:hideMark/>
          </w:tcPr>
          <w:p w14:paraId="12399538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CCR-027</w:t>
            </w:r>
          </w:p>
        </w:tc>
        <w:tc>
          <w:tcPr>
            <w:tcW w:w="1275" w:type="dxa"/>
            <w:noWrap/>
            <w:vAlign w:val="bottom"/>
            <w:hideMark/>
          </w:tcPr>
          <w:p w14:paraId="461E2DF4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70 (76.9%)</w:t>
            </w:r>
          </w:p>
        </w:tc>
        <w:tc>
          <w:tcPr>
            <w:tcW w:w="1276" w:type="dxa"/>
            <w:noWrap/>
            <w:vAlign w:val="bottom"/>
            <w:hideMark/>
          </w:tcPr>
          <w:p w14:paraId="0ED5D4B7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71 (78.0%)</w:t>
            </w:r>
          </w:p>
        </w:tc>
        <w:tc>
          <w:tcPr>
            <w:tcW w:w="1276" w:type="dxa"/>
            <w:noWrap/>
            <w:vAlign w:val="bottom"/>
            <w:hideMark/>
          </w:tcPr>
          <w:p w14:paraId="3C4E399C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70 (76.9%)</w:t>
            </w:r>
          </w:p>
        </w:tc>
        <w:tc>
          <w:tcPr>
            <w:tcW w:w="1276" w:type="dxa"/>
            <w:noWrap/>
            <w:vAlign w:val="bottom"/>
            <w:hideMark/>
          </w:tcPr>
          <w:p w14:paraId="2004FA4E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69 (75.8%)</w:t>
            </w:r>
          </w:p>
        </w:tc>
        <w:tc>
          <w:tcPr>
            <w:tcW w:w="1276" w:type="dxa"/>
            <w:noWrap/>
            <w:vAlign w:val="bottom"/>
            <w:hideMark/>
          </w:tcPr>
          <w:p w14:paraId="7A0333A3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70 (76.9%)</w:t>
            </w:r>
          </w:p>
        </w:tc>
        <w:tc>
          <w:tcPr>
            <w:tcW w:w="1276" w:type="dxa"/>
            <w:noWrap/>
            <w:hideMark/>
          </w:tcPr>
          <w:p w14:paraId="67E0E1FC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</w:tr>
      <w:tr w:rsidR="00DE7CD9" w:rsidRPr="00DE7CD9" w14:paraId="75C14A90" w14:textId="77777777" w:rsidTr="00DE7C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none" w:sz="0" w:space="0" w:color="auto"/>
              <w:bottom w:val="single" w:sz="4" w:space="0" w:color="auto"/>
            </w:tcBorders>
            <w:noWrap/>
            <w:hideMark/>
          </w:tcPr>
          <w:p w14:paraId="751592A6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CCR-028</w:t>
            </w:r>
          </w:p>
        </w:tc>
        <w:tc>
          <w:tcPr>
            <w:tcW w:w="1275" w:type="dxa"/>
            <w:tcBorders>
              <w:top w:val="none" w:sz="0" w:space="0" w:color="auto"/>
              <w:bottom w:val="single" w:sz="4" w:space="0" w:color="auto"/>
            </w:tcBorders>
            <w:noWrap/>
            <w:vAlign w:val="bottom"/>
            <w:hideMark/>
          </w:tcPr>
          <w:p w14:paraId="57A7F1B3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52 (57.1%)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auto"/>
            </w:tcBorders>
            <w:noWrap/>
            <w:vAlign w:val="bottom"/>
            <w:hideMark/>
          </w:tcPr>
          <w:p w14:paraId="60F0428E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51 (56.0%)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auto"/>
            </w:tcBorders>
            <w:noWrap/>
            <w:vAlign w:val="bottom"/>
            <w:hideMark/>
          </w:tcPr>
          <w:p w14:paraId="7C363C51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51 (56.0%)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auto"/>
            </w:tcBorders>
            <w:noWrap/>
            <w:vAlign w:val="bottom"/>
            <w:hideMark/>
          </w:tcPr>
          <w:p w14:paraId="47B4DD7F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38 (41.7%)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auto"/>
            </w:tcBorders>
            <w:noWrap/>
            <w:vAlign w:val="bottom"/>
            <w:hideMark/>
          </w:tcPr>
          <w:p w14:paraId="00A22489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64 (70.3%)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auto"/>
            </w:tcBorders>
            <w:noWrap/>
            <w:hideMark/>
          </w:tcPr>
          <w:p w14:paraId="6760559D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62 (68.1%)</w:t>
            </w:r>
          </w:p>
        </w:tc>
      </w:tr>
      <w:tr w:rsidR="00DE7CD9" w:rsidRPr="00BD1531" w14:paraId="77F36D5A" w14:textId="77777777" w:rsidTr="00DE7CD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gridSpan w:val="7"/>
            <w:tcBorders>
              <w:top w:val="single" w:sz="4" w:space="0" w:color="auto"/>
              <w:bottom w:val="single" w:sz="4" w:space="0" w:color="FFFFFF" w:themeColor="background1"/>
            </w:tcBorders>
            <w:noWrap/>
          </w:tcPr>
          <w:p w14:paraId="13567C83" w14:textId="77777777" w:rsidR="00DE7CD9" w:rsidRPr="00DE7CD9" w:rsidRDefault="00DE7CD9" w:rsidP="00DE7CD9">
            <w:pPr>
              <w:rPr>
                <w:rFonts w:ascii="Palatino Linotype" w:hAnsi="Palatino Linotype" w:cs="Calibri"/>
                <w:b w:val="0"/>
                <w:color w:val="000000"/>
                <w:sz w:val="18"/>
                <w:szCs w:val="18"/>
                <w:vertAlign w:val="superscript"/>
                <w:lang w:val="en-GB"/>
              </w:rPr>
            </w:pPr>
            <w:r w:rsidRPr="00DE7CD9">
              <w:rPr>
                <w:rFonts w:ascii="Palatino Linotype" w:hAnsi="Palatino Linotype" w:cs="Calibri"/>
                <w:b w:val="0"/>
                <w:color w:val="000000"/>
                <w:sz w:val="18"/>
                <w:szCs w:val="18"/>
                <w:lang w:val="en-GB"/>
              </w:rPr>
              <w:t>* All scans were resampled to the median pixel spacing value (0.49*0.49 mm</w:t>
            </w:r>
            <w:r w:rsidRPr="00DE7CD9">
              <w:rPr>
                <w:rFonts w:ascii="Palatino Linotype" w:hAnsi="Palatino Linotype" w:cs="Calibri"/>
                <w:b w:val="0"/>
                <w:color w:val="000000"/>
                <w:sz w:val="18"/>
                <w:szCs w:val="18"/>
                <w:vertAlign w:val="superscript"/>
                <w:lang w:val="en-GB"/>
              </w:rPr>
              <w:t>2</w:t>
            </w:r>
            <w:r w:rsidRPr="00DE7CD9">
              <w:rPr>
                <w:rFonts w:ascii="Palatino Linotype" w:hAnsi="Palatino Linotype" w:cs="Calibri"/>
                <w:b w:val="0"/>
                <w:color w:val="000000"/>
                <w:sz w:val="18"/>
                <w:szCs w:val="18"/>
                <w:lang w:val="en-GB"/>
              </w:rPr>
              <w:t>).</w:t>
            </w:r>
          </w:p>
        </w:tc>
      </w:tr>
    </w:tbl>
    <w:p w14:paraId="50B705A3" w14:textId="77777777" w:rsidR="00DE7CD9" w:rsidRPr="00DE7CD9" w:rsidRDefault="00DE7CD9" w:rsidP="00DE7CD9">
      <w:pPr>
        <w:ind w:firstLine="708"/>
        <w:rPr>
          <w:lang w:val="en-GB"/>
        </w:rPr>
      </w:pPr>
    </w:p>
    <w:p w14:paraId="18602671" w14:textId="77777777" w:rsidR="00DE7CD9" w:rsidRPr="00DE7CD9" w:rsidRDefault="00DE7CD9" w:rsidP="00DE7CD9">
      <w:pPr>
        <w:rPr>
          <w:lang w:val="en-GB"/>
        </w:rPr>
      </w:pPr>
    </w:p>
    <w:tbl>
      <w:tblPr>
        <w:tblStyle w:val="PlainTable2"/>
        <w:tblpPr w:leftFromText="141" w:rightFromText="141" w:vertAnchor="text" w:horzAnchor="margin" w:tblpY="206"/>
        <w:tblW w:w="8931" w:type="dxa"/>
        <w:tblBorders>
          <w:top w:val="single" w:sz="4" w:space="0" w:color="FFFFFF" w:themeColor="background1"/>
          <w:insideH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5"/>
        <w:gridCol w:w="1276"/>
        <w:gridCol w:w="1276"/>
        <w:gridCol w:w="1276"/>
        <w:gridCol w:w="1276"/>
        <w:gridCol w:w="1276"/>
      </w:tblGrid>
      <w:tr w:rsidR="00DE7CD9" w:rsidRPr="00BD1531" w14:paraId="584B30DF" w14:textId="77777777" w:rsidTr="00DE7C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gridSpan w:val="7"/>
            <w:tcBorders>
              <w:bottom w:val="single" w:sz="4" w:space="0" w:color="000000" w:themeColor="text1"/>
            </w:tcBorders>
            <w:noWrap/>
          </w:tcPr>
          <w:p w14:paraId="3BAF89EE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 w:val="0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 xml:space="preserve">Table </w:t>
            </w:r>
            <w: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S4</w:t>
            </w: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.</w:t>
            </w:r>
            <w:r w:rsidRPr="00DE7CD9">
              <w:rPr>
                <w:rFonts w:ascii="Palatino Linotype" w:eastAsia="Times New Roman" w:hAnsi="Palatino Linotype" w:cs="Calibri"/>
                <w:b w:val="0"/>
                <w:bCs w:val="0"/>
                <w:sz w:val="18"/>
                <w:szCs w:val="18"/>
                <w:lang w:val="en-GB" w:eastAsia="nl-NL"/>
              </w:rPr>
              <w:t xml:space="preserve">  Number of pair-wise concordant HRFs with a CCC &gt; 0.9 after </w:t>
            </w:r>
            <w:proofErr w:type="spellStart"/>
            <w:r w:rsidRPr="00DE7CD9">
              <w:rPr>
                <w:rFonts w:ascii="Palatino Linotype" w:eastAsia="Times New Roman" w:hAnsi="Palatino Linotype" w:cs="Calibri"/>
                <w:b w:val="0"/>
                <w:bCs w:val="0"/>
                <w:sz w:val="18"/>
                <w:szCs w:val="18"/>
                <w:lang w:val="en-GB" w:eastAsia="nl-NL"/>
              </w:rPr>
              <w:t>ComBat</w:t>
            </w:r>
            <w:proofErr w:type="spellEnd"/>
            <w:r w:rsidRPr="00DE7CD9">
              <w:rPr>
                <w:rFonts w:ascii="Palatino Linotype" w:eastAsia="Times New Roman" w:hAnsi="Palatino Linotype" w:cs="Calibri"/>
                <w:b w:val="0"/>
                <w:bCs w:val="0"/>
                <w:sz w:val="18"/>
                <w:szCs w:val="18"/>
                <w:lang w:val="en-GB" w:eastAsia="nl-NL"/>
              </w:rPr>
              <w:t xml:space="preserve"> following resampling* using CWS, LightSpeed </w:t>
            </w:r>
            <w:r>
              <w:rPr>
                <w:rFonts w:ascii="Palatino Linotype" w:eastAsia="Times New Roman" w:hAnsi="Palatino Linotype" w:cs="Calibri"/>
                <w:b w:val="0"/>
                <w:bCs w:val="0"/>
                <w:sz w:val="18"/>
                <w:szCs w:val="18"/>
                <w:lang w:val="en-GB" w:eastAsia="nl-NL"/>
              </w:rPr>
              <w:t xml:space="preserve">Pro 32 </w:t>
            </w:r>
            <w:r w:rsidRPr="00DE7CD9">
              <w:rPr>
                <w:rFonts w:ascii="Palatino Linotype" w:eastAsia="Times New Roman" w:hAnsi="Palatino Linotype" w:cs="Calibri"/>
                <w:b w:val="0"/>
                <w:bCs w:val="0"/>
                <w:sz w:val="18"/>
                <w:szCs w:val="18"/>
                <w:lang w:val="en-GB" w:eastAsia="nl-NL"/>
              </w:rPr>
              <w:t>model.</w:t>
            </w:r>
          </w:p>
        </w:tc>
      </w:tr>
      <w:tr w:rsidR="00DE7CD9" w:rsidRPr="00DE7CD9" w14:paraId="38396202" w14:textId="77777777" w:rsidTr="00DE7C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14:paraId="579ECACE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Scan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14:paraId="01D71AFB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  <w:t>CCR-022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000000" w:themeColor="text1"/>
            </w:tcBorders>
            <w:noWrap/>
            <w:hideMark/>
          </w:tcPr>
          <w:p w14:paraId="3432B001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  <w:t>CCR-023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000000" w:themeColor="text1"/>
            </w:tcBorders>
            <w:noWrap/>
            <w:hideMark/>
          </w:tcPr>
          <w:p w14:paraId="1796DF46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  <w:t>CCR-024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000000" w:themeColor="text1"/>
            </w:tcBorders>
            <w:noWrap/>
            <w:hideMark/>
          </w:tcPr>
          <w:p w14:paraId="120040CC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  <w:t>CCR-025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000000" w:themeColor="text1"/>
            </w:tcBorders>
            <w:noWrap/>
            <w:hideMark/>
          </w:tcPr>
          <w:p w14:paraId="2EC286B6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  <w:t>CCR-026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000000" w:themeColor="text1"/>
            </w:tcBorders>
            <w:noWrap/>
            <w:hideMark/>
          </w:tcPr>
          <w:p w14:paraId="77B6BB39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GB" w:eastAsia="nl-NL"/>
              </w:rPr>
              <w:t>CCR-027</w:t>
            </w:r>
          </w:p>
        </w:tc>
      </w:tr>
      <w:tr w:rsidR="00DE7CD9" w:rsidRPr="00DE7CD9" w14:paraId="575F905B" w14:textId="77777777" w:rsidTr="00DE7CD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000000" w:themeColor="text1"/>
            </w:tcBorders>
            <w:noWrap/>
            <w:hideMark/>
          </w:tcPr>
          <w:p w14:paraId="0C71BA93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CCR-023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  <w:noWrap/>
            <w:vAlign w:val="bottom"/>
            <w:hideMark/>
          </w:tcPr>
          <w:p w14:paraId="020F56B3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90 (98.9%)</w:t>
            </w: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noWrap/>
            <w:hideMark/>
          </w:tcPr>
          <w:p w14:paraId="217DB478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noWrap/>
            <w:hideMark/>
          </w:tcPr>
          <w:p w14:paraId="6E813636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noWrap/>
            <w:hideMark/>
          </w:tcPr>
          <w:p w14:paraId="6E09A58F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noWrap/>
            <w:hideMark/>
          </w:tcPr>
          <w:p w14:paraId="0321472E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noWrap/>
            <w:hideMark/>
          </w:tcPr>
          <w:p w14:paraId="2EB4564D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</w:tr>
      <w:tr w:rsidR="00DE7CD9" w:rsidRPr="00DE7CD9" w14:paraId="4414C341" w14:textId="77777777" w:rsidTr="00DE7C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831CF60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CCR-024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9ED40F5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89 (97.8%)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DE1E1DB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90 (98.9%)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DA242EE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4EEA363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1FF01C7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EF40FF4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</w:tr>
      <w:tr w:rsidR="00DE7CD9" w:rsidRPr="00DE7CD9" w14:paraId="267A3636" w14:textId="77777777" w:rsidTr="00DE7CD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noWrap/>
            <w:hideMark/>
          </w:tcPr>
          <w:p w14:paraId="6B93769E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CCR-025</w:t>
            </w:r>
          </w:p>
        </w:tc>
        <w:tc>
          <w:tcPr>
            <w:tcW w:w="1275" w:type="dxa"/>
            <w:noWrap/>
            <w:vAlign w:val="bottom"/>
            <w:hideMark/>
          </w:tcPr>
          <w:p w14:paraId="133A7BB8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76 (83.5%)</w:t>
            </w:r>
          </w:p>
        </w:tc>
        <w:tc>
          <w:tcPr>
            <w:tcW w:w="1276" w:type="dxa"/>
            <w:noWrap/>
            <w:vAlign w:val="bottom"/>
            <w:hideMark/>
          </w:tcPr>
          <w:p w14:paraId="45A9001C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76 (83.5%)</w:t>
            </w:r>
          </w:p>
        </w:tc>
        <w:tc>
          <w:tcPr>
            <w:tcW w:w="1276" w:type="dxa"/>
            <w:noWrap/>
            <w:vAlign w:val="bottom"/>
            <w:hideMark/>
          </w:tcPr>
          <w:p w14:paraId="7F7609D6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75 (82.4%)</w:t>
            </w:r>
          </w:p>
        </w:tc>
        <w:tc>
          <w:tcPr>
            <w:tcW w:w="1276" w:type="dxa"/>
            <w:noWrap/>
            <w:hideMark/>
          </w:tcPr>
          <w:p w14:paraId="6E644482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noWrap/>
            <w:hideMark/>
          </w:tcPr>
          <w:p w14:paraId="17A5337A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noWrap/>
            <w:hideMark/>
          </w:tcPr>
          <w:p w14:paraId="37B499BA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</w:tr>
      <w:tr w:rsidR="00DE7CD9" w:rsidRPr="00DE7CD9" w14:paraId="0F69BBD7" w14:textId="77777777" w:rsidTr="00DE7C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97E6D97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CCR-026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423F07A2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88 (96.7%)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7149A29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90 (98.9%)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C6AD53C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90 (98.9%)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9833D6E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77 (84.6%)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AD88E9C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0E3D4DC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</w:tr>
      <w:tr w:rsidR="00DE7CD9" w:rsidRPr="00DE7CD9" w14:paraId="6C332603" w14:textId="77777777" w:rsidTr="00DE7CD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noWrap/>
            <w:hideMark/>
          </w:tcPr>
          <w:p w14:paraId="6657D842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CCR-027</w:t>
            </w:r>
          </w:p>
        </w:tc>
        <w:tc>
          <w:tcPr>
            <w:tcW w:w="1275" w:type="dxa"/>
            <w:noWrap/>
            <w:vAlign w:val="bottom"/>
            <w:hideMark/>
          </w:tcPr>
          <w:p w14:paraId="53103BCF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72 (79.1%)</w:t>
            </w:r>
          </w:p>
        </w:tc>
        <w:tc>
          <w:tcPr>
            <w:tcW w:w="1276" w:type="dxa"/>
            <w:noWrap/>
            <w:vAlign w:val="bottom"/>
            <w:hideMark/>
          </w:tcPr>
          <w:p w14:paraId="30D35A41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73 (80.2%)</w:t>
            </w:r>
          </w:p>
        </w:tc>
        <w:tc>
          <w:tcPr>
            <w:tcW w:w="1276" w:type="dxa"/>
            <w:noWrap/>
            <w:vAlign w:val="bottom"/>
            <w:hideMark/>
          </w:tcPr>
          <w:p w14:paraId="373A323A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73 (80.2%)</w:t>
            </w:r>
          </w:p>
        </w:tc>
        <w:tc>
          <w:tcPr>
            <w:tcW w:w="1276" w:type="dxa"/>
            <w:noWrap/>
            <w:vAlign w:val="bottom"/>
            <w:hideMark/>
          </w:tcPr>
          <w:p w14:paraId="4EA5A0E7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71 (78.0%)</w:t>
            </w:r>
          </w:p>
        </w:tc>
        <w:tc>
          <w:tcPr>
            <w:tcW w:w="1276" w:type="dxa"/>
            <w:noWrap/>
            <w:vAlign w:val="bottom"/>
            <w:hideMark/>
          </w:tcPr>
          <w:p w14:paraId="431AA2D9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73 (80.2%)</w:t>
            </w:r>
          </w:p>
        </w:tc>
        <w:tc>
          <w:tcPr>
            <w:tcW w:w="1276" w:type="dxa"/>
            <w:noWrap/>
            <w:hideMark/>
          </w:tcPr>
          <w:p w14:paraId="6FE62C01" w14:textId="77777777" w:rsidR="00DE7CD9" w:rsidRPr="00DE7CD9" w:rsidRDefault="00DE7CD9" w:rsidP="00DE7C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</w:p>
        </w:tc>
      </w:tr>
      <w:tr w:rsidR="00DE7CD9" w:rsidRPr="00DE7CD9" w14:paraId="56610017" w14:textId="77777777" w:rsidTr="00DE7C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none" w:sz="0" w:space="0" w:color="auto"/>
              <w:bottom w:val="single" w:sz="4" w:space="0" w:color="auto"/>
            </w:tcBorders>
            <w:noWrap/>
            <w:hideMark/>
          </w:tcPr>
          <w:p w14:paraId="0146207A" w14:textId="77777777" w:rsidR="00DE7CD9" w:rsidRPr="00DE7CD9" w:rsidRDefault="00DE7CD9" w:rsidP="00DE7CD9">
            <w:pPr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Cs w:val="0"/>
                <w:sz w:val="18"/>
                <w:szCs w:val="18"/>
                <w:lang w:val="en-GB" w:eastAsia="nl-NL"/>
              </w:rPr>
              <w:t>CCR-028</w:t>
            </w:r>
          </w:p>
        </w:tc>
        <w:tc>
          <w:tcPr>
            <w:tcW w:w="1275" w:type="dxa"/>
            <w:tcBorders>
              <w:top w:val="none" w:sz="0" w:space="0" w:color="auto"/>
              <w:bottom w:val="single" w:sz="4" w:space="0" w:color="auto"/>
            </w:tcBorders>
            <w:noWrap/>
            <w:vAlign w:val="bottom"/>
            <w:hideMark/>
          </w:tcPr>
          <w:p w14:paraId="7A58A4A2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61 (67.0%)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auto"/>
            </w:tcBorders>
            <w:noWrap/>
            <w:vAlign w:val="bottom"/>
            <w:hideMark/>
          </w:tcPr>
          <w:p w14:paraId="35B0E386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60 (65.9%)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auto"/>
            </w:tcBorders>
            <w:noWrap/>
            <w:vAlign w:val="bottom"/>
            <w:hideMark/>
          </w:tcPr>
          <w:p w14:paraId="5E1556AE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62 (68.1%)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auto"/>
            </w:tcBorders>
            <w:noWrap/>
            <w:vAlign w:val="bottom"/>
            <w:hideMark/>
          </w:tcPr>
          <w:p w14:paraId="73AB4A98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46 (50.5%)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auto"/>
            </w:tcBorders>
            <w:noWrap/>
            <w:vAlign w:val="bottom"/>
            <w:hideMark/>
          </w:tcPr>
          <w:p w14:paraId="0D598CF4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Cs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69 (75.8%)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auto"/>
            </w:tcBorders>
            <w:noWrap/>
            <w:hideMark/>
          </w:tcPr>
          <w:p w14:paraId="3F811720" w14:textId="77777777" w:rsidR="00DE7CD9" w:rsidRPr="00DE7CD9" w:rsidRDefault="00DE7CD9" w:rsidP="00DE7C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DE7CD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68 (74.7%)</w:t>
            </w:r>
          </w:p>
        </w:tc>
      </w:tr>
      <w:tr w:rsidR="00DE7CD9" w:rsidRPr="00BD1531" w14:paraId="2F6378A4" w14:textId="77777777" w:rsidTr="00DE7CD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gridSpan w:val="7"/>
            <w:tcBorders>
              <w:top w:val="single" w:sz="4" w:space="0" w:color="auto"/>
              <w:bottom w:val="single" w:sz="4" w:space="0" w:color="FFFFFF" w:themeColor="background1"/>
            </w:tcBorders>
            <w:noWrap/>
          </w:tcPr>
          <w:p w14:paraId="624D478C" w14:textId="77777777" w:rsidR="00DE7CD9" w:rsidRDefault="00DE7CD9" w:rsidP="00DE7CD9">
            <w:pPr>
              <w:rPr>
                <w:rFonts w:ascii="Palatino Linotype" w:eastAsia="Times New Roman" w:hAnsi="Palatino Linotype" w:cs="Calibri"/>
                <w:b w:val="0"/>
                <w:sz w:val="18"/>
                <w:szCs w:val="18"/>
                <w:lang w:val="en-GB" w:eastAsia="nl-NL"/>
              </w:rPr>
            </w:pPr>
            <w:r w:rsidRPr="00DE7CD9">
              <w:rPr>
                <w:rFonts w:ascii="Palatino Linotype" w:eastAsia="Times New Roman" w:hAnsi="Palatino Linotype" w:cs="Calibri"/>
                <w:b w:val="0"/>
                <w:sz w:val="18"/>
                <w:szCs w:val="18"/>
                <w:lang w:val="en-GB" w:eastAsia="nl-NL"/>
              </w:rPr>
              <w:t>* All scans were resampled to the median pixel spacing value (0.49*0.49 mm</w:t>
            </w:r>
            <w:r w:rsidRPr="00DE7CD9">
              <w:rPr>
                <w:rFonts w:ascii="Palatino Linotype" w:eastAsia="Times New Roman" w:hAnsi="Palatino Linotype" w:cs="Calibri"/>
                <w:b w:val="0"/>
                <w:sz w:val="18"/>
                <w:szCs w:val="18"/>
                <w:vertAlign w:val="superscript"/>
                <w:lang w:val="en-GB" w:eastAsia="nl-NL"/>
              </w:rPr>
              <w:t>2</w:t>
            </w:r>
            <w:r w:rsidRPr="00DE7CD9">
              <w:rPr>
                <w:rFonts w:ascii="Palatino Linotype" w:eastAsia="Times New Roman" w:hAnsi="Palatino Linotype" w:cs="Calibri"/>
                <w:b w:val="0"/>
                <w:sz w:val="18"/>
                <w:szCs w:val="18"/>
                <w:lang w:val="en-GB" w:eastAsia="nl-NL"/>
              </w:rPr>
              <w:t>).</w:t>
            </w:r>
          </w:p>
          <w:p w14:paraId="49BEB3DB" w14:textId="77777777" w:rsidR="007020EF" w:rsidRDefault="007020EF" w:rsidP="00DE7CD9">
            <w:pPr>
              <w:rPr>
                <w:rFonts w:ascii="Palatino Linotype" w:eastAsia="Times New Roman" w:hAnsi="Palatino Linotype" w:cs="Calibri"/>
                <w:b w:val="0"/>
                <w:sz w:val="18"/>
                <w:szCs w:val="18"/>
                <w:lang w:val="en-GB" w:eastAsia="nl-NL"/>
              </w:rPr>
            </w:pPr>
          </w:p>
          <w:p w14:paraId="3406A4E9" w14:textId="77777777" w:rsidR="007020EF" w:rsidRDefault="007020EF" w:rsidP="00DE7CD9">
            <w:pPr>
              <w:rPr>
                <w:rFonts w:ascii="Palatino Linotype" w:eastAsia="Times New Roman" w:hAnsi="Palatino Linotype" w:cs="Calibri"/>
                <w:b w:val="0"/>
                <w:sz w:val="18"/>
                <w:szCs w:val="18"/>
                <w:lang w:val="en-GB" w:eastAsia="nl-NL"/>
              </w:rPr>
            </w:pPr>
          </w:p>
          <w:p w14:paraId="7DF15C00" w14:textId="77777777" w:rsidR="007020EF" w:rsidRPr="00DE7CD9" w:rsidRDefault="007020EF" w:rsidP="00DE7CD9">
            <w:pPr>
              <w:rPr>
                <w:rFonts w:ascii="Palatino Linotype" w:eastAsia="Times New Roman" w:hAnsi="Palatino Linotype" w:cs="Calibri"/>
                <w:b w:val="0"/>
                <w:sz w:val="18"/>
                <w:szCs w:val="18"/>
                <w:vertAlign w:val="superscript"/>
                <w:lang w:val="en-GB" w:eastAsia="nl-NL"/>
              </w:rPr>
            </w:pPr>
          </w:p>
        </w:tc>
      </w:tr>
    </w:tbl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6"/>
        <w:gridCol w:w="664"/>
        <w:gridCol w:w="670"/>
        <w:gridCol w:w="672"/>
        <w:gridCol w:w="780"/>
        <w:gridCol w:w="1129"/>
        <w:gridCol w:w="647"/>
        <w:gridCol w:w="635"/>
        <w:gridCol w:w="635"/>
        <w:gridCol w:w="657"/>
        <w:gridCol w:w="637"/>
      </w:tblGrid>
      <w:tr w:rsidR="00DE7CD9" w:rsidRPr="00A51F88" w14:paraId="323E6F6D" w14:textId="77777777" w:rsidTr="00A51F88">
        <w:trPr>
          <w:trHeight w:val="290"/>
        </w:trPr>
        <w:tc>
          <w:tcPr>
            <w:tcW w:w="5000" w:type="pct"/>
            <w:gridSpan w:val="11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18032C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val="en-US" w:eastAsia="nl-NL"/>
              </w:rPr>
            </w:pPr>
            <w:r w:rsidRPr="00A51F88">
              <w:rPr>
                <w:rFonts w:ascii="Palatino Linotype" w:eastAsia="Times New Roman" w:hAnsi="Palatino Linotype" w:cs="Calibri"/>
                <w:sz w:val="15"/>
                <w:szCs w:val="15"/>
                <w:lang w:val="en-US" w:eastAsia="nl-NL"/>
              </w:rPr>
              <w:lastRenderedPageBreak/>
              <w:t>Table S5. Summary of the number of concordant features (CCC&gt;0.9) before and after resampling, Discovery STE model.</w:t>
            </w:r>
          </w:p>
        </w:tc>
      </w:tr>
      <w:tr w:rsidR="00DE7CD9" w:rsidRPr="00A51F88" w14:paraId="37B45C91" w14:textId="77777777" w:rsidTr="00A51F88">
        <w:trPr>
          <w:trHeight w:val="290"/>
        </w:trPr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5642B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Times New Roman"/>
                <w:sz w:val="15"/>
                <w:szCs w:val="15"/>
                <w:lang w:val="en-US" w:eastAsia="nl-NL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0889C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NN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58AFB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Linear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1B5DF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BSpline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AFB11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Gaussian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E607E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LabelGaussian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886C9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HWS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7972A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CWS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EE2B0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WWS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B5384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LWS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FBB61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BWS</w:t>
            </w:r>
          </w:p>
        </w:tc>
      </w:tr>
      <w:tr w:rsidR="00DE7CD9" w:rsidRPr="00A51F88" w14:paraId="3BD8C61F" w14:textId="77777777" w:rsidTr="00A51F88">
        <w:trPr>
          <w:trHeight w:val="290"/>
        </w:trPr>
        <w:tc>
          <w:tcPr>
            <w:tcW w:w="10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08E9" w14:textId="430EC0C7" w:rsidR="00DE7CD9" w:rsidRPr="00A51F88" w:rsidRDefault="007E5C13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*Pixel Spacing [0.39x</w:t>
            </w:r>
            <w:r w:rsidR="00DE7CD9"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0.39]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8B25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BC45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74E3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0FCA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2A4CE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9464E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B0584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5100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41BF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E0092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DE7CD9" w:rsidRPr="00A51F88" w14:paraId="54F408E4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55F05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only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AE86E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3A4D9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6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C6FC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12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9AD8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EBB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792B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372D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29C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14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3727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AC5D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14</w:t>
            </w:r>
          </w:p>
        </w:tc>
      </w:tr>
      <w:tr w:rsidR="00DE7CD9" w:rsidRPr="00A51F88" w14:paraId="60021A51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F97B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before and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B7A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3597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15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059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26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2F66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E545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17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56F5C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DE4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56366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32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30177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C2207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27</w:t>
            </w:r>
          </w:p>
        </w:tc>
      </w:tr>
      <w:tr w:rsidR="00DE7CD9" w:rsidRPr="00A51F88" w14:paraId="60BE9FF9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882F8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only before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535E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E68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21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ED4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10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8CEC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DF8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0CC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577D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8B2E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4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4007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F7A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9</w:t>
            </w:r>
          </w:p>
        </w:tc>
      </w:tr>
      <w:tr w:rsidR="00DE7CD9" w:rsidRPr="00A51F88" w14:paraId="6F67902A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EE0D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Overall**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80CF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80.6%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71C7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58.3%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B601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105.6%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0795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19.4%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D12C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55.6%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4A26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116.7%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3A05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130.6%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9DB9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127.8%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575C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130.6%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6C1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113.9%</w:t>
            </w:r>
          </w:p>
        </w:tc>
      </w:tr>
      <w:tr w:rsidR="00DE7CD9" w:rsidRPr="00A51F88" w14:paraId="448C1730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9038" w14:textId="3EFBA16B" w:rsidR="00DE7CD9" w:rsidRPr="00A51F88" w:rsidRDefault="007E5C13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Pixel Spacing [0.49x</w:t>
            </w:r>
            <w:r w:rsidR="00DE7CD9"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0.49]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A30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18EDF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2C040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63CC7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7CDA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099E1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08AE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5E10A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710C7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7B76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DE7CD9" w:rsidRPr="00A51F88" w14:paraId="655C6250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2648D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only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667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C22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7E5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14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D062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C5E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71A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9F0FF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59BB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16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0E6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FA3D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15</w:t>
            </w:r>
          </w:p>
        </w:tc>
      </w:tr>
      <w:tr w:rsidR="00DE7CD9" w:rsidRPr="00A51F88" w14:paraId="06277B3A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48BBA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before and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1314B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CD21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7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10B5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26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E9A8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B6F1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17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60E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A487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B48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32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43E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DD1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28</w:t>
            </w:r>
          </w:p>
        </w:tc>
      </w:tr>
      <w:tr w:rsidR="00DE7CD9" w:rsidRPr="00A51F88" w14:paraId="5F6EB6D1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23CE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only before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7777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11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041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29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F956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10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7272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742E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FC5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AE07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B0EB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4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DFF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0FFB6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8</w:t>
            </w:r>
          </w:p>
        </w:tc>
      </w:tr>
      <w:tr w:rsidR="00DE7CD9" w:rsidRPr="00A51F88" w14:paraId="6E94921D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57A1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Overall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67DF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88.9%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AB189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27.8%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9C217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111.1%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C6B7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19.4%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5CE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55.6%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F97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130.6%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3BF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133.3%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68DC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133.3%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B7BC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133.3%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6BDC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119.4%</w:t>
            </w:r>
          </w:p>
        </w:tc>
      </w:tr>
      <w:tr w:rsidR="00DE7CD9" w:rsidRPr="00A51F88" w14:paraId="2EBC3778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4F68" w14:textId="16CE98B9" w:rsidR="00DE7CD9" w:rsidRPr="00A51F88" w:rsidRDefault="00DE7CD9" w:rsidP="007E5C13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Pixel Spacing [0.59</w:t>
            </w:r>
            <w:r w:rsidR="007E5C13"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x</w:t>
            </w: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0.59]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11FC5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CC459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66DE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838FF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F937C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9D7D5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F3C7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D442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E64F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021C5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DE7CD9" w:rsidRPr="00A51F88" w14:paraId="78F4DEA8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8B337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only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F66F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D5AC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7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D6B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15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0869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824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7D6D9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178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6D15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17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8178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8CF8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15</w:t>
            </w:r>
          </w:p>
        </w:tc>
      </w:tr>
      <w:tr w:rsidR="00DE7CD9" w:rsidRPr="00A51F88" w14:paraId="5C875C90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C7B1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before and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CA77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26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DFB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15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667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27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BF1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A3A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10A9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ED9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F37F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39D7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4936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29</w:t>
            </w:r>
          </w:p>
        </w:tc>
      </w:tr>
      <w:tr w:rsidR="00DE7CD9" w:rsidRPr="00A51F88" w14:paraId="16BB3356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6D61B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only before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A2D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4A67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21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A0B6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4AB9C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8722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7DB8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A1C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165DE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EDB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E3F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7</w:t>
            </w:r>
          </w:p>
        </w:tc>
      </w:tr>
      <w:tr w:rsidR="00DE7CD9" w:rsidRPr="00A51F88" w14:paraId="57DD5A96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163A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Overall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7A7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100.0%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85D47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61.1%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3BEB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116.7%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A7905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19.4%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75B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58.3%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5FC5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136.1%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FD94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136.1%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D13B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138.9%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DA1DE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133.3%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7AEE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122.2%</w:t>
            </w:r>
          </w:p>
        </w:tc>
      </w:tr>
      <w:tr w:rsidR="00DE7CD9" w:rsidRPr="00A51F88" w14:paraId="5F5D2E53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0CC6" w14:textId="151E2231" w:rsidR="00DE7CD9" w:rsidRPr="00A51F88" w:rsidRDefault="007E5C13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Pixel Spacing [0.68x</w:t>
            </w:r>
            <w:r w:rsidR="00DE7CD9"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0.68]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F16E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D936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B4B3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706D3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DB7A6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43D4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04C4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AAA5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54CE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4D02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DE7CD9" w:rsidRPr="00A51F88" w14:paraId="74994D84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715E0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only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DF2F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4D96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6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26C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14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26D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CBD5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9527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3CCC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4302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16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75E8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1E9F6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15</w:t>
            </w:r>
          </w:p>
        </w:tc>
      </w:tr>
      <w:tr w:rsidR="00DE7CD9" w:rsidRPr="00A51F88" w14:paraId="663134AD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C846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before and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011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C8A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14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D86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26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BBD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2222F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17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6361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537F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E58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44E3E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8C3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30</w:t>
            </w:r>
          </w:p>
        </w:tc>
      </w:tr>
      <w:tr w:rsidR="00DE7CD9" w:rsidRPr="00A51F88" w14:paraId="285C2B65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BAE0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only before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D7A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9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D97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22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BCD6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10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03017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1ADBC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D4CC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A653C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A817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4B34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F765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6</w:t>
            </w:r>
          </w:p>
        </w:tc>
      </w:tr>
      <w:tr w:rsidR="00DE7CD9" w:rsidRPr="00A51F88" w14:paraId="397D46E3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98D37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Overall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B7AC7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108.3%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119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55.6%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A8E66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111.1%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BB2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22.2%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936FB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55.6%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3266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136.1%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2628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133.3%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A1B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136.1%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243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130.6%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3AB3E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125.0%</w:t>
            </w:r>
          </w:p>
        </w:tc>
      </w:tr>
      <w:tr w:rsidR="00DE7CD9" w:rsidRPr="00A51F88" w14:paraId="0A4E1D02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53262" w14:textId="1458001C" w:rsidR="00DE7CD9" w:rsidRPr="00A51F88" w:rsidRDefault="007E5C13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Pixel Spacing [0.78x</w:t>
            </w:r>
            <w:r w:rsidR="00DE7CD9"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0.78]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8AC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9EDF2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A42F6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E6B4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A73A9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064B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344D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4BA2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B61A4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979D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DE7CD9" w:rsidRPr="00A51F88" w14:paraId="3F1237AE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B8754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only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932C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DEAB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6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1E3C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17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CD50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4BF9C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7B69C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7116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40D8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17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46EDE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E10AB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17</w:t>
            </w:r>
          </w:p>
        </w:tc>
      </w:tr>
      <w:tr w:rsidR="00DE7CD9" w:rsidRPr="00A51F88" w14:paraId="1ADE8B25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ED398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before and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4FB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26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66BEE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10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7647F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30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7509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FBBB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20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1718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A53F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3E3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077B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A67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31</w:t>
            </w:r>
          </w:p>
        </w:tc>
      </w:tr>
      <w:tr w:rsidR="00DE7CD9" w:rsidRPr="00A51F88" w14:paraId="649D6D55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C1E3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only before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70B3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51597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26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A23F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6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17F1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359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16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4C6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139B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109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7CD7E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187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5</w:t>
            </w:r>
          </w:p>
        </w:tc>
      </w:tr>
      <w:tr w:rsidR="00DE7CD9" w:rsidRPr="00A51F88" w14:paraId="3541007F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3E42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Overall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91E6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100.0%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11B2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44.4%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B188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130.6%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9818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19.4%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F63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63.9%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CF2E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141.7%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6EA95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138.9%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2BEC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138.9%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D5C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138.9%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F88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133.3%</w:t>
            </w:r>
          </w:p>
        </w:tc>
      </w:tr>
      <w:tr w:rsidR="00DE7CD9" w:rsidRPr="00A51F88" w14:paraId="14DD1BA8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D23E" w14:textId="099BEE77" w:rsidR="00DE7CD9" w:rsidRPr="00A51F88" w:rsidRDefault="007E5C13" w:rsidP="007E5C13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Pixel Spacing [0.88x</w:t>
            </w:r>
            <w:r w:rsidR="00DE7CD9"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0.88]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60A6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AAF21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D2AFA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962E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48FE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E96D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FDA6E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9404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2010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F202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DE7CD9" w:rsidRPr="00A51F88" w14:paraId="761EB1BB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AC936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only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5D38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347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7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5BA26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17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419B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D68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B3018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0D8E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D8A4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18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A65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CD61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17</w:t>
            </w:r>
          </w:p>
        </w:tc>
      </w:tr>
      <w:tr w:rsidR="00DE7CD9" w:rsidRPr="00A51F88" w14:paraId="3AE34F22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550BE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before and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73B9B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4DB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17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096B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A7AB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1AC6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21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D4A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6EEE5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788D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35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0B5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5498B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32</w:t>
            </w:r>
          </w:p>
        </w:tc>
      </w:tr>
      <w:tr w:rsidR="00DE7CD9" w:rsidRPr="00A51F88" w14:paraId="05345D11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FABEF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only before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CED6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A78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19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0EFCE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5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99E9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964F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87F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A48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CA0C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F86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D97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4</w:t>
            </w:r>
          </w:p>
        </w:tc>
      </w:tr>
      <w:tr w:rsidR="00DE7CD9" w:rsidRPr="00A51F88" w14:paraId="6F053DFB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01AF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Overall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46C5E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127.8%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2B2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66.7%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BC0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133.3%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52B8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22.2%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4D4F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66.7%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C23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150.0%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9A4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144.4%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FA24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147.2%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6E0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141.7%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906C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136.1%</w:t>
            </w:r>
          </w:p>
        </w:tc>
      </w:tr>
      <w:tr w:rsidR="00DE7CD9" w:rsidRPr="00A51F88" w14:paraId="3FF9126E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A98A" w14:textId="0316391A" w:rsidR="00DE7CD9" w:rsidRPr="00A51F88" w:rsidRDefault="007E5C13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Pixel Spacing [0.98x</w:t>
            </w:r>
            <w:r w:rsidR="00DE7CD9"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0.98]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E795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E771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A941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3D5DC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626A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C6256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5150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D3C43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D93C8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3766" w14:textId="77777777" w:rsidR="00DE7CD9" w:rsidRPr="00A51F88" w:rsidRDefault="00DE7CD9" w:rsidP="00DE7CD9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DE7CD9" w:rsidRPr="00A51F88" w14:paraId="0C23DA3D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DFA6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only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CD67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19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8CA0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15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223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D15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2BF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4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AF2F5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7726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BB0C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BAE7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DAC7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20</w:t>
            </w:r>
          </w:p>
        </w:tc>
      </w:tr>
      <w:tr w:rsidR="00DE7CD9" w:rsidRPr="00A51F88" w14:paraId="07BD776F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16BF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before and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8D41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D7B9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34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09745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35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FB58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5188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C43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7A5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728E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35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9877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CFC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35</w:t>
            </w:r>
          </w:p>
        </w:tc>
      </w:tr>
      <w:tr w:rsidR="00DE7CD9" w:rsidRPr="00A51F88" w14:paraId="143B7A34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A004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Cs/>
                <w:color w:val="000000"/>
                <w:sz w:val="15"/>
                <w:szCs w:val="15"/>
                <w:lang w:eastAsia="nl-NL"/>
              </w:rPr>
              <w:t>CCC&gt;0.9 only before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5FE5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8EA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1D0C4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2C90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29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77CAB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11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858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C0D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DDDA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2843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7A30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color w:val="000000"/>
                <w:sz w:val="15"/>
                <w:szCs w:val="15"/>
              </w:rPr>
              <w:t>1</w:t>
            </w:r>
          </w:p>
        </w:tc>
      </w:tr>
      <w:tr w:rsidR="00DE7CD9" w:rsidRPr="00A51F88" w14:paraId="18D7B982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BCC9F" w14:textId="77777777" w:rsidR="00DE7CD9" w:rsidRPr="00A51F88" w:rsidRDefault="00DE7CD9" w:rsidP="00DE7CD9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</w:pPr>
            <w:r w:rsidRPr="00A51F88">
              <w:rPr>
                <w:rFonts w:ascii="Palatino Linotype" w:eastAsia="Times New Roman" w:hAnsi="Palatino Linotype" w:cs="Calibri"/>
                <w:b/>
                <w:bCs/>
                <w:color w:val="000000"/>
                <w:sz w:val="15"/>
                <w:szCs w:val="15"/>
                <w:lang w:eastAsia="nl-NL"/>
              </w:rPr>
              <w:t>Overall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5BE49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147.2%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1DE25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136.1%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4134B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150.0%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52CFD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22.2%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BD2C8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80.6%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2199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152.8%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BEADA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150.0%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D8DEE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150.0%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AAA0B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150.0%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A45E2" w14:textId="77777777" w:rsidR="00DE7CD9" w:rsidRPr="00A51F88" w:rsidRDefault="00DE7CD9" w:rsidP="00DE7CD9">
            <w:pPr>
              <w:jc w:val="right"/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</w:pPr>
            <w:r w:rsidRPr="00A51F88"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</w:rPr>
              <w:t>152.8%</w:t>
            </w:r>
          </w:p>
        </w:tc>
      </w:tr>
      <w:tr w:rsidR="00C81C03" w:rsidRPr="00A51F88" w14:paraId="2A9AE68A" w14:textId="77777777" w:rsidTr="00A51F88">
        <w:trPr>
          <w:trHeight w:val="290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noWrap/>
            <w:vAlign w:val="bottom"/>
          </w:tcPr>
          <w:p w14:paraId="26F471DE" w14:textId="77777777" w:rsidR="00C81C03" w:rsidRPr="00A51F88" w:rsidRDefault="00C81C03" w:rsidP="00C81C03">
            <w:pPr>
              <w:rPr>
                <w:rFonts w:ascii="Palatino Linotype" w:hAnsi="Palatino Linotype" w:cs="Calibri"/>
                <w:bCs/>
                <w:color w:val="000000"/>
                <w:sz w:val="15"/>
                <w:szCs w:val="15"/>
                <w:lang w:val="en-US"/>
              </w:rPr>
            </w:pPr>
            <w:r w:rsidRPr="00A51F88">
              <w:rPr>
                <w:rFonts w:ascii="Palatino Linotype" w:hAnsi="Palatino Linotype" w:cs="Calibri"/>
                <w:bCs/>
                <w:color w:val="000000"/>
                <w:sz w:val="15"/>
                <w:szCs w:val="15"/>
                <w:lang w:val="en-US"/>
              </w:rPr>
              <w:t>* The NUIR value</w:t>
            </w:r>
          </w:p>
          <w:p w14:paraId="0AC109A0" w14:textId="77777777" w:rsidR="00C81C03" w:rsidRPr="00A51F88" w:rsidRDefault="00C81C03" w:rsidP="00C81C03">
            <w:pPr>
              <w:rPr>
                <w:rFonts w:ascii="Palatino Linotype" w:hAnsi="Palatino Linotype" w:cs="Calibri"/>
                <w:b/>
                <w:bCs/>
                <w:color w:val="000000"/>
                <w:sz w:val="15"/>
                <w:szCs w:val="15"/>
                <w:lang w:val="en-US"/>
              </w:rPr>
            </w:pPr>
            <w:r w:rsidRPr="00A51F88">
              <w:rPr>
                <w:rFonts w:ascii="Palatino Linotype" w:hAnsi="Palatino Linotype" w:cs="Calibri"/>
                <w:bCs/>
                <w:color w:val="000000"/>
                <w:sz w:val="15"/>
                <w:szCs w:val="15"/>
                <w:lang w:val="en-US"/>
              </w:rPr>
              <w:t>** Overall is calculated by dividing the number of features concordant after resampling divided by the number of concordant features before resampling.</w:t>
            </w:r>
          </w:p>
        </w:tc>
      </w:tr>
    </w:tbl>
    <w:p w14:paraId="138B0471" w14:textId="77777777" w:rsidR="00DE7CD9" w:rsidRPr="00DE7CD9" w:rsidRDefault="00DE7CD9" w:rsidP="00DE7CD9">
      <w:pPr>
        <w:rPr>
          <w:lang w:val="en-GB"/>
        </w:rPr>
      </w:pPr>
    </w:p>
    <w:p w14:paraId="57362164" w14:textId="77777777" w:rsidR="00DE7CD9" w:rsidRPr="00DE7CD9" w:rsidRDefault="00DE7CD9" w:rsidP="00DE7CD9">
      <w:pPr>
        <w:rPr>
          <w:lang w:val="en-GB"/>
        </w:rPr>
      </w:pPr>
    </w:p>
    <w:p w14:paraId="52ABD7F6" w14:textId="77777777" w:rsidR="00DE7CD9" w:rsidRPr="00DE7CD9" w:rsidRDefault="00DE7CD9" w:rsidP="00DE7CD9">
      <w:pPr>
        <w:rPr>
          <w:lang w:val="en-GB"/>
        </w:rPr>
      </w:pPr>
    </w:p>
    <w:p w14:paraId="2588E205" w14:textId="77777777" w:rsidR="00DE7CD9" w:rsidRPr="00DE7CD9" w:rsidRDefault="00DE7CD9" w:rsidP="00DE7CD9">
      <w:pPr>
        <w:rPr>
          <w:lang w:val="en-GB"/>
        </w:rPr>
      </w:pPr>
    </w:p>
    <w:p w14:paraId="0F5391A4" w14:textId="77777777" w:rsidR="00DE7CD9" w:rsidRPr="00DE7CD9" w:rsidRDefault="00DE7CD9" w:rsidP="00DE7CD9">
      <w:pPr>
        <w:rPr>
          <w:lang w:val="en-GB"/>
        </w:rPr>
      </w:pPr>
    </w:p>
    <w:p w14:paraId="1407006C" w14:textId="77777777" w:rsidR="00C81C03" w:rsidRDefault="00C81C03">
      <w:pPr>
        <w:rPr>
          <w:lang w:val="en-GB"/>
        </w:rPr>
      </w:pPr>
      <w:r>
        <w:rPr>
          <w:lang w:val="en-GB"/>
        </w:rP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5"/>
        <w:gridCol w:w="669"/>
        <w:gridCol w:w="674"/>
        <w:gridCol w:w="676"/>
        <w:gridCol w:w="781"/>
        <w:gridCol w:w="1120"/>
        <w:gridCol w:w="651"/>
        <w:gridCol w:w="641"/>
        <w:gridCol w:w="641"/>
        <w:gridCol w:w="661"/>
        <w:gridCol w:w="643"/>
      </w:tblGrid>
      <w:tr w:rsidR="00C81C03" w:rsidRPr="00BD1531" w14:paraId="214CC1D4" w14:textId="77777777" w:rsidTr="00A51F88">
        <w:trPr>
          <w:trHeight w:val="290"/>
        </w:trPr>
        <w:tc>
          <w:tcPr>
            <w:tcW w:w="5000" w:type="pct"/>
            <w:gridSpan w:val="11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A7D96B" w14:textId="77777777" w:rsidR="00C81C03" w:rsidRPr="00C81C03" w:rsidRDefault="00C81C03" w:rsidP="00C81C03">
            <w:pPr>
              <w:spacing w:line="240" w:lineRule="auto"/>
              <w:rPr>
                <w:rFonts w:ascii="Palatino Linotype" w:eastAsia="Times New Roman" w:hAnsi="Palatino Linotype" w:cs="Calibri"/>
                <w:sz w:val="18"/>
                <w:szCs w:val="18"/>
                <w:lang w:val="en-US"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sz w:val="18"/>
                <w:szCs w:val="18"/>
                <w:lang w:val="en-US" w:eastAsia="nl-NL"/>
              </w:rPr>
              <w:lastRenderedPageBreak/>
              <w:t>Table S6.</w:t>
            </w:r>
            <w:r w:rsidRPr="00C81C03">
              <w:rPr>
                <w:rFonts w:ascii="Palatino Linotype" w:eastAsia="Times New Roman" w:hAnsi="Palatino Linotype" w:cs="Calibri"/>
                <w:sz w:val="18"/>
                <w:szCs w:val="18"/>
                <w:lang w:val="en-US" w:eastAsia="nl-NL"/>
              </w:rPr>
              <w:t xml:space="preserve"> Summary of the number of concordant features 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en-US" w:eastAsia="nl-NL"/>
              </w:rPr>
              <w:t xml:space="preserve">(CCC&gt;0.9) </w:t>
            </w:r>
            <w:r w:rsidRPr="00C81C03">
              <w:rPr>
                <w:rFonts w:ascii="Palatino Linotype" w:eastAsia="Times New Roman" w:hAnsi="Palatino Linotype" w:cs="Calibri"/>
                <w:sz w:val="18"/>
                <w:szCs w:val="18"/>
                <w:lang w:val="en-US" w:eastAsia="nl-NL"/>
              </w:rPr>
              <w:t xml:space="preserve">before and after resampling, LightSpeed 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en-US" w:eastAsia="nl-NL"/>
              </w:rPr>
              <w:t xml:space="preserve">Pro 32 </w:t>
            </w:r>
            <w:r w:rsidRPr="00C81C03">
              <w:rPr>
                <w:rFonts w:ascii="Palatino Linotype" w:eastAsia="Times New Roman" w:hAnsi="Palatino Linotype" w:cs="Calibri"/>
                <w:sz w:val="18"/>
                <w:szCs w:val="18"/>
                <w:lang w:val="en-US" w:eastAsia="nl-NL"/>
              </w:rPr>
              <w:t>model.</w:t>
            </w:r>
          </w:p>
        </w:tc>
      </w:tr>
      <w:tr w:rsidR="00C81C03" w:rsidRPr="00C81C03" w14:paraId="4DB2255D" w14:textId="77777777" w:rsidTr="00A51F88">
        <w:trPr>
          <w:trHeight w:val="290"/>
        </w:trPr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4A17C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nl-NL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3BFC0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NN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0214E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Linear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AB782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BSpline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EA79A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Gaussian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0B3AF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LabelGaussian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A1A43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HWS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E6670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CWS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CB852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WWS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7EF56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LWS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5B65F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BWS</w:t>
            </w:r>
          </w:p>
        </w:tc>
      </w:tr>
      <w:tr w:rsidR="00C81C03" w:rsidRPr="00C81C03" w14:paraId="5C6A71E7" w14:textId="77777777" w:rsidTr="00A51F88">
        <w:trPr>
          <w:trHeight w:val="290"/>
        </w:trPr>
        <w:tc>
          <w:tcPr>
            <w:tcW w:w="10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04C3B" w14:textId="79810A49" w:rsidR="00C81C03" w:rsidRPr="00C81C03" w:rsidRDefault="00CF18B4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*Pixel Spacing [0.39x</w:t>
            </w:r>
            <w:r w:rsidR="00C81C03"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0.39]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5F69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DE8CE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90060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3F0A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F2625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7262B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1976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9589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A886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3EAFC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</w:tr>
      <w:tr w:rsidR="00C81C03" w:rsidRPr="00C81C03" w14:paraId="43EB7EB7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09922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only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FB4F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859B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5A5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4719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757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C82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0796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DEBB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929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587D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5</w:t>
            </w:r>
          </w:p>
        </w:tc>
      </w:tr>
      <w:tr w:rsidR="00C81C03" w:rsidRPr="00C81C03" w14:paraId="66E470E9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FB03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before and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7556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18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368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15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42A5D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056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E358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16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8789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74E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58B2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22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86E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5DE0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21</w:t>
            </w:r>
          </w:p>
        </w:tc>
      </w:tr>
      <w:tr w:rsidR="00C81C03" w:rsidRPr="00C81C03" w14:paraId="472402C5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92D4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only before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B65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13F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12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442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20461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EB4E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11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26E9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9170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C3287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51C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9530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6</w:t>
            </w:r>
          </w:p>
        </w:tc>
      </w:tr>
      <w:tr w:rsidR="00C81C03" w:rsidRPr="00C81C03" w14:paraId="7E200FF0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077A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Overall**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AC36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77.8%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7892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66.7%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A09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85.2%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B1A0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59.3%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08C2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74.1%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9FF2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100.0%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2F32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111.1%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286E1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107.4%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2700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107.4%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0CDB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96.3%</w:t>
            </w:r>
          </w:p>
        </w:tc>
      </w:tr>
      <w:tr w:rsidR="00C81C03" w:rsidRPr="00C81C03" w14:paraId="68B9095E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056FC" w14:textId="2663E3A5" w:rsidR="00C81C03" w:rsidRPr="00C81C03" w:rsidRDefault="00CF18B4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Pixel Spacing [0.49x0</w:t>
            </w:r>
            <w:r w:rsidR="00C81C03"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.49]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D17F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2C7B6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44B0A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81C5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32D0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44403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D0AE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F4F6B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9C28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6DAB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</w:tr>
      <w:tr w:rsidR="00C81C03" w:rsidRPr="00C81C03" w14:paraId="3047EC8F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4998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only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91C0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B073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144E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1CDB9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26C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32BDD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894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CB03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4F3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939B7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4</w:t>
            </w:r>
          </w:p>
        </w:tc>
      </w:tr>
      <w:tr w:rsidR="00C81C03" w:rsidRPr="00C81C03" w14:paraId="33B1F9C5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B03F0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before and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EDC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97C41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13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BEF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20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A5B80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51492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DB0F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CD3B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10CB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25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13D13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0C929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20</w:t>
            </w:r>
          </w:p>
        </w:tc>
      </w:tr>
      <w:tr w:rsidR="00C81C03" w:rsidRPr="00C81C03" w14:paraId="1A28576C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C62B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only before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4407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834F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14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1B1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B77F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512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88EE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4C46F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DC72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5EC09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D0152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7</w:t>
            </w:r>
          </w:p>
        </w:tc>
      </w:tr>
      <w:tr w:rsidR="00C81C03" w:rsidRPr="00C81C03" w14:paraId="0BB78559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E794B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Overall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E86B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74.1%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373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51.9%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645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85.2%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1475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29.6%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A46A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40.7%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F03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103.7%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CCBCF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122.2%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CAFE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118.5%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69C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107.4%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A12FE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88.9%</w:t>
            </w:r>
          </w:p>
        </w:tc>
      </w:tr>
      <w:tr w:rsidR="00C81C03" w:rsidRPr="00C81C03" w14:paraId="52966CF5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7077" w14:textId="49A2039B" w:rsidR="00C81C03" w:rsidRPr="00C81C03" w:rsidRDefault="00C81C03" w:rsidP="00CF18B4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Pixel Spacing [0.59</w:t>
            </w:r>
            <w:r w:rsidR="00CF18B4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x</w:t>
            </w: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0.59]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E437F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36CD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3443E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DDC55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929A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031A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B829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F42F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6925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8184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</w:tr>
      <w:tr w:rsidR="00C81C03" w:rsidRPr="00C81C03" w14:paraId="61EAE450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E232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only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8874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ABD61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257B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AA13F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8C541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2083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0986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B8B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F705F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6D449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5</w:t>
            </w:r>
          </w:p>
        </w:tc>
      </w:tr>
      <w:tr w:rsidR="00C81C03" w:rsidRPr="00C81C03" w14:paraId="546E06D2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AB34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before and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B113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18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EECE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14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4AE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22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23C3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7DC7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26993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8EEC9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92A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25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C1C7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BB5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22</w:t>
            </w:r>
          </w:p>
        </w:tc>
      </w:tr>
      <w:tr w:rsidR="00C81C03" w:rsidRPr="00C81C03" w14:paraId="2E1A3525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76B1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only before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E13F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6590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13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50AB3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8302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E15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C802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C2CE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16A7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4D8E3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5C99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5</w:t>
            </w:r>
          </w:p>
        </w:tc>
      </w:tr>
      <w:tr w:rsidR="00C81C03" w:rsidRPr="00C81C03" w14:paraId="4409D5F8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5A4EF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Overall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52C2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85.2%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D15F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59.3%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175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100.0%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8E2FD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29.6%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D116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40.7%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1647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114.8%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811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118.5%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9E1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118.5%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B6B16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114.8%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81492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100.0%</w:t>
            </w:r>
          </w:p>
        </w:tc>
      </w:tr>
      <w:tr w:rsidR="00C81C03" w:rsidRPr="00C81C03" w14:paraId="693285FB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25606" w14:textId="0B8D2590" w:rsidR="00C81C03" w:rsidRPr="00C81C03" w:rsidRDefault="00CF18B4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Pixel Spacing [0.68x</w:t>
            </w:r>
            <w:r w:rsidR="00C81C03"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0.68]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AF03A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EF4A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9411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33422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BBD2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14FE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74CD5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B76CD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4DD8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C3A3A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</w:tr>
      <w:tr w:rsidR="00C81C03" w:rsidRPr="00C81C03" w14:paraId="53AE68AE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CFE4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only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3246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3761B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B902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45B5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0FBBD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410D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5CD2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7E0F9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E6D8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88F1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6</w:t>
            </w:r>
          </w:p>
        </w:tc>
      </w:tr>
      <w:tr w:rsidR="00C81C03" w:rsidRPr="00C81C03" w14:paraId="2D5566AD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2C0F6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before and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190D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19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E11B3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13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9BD1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81CF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AC29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9F1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713F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537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26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3739D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2C2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21</w:t>
            </w:r>
          </w:p>
        </w:tc>
      </w:tr>
      <w:tr w:rsidR="00C81C03" w:rsidRPr="00C81C03" w14:paraId="3B6E5814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0CF84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only before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5DE8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F09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14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9450B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B5ED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1367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F02C7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5426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2290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9CDE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A7E2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6</w:t>
            </w:r>
          </w:p>
        </w:tc>
      </w:tr>
      <w:tr w:rsidR="00C81C03" w:rsidRPr="00C81C03" w14:paraId="426949C9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BBFA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Overall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2EF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96.3%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B04E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51.9%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80FF3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96.3%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A4AF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25.9%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2AB62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51.9%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B853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114.8%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2D4E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125.9%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FEB6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125.9%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738CB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125.9%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A42E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100.0%</w:t>
            </w:r>
          </w:p>
        </w:tc>
      </w:tr>
      <w:tr w:rsidR="00C81C03" w:rsidRPr="00C81C03" w14:paraId="721E7BF8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6C06" w14:textId="173A9B8C" w:rsidR="00C81C03" w:rsidRPr="00C81C03" w:rsidRDefault="00CF18B4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Pixel Spacing [0.78x</w:t>
            </w:r>
            <w:r w:rsidR="00C81C03"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0.78]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1160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58A2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500A5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597E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D5F2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37977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AEEF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E576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A327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0ED5A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</w:tr>
      <w:tr w:rsidR="00C81C03" w:rsidRPr="00C81C03" w14:paraId="06158585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D6FA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only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EE4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72EF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23C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354E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D643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BBE0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842D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794E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7FB2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D21E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8</w:t>
            </w:r>
          </w:p>
        </w:tc>
      </w:tr>
      <w:tr w:rsidR="00C81C03" w:rsidRPr="00C81C03" w14:paraId="11F08C10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FF0C6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before and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48AE9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E237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15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331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22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4F4C3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EBCE6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9826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6C66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BDD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26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4862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8D5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23</w:t>
            </w:r>
          </w:p>
        </w:tc>
      </w:tr>
      <w:tr w:rsidR="00C81C03" w:rsidRPr="00C81C03" w14:paraId="15951F29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034D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only before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D715F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31F8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12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6BF6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A81D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5420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2795B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6731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542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66D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5E81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4</w:t>
            </w:r>
          </w:p>
        </w:tc>
      </w:tr>
      <w:tr w:rsidR="00C81C03" w:rsidRPr="00C81C03" w14:paraId="33DB4D7A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1DD9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Overall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B8E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96.3%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D3D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66.7%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5326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111.1%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2A382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29.6%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8FBD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55.6%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1383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122.2%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357DE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133.3%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99DE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133.3%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B8A9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129.6%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EB29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114.8%</w:t>
            </w:r>
          </w:p>
        </w:tc>
      </w:tr>
      <w:tr w:rsidR="00C81C03" w:rsidRPr="00C81C03" w14:paraId="042061C1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80307" w14:textId="3B8F4ABC" w:rsidR="00C81C03" w:rsidRPr="00C81C03" w:rsidRDefault="00CF18B4" w:rsidP="00CF18B4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Pixel Spacing [0.88x</w:t>
            </w:r>
            <w:r w:rsidR="00C81C03"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0.88]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92F36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F447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BEA1C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155C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198E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19BB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D6CD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5556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7612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E625D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</w:tr>
      <w:tr w:rsidR="00C81C03" w:rsidRPr="00C81C03" w14:paraId="0AF87B1D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2E607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only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F8E3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058A9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FC1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52779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8160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14EC0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6F78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302B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B9C96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324D3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7</w:t>
            </w:r>
          </w:p>
        </w:tc>
      </w:tr>
      <w:tr w:rsidR="00C81C03" w:rsidRPr="00C81C03" w14:paraId="0EE3F1D6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7AD72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before and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5EB2B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BB17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14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65D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23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5540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34CE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B6F3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9717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33010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26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7880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CFC1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24</w:t>
            </w:r>
          </w:p>
        </w:tc>
      </w:tr>
      <w:tr w:rsidR="00C81C03" w:rsidRPr="00C81C03" w14:paraId="7B19A989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16699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only before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DCD6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F51B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13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CDED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AAA7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3B34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209EE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C67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12590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ABB7D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6A6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3</w:t>
            </w:r>
          </w:p>
        </w:tc>
      </w:tr>
      <w:tr w:rsidR="00C81C03" w:rsidRPr="00C81C03" w14:paraId="746D5C7F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9EEEC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Overall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9AD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122.2%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4126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63.0%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2F3A1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103.7%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24C7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33.3%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D676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55.6%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438F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122.2%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A4D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137.0%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529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133.3%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DC9F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137.0%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185F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114.8%</w:t>
            </w:r>
          </w:p>
        </w:tc>
      </w:tr>
      <w:tr w:rsidR="00C81C03" w:rsidRPr="00C81C03" w14:paraId="2AAAC168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7970" w14:textId="52903D6E" w:rsidR="00C81C03" w:rsidRPr="00C81C03" w:rsidRDefault="00C81C03" w:rsidP="00CF18B4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Pixel Spacing [0.98</w:t>
            </w:r>
            <w:r w:rsidR="00CF18B4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x</w:t>
            </w: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0.98]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97690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209F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E30FB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E703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046E1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BED71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01BC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6288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D086D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EB61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nl-NL"/>
              </w:rPr>
            </w:pPr>
          </w:p>
        </w:tc>
      </w:tr>
      <w:tr w:rsidR="00C81C03" w:rsidRPr="00C81C03" w14:paraId="4C54A7A3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A6C19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only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1F990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FD42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11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3AB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14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7F75D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7AD0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30BE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9ED2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CC829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BFFD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0063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12</w:t>
            </w:r>
          </w:p>
        </w:tc>
      </w:tr>
      <w:tr w:rsidR="00C81C03" w:rsidRPr="00C81C03" w14:paraId="1B49917A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F19A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lastRenderedPageBreak/>
              <w:t>CCC&gt;0.9 before and after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958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7486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21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04A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27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81E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C288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14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68AB0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34D0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6C71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27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30AA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C68B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27</w:t>
            </w:r>
          </w:p>
        </w:tc>
      </w:tr>
      <w:tr w:rsidR="00C81C03" w:rsidRPr="00C81C03" w14:paraId="5042AF16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AAAB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Cs/>
                <w:color w:val="000000"/>
                <w:sz w:val="18"/>
                <w:szCs w:val="18"/>
                <w:lang w:eastAsia="nl-NL"/>
              </w:rPr>
              <w:t>CCC&gt;0.9 only before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488B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086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9C99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0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833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4CC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13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EF57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CB6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E0E1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C7C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949A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nl-NL"/>
              </w:rPr>
              <w:t>0</w:t>
            </w:r>
          </w:p>
        </w:tc>
      </w:tr>
      <w:tr w:rsidR="00C81C03" w:rsidRPr="00C81C03" w14:paraId="6E79E837" w14:textId="77777777" w:rsidTr="00A51F88">
        <w:trPr>
          <w:trHeight w:val="290"/>
        </w:trPr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3C259" w14:textId="77777777" w:rsidR="00C81C03" w:rsidRPr="00C81C03" w:rsidRDefault="00C81C03" w:rsidP="008D63CD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Overall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3A4A1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137.0%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F753B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118.5%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10984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151.9%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6BF75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44.4%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BBDB0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77.8%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8ECD2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140.7%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1ECB7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140.7%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2D356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140.7%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2868C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140.7%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08FD0" w14:textId="77777777" w:rsidR="00C81C03" w:rsidRPr="00C81C03" w:rsidRDefault="00C81C03" w:rsidP="008D63CD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C81C0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nl-NL"/>
              </w:rPr>
              <w:t>144.4%</w:t>
            </w:r>
          </w:p>
        </w:tc>
      </w:tr>
      <w:tr w:rsidR="00C81C03" w:rsidRPr="00BD1531" w14:paraId="1126A18F" w14:textId="77777777" w:rsidTr="00A51F88">
        <w:trPr>
          <w:trHeight w:val="290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noWrap/>
            <w:vAlign w:val="bottom"/>
          </w:tcPr>
          <w:p w14:paraId="55CE7506" w14:textId="77777777" w:rsidR="00C81C03" w:rsidRPr="008D63CD" w:rsidRDefault="00C81C03" w:rsidP="00C81C03">
            <w:pPr>
              <w:rPr>
                <w:rFonts w:ascii="Palatino Linotype" w:hAnsi="Palatino Linotype" w:cs="Calibri"/>
                <w:bCs/>
                <w:color w:val="000000"/>
                <w:sz w:val="18"/>
                <w:szCs w:val="18"/>
                <w:lang w:val="en-US"/>
              </w:rPr>
            </w:pPr>
            <w:r w:rsidRPr="008D63CD">
              <w:rPr>
                <w:rFonts w:ascii="Palatino Linotype" w:hAnsi="Palatino Linotype" w:cs="Calibri"/>
                <w:bCs/>
                <w:color w:val="000000"/>
                <w:sz w:val="18"/>
                <w:szCs w:val="18"/>
                <w:lang w:val="en-US"/>
              </w:rPr>
              <w:t>* The NUIR value</w:t>
            </w:r>
          </w:p>
          <w:p w14:paraId="6C6C4882" w14:textId="77777777" w:rsidR="00C81C03" w:rsidRPr="00C81C03" w:rsidRDefault="00C81C03" w:rsidP="00C81C03">
            <w:pPr>
              <w:spacing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en-US" w:eastAsia="nl-NL"/>
              </w:rPr>
            </w:pPr>
            <w:r w:rsidRPr="00C81C03">
              <w:rPr>
                <w:rFonts w:ascii="Palatino Linotype" w:hAnsi="Palatino Linotype" w:cs="Calibri"/>
                <w:bCs/>
                <w:color w:val="000000"/>
                <w:sz w:val="18"/>
                <w:szCs w:val="18"/>
                <w:lang w:val="en-US"/>
              </w:rPr>
              <w:t>** Overall is calculated by dividing the number of features concordant after resampling divided by the number of concordant features before resampling.</w:t>
            </w:r>
          </w:p>
        </w:tc>
      </w:tr>
    </w:tbl>
    <w:p w14:paraId="1210A805" w14:textId="77777777" w:rsidR="008D63CD" w:rsidRDefault="008D63CD">
      <w:pPr>
        <w:rPr>
          <w:lang w:val="en-GB"/>
        </w:rPr>
      </w:pPr>
    </w:p>
    <w:p w14:paraId="240A7CB8" w14:textId="77777777" w:rsidR="008D63CD" w:rsidRPr="008D63CD" w:rsidRDefault="008D63CD" w:rsidP="008D63CD">
      <w:pPr>
        <w:rPr>
          <w:lang w:val="en-GB"/>
        </w:rPr>
      </w:pPr>
    </w:p>
    <w:p w14:paraId="594E1FF1" w14:textId="77777777" w:rsidR="00F21DBC" w:rsidRDefault="008D63CD" w:rsidP="008D63CD">
      <w:p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r w:rsidRPr="008D63CD">
        <w:rPr>
          <w:rFonts w:ascii="Palatino Linotype" w:hAnsi="Palatino Linotype" w:cs="Calibri"/>
          <w:b/>
          <w:bCs/>
          <w:color w:val="000000"/>
          <w:sz w:val="18"/>
          <w:szCs w:val="18"/>
          <w:lang w:val="en-US"/>
        </w:rPr>
        <w:t>List S1:</w:t>
      </w:r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 xml:space="preserve"> HRFs with CCC&gt;0.9 across all pairs on Discovery STE model.</w:t>
      </w:r>
    </w:p>
    <w:p w14:paraId="252C3BAA" w14:textId="77777777" w:rsidR="008D63CD" w:rsidRDefault="008D63CD" w:rsidP="008D63CD">
      <w:p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</w:p>
    <w:p w14:paraId="2CF9BDCE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original_firstorder_90Percentile</w:t>
      </w:r>
    </w:p>
    <w:p w14:paraId="03F34189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original_firstorder_Entropy</w:t>
      </w:r>
      <w:proofErr w:type="spellEnd"/>
    </w:p>
    <w:p w14:paraId="2625D301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original_firstorder_Maximum</w:t>
      </w:r>
      <w:proofErr w:type="spellEnd"/>
    </w:p>
    <w:p w14:paraId="141C839D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original_firstorder_Mean</w:t>
      </w:r>
      <w:proofErr w:type="spellEnd"/>
    </w:p>
    <w:p w14:paraId="24F1E4FF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original_firstorder_Median</w:t>
      </w:r>
      <w:proofErr w:type="spellEnd"/>
    </w:p>
    <w:p w14:paraId="6EEABEA2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original_firstorder_Minimum</w:t>
      </w:r>
      <w:proofErr w:type="spellEnd"/>
    </w:p>
    <w:p w14:paraId="3EA04F4D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original_firstorder_Range</w:t>
      </w:r>
      <w:proofErr w:type="spellEnd"/>
    </w:p>
    <w:p w14:paraId="270F1FF4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original_firstorder_RootMeanSquared</w:t>
      </w:r>
      <w:proofErr w:type="spellEnd"/>
    </w:p>
    <w:p w14:paraId="0A49AB76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original_firstorder_TotalEnergy</w:t>
      </w:r>
      <w:proofErr w:type="spellEnd"/>
    </w:p>
    <w:p w14:paraId="47437CD9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original_firstorder_Uniformity</w:t>
      </w:r>
      <w:proofErr w:type="spellEnd"/>
    </w:p>
    <w:p w14:paraId="03196667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original_glcm_Autocorrelation</w:t>
      </w:r>
      <w:proofErr w:type="spellEnd"/>
    </w:p>
    <w:p w14:paraId="007A4188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original_glcm_DifferenceEntropy</w:t>
      </w:r>
      <w:proofErr w:type="spellEnd"/>
    </w:p>
    <w:p w14:paraId="6D30B627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original_glcm_Id</w:t>
      </w:r>
      <w:proofErr w:type="spellEnd"/>
    </w:p>
    <w:p w14:paraId="00C8EC67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original_glcm_Idm</w:t>
      </w:r>
      <w:proofErr w:type="spellEnd"/>
    </w:p>
    <w:p w14:paraId="3721E3FD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original_glcm_JointAverage</w:t>
      </w:r>
      <w:proofErr w:type="spellEnd"/>
    </w:p>
    <w:p w14:paraId="2A344012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original_glcm_JointEnergy</w:t>
      </w:r>
      <w:proofErr w:type="spellEnd"/>
    </w:p>
    <w:p w14:paraId="318ACBB4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original_glcm_JointEntropy</w:t>
      </w:r>
      <w:proofErr w:type="spellEnd"/>
    </w:p>
    <w:p w14:paraId="34B59813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original_glcm_MaximumProbability</w:t>
      </w:r>
      <w:proofErr w:type="spellEnd"/>
    </w:p>
    <w:p w14:paraId="3597E905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original_gldm_HighGrayLevelEmphasis</w:t>
      </w:r>
      <w:proofErr w:type="spellEnd"/>
    </w:p>
    <w:p w14:paraId="1FD32FAC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original_gldm_LargeDependenceEmphasis</w:t>
      </w:r>
      <w:proofErr w:type="spellEnd"/>
    </w:p>
    <w:p w14:paraId="03D89E92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original_gldm_LargeDependenceLowGrayLevelEmphasis</w:t>
      </w:r>
      <w:proofErr w:type="spellEnd"/>
    </w:p>
    <w:p w14:paraId="28480CA6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original_gldm_LowGrayLevelEmphasis</w:t>
      </w:r>
      <w:proofErr w:type="spellEnd"/>
    </w:p>
    <w:p w14:paraId="6F1A0C53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original_gldm_SmallDependenceEmphasis</w:t>
      </w:r>
      <w:proofErr w:type="spellEnd"/>
    </w:p>
    <w:p w14:paraId="5557CC0E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original_gldm_SmallDependenceHighGrayLevelEmphasis</w:t>
      </w:r>
      <w:proofErr w:type="spellEnd"/>
    </w:p>
    <w:p w14:paraId="243C1153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original_glrlm_GrayLevelNonUniformityNormalized</w:t>
      </w:r>
      <w:proofErr w:type="spellEnd"/>
    </w:p>
    <w:p w14:paraId="2F7167A2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original_glrlm_HighGrayLevelRunEmphasis</w:t>
      </w:r>
      <w:proofErr w:type="spellEnd"/>
    </w:p>
    <w:p w14:paraId="2CA17A75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original_glrlm_RunLengthNonUniformityNormalized</w:t>
      </w:r>
      <w:proofErr w:type="spellEnd"/>
    </w:p>
    <w:p w14:paraId="49E3B4B8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original_glrlm_RunPercentage</w:t>
      </w:r>
      <w:proofErr w:type="spellEnd"/>
    </w:p>
    <w:p w14:paraId="3F98C4FF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original_glrlm_ShortRunEmphasis</w:t>
      </w:r>
      <w:proofErr w:type="spellEnd"/>
    </w:p>
    <w:p w14:paraId="62CA2F6B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original_glrlm_ShortRunHighGrayLevelEmphasis</w:t>
      </w:r>
      <w:proofErr w:type="spellEnd"/>
    </w:p>
    <w:p w14:paraId="018A1256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original_glszm_GrayLevelNonUniformityNormalized</w:t>
      </w:r>
      <w:proofErr w:type="spellEnd"/>
    </w:p>
    <w:p w14:paraId="28EE2763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original_glszm_GrayLevelVariance</w:t>
      </w:r>
      <w:proofErr w:type="spellEnd"/>
    </w:p>
    <w:p w14:paraId="5369D902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original_glszm_HighGrayLevelZoneEmphasis</w:t>
      </w:r>
      <w:proofErr w:type="spellEnd"/>
    </w:p>
    <w:p w14:paraId="1EB6F11E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original_glszm_SmallAreaHighGrayLevelEmphasis</w:t>
      </w:r>
      <w:proofErr w:type="spellEnd"/>
    </w:p>
    <w:p w14:paraId="6B4CBD59" w14:textId="77777777" w:rsidR="008D63CD" w:rsidRP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original_glszm_ZonePercentage</w:t>
      </w:r>
      <w:proofErr w:type="spellEnd"/>
    </w:p>
    <w:p w14:paraId="7A08FB09" w14:textId="77777777" w:rsidR="008D63CD" w:rsidRDefault="008D63CD" w:rsidP="008D63CD">
      <w:pPr>
        <w:pStyle w:val="ListParagraph"/>
        <w:numPr>
          <w:ilvl w:val="0"/>
          <w:numId w:val="1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original_ngtdm_Complexity</w:t>
      </w:r>
      <w:proofErr w:type="spellEnd"/>
    </w:p>
    <w:p w14:paraId="56BABF58" w14:textId="554B8216" w:rsidR="00A51F88" w:rsidRDefault="00A51F88">
      <w:pPr>
        <w:rPr>
          <w:rFonts w:ascii="Palatino Linotype" w:hAnsi="Palatino Linotype" w:cs="Calibri"/>
          <w:b/>
          <w:bCs/>
          <w:color w:val="000000"/>
          <w:sz w:val="18"/>
          <w:szCs w:val="18"/>
          <w:lang w:val="en-US"/>
        </w:rPr>
      </w:pPr>
      <w:r>
        <w:rPr>
          <w:rFonts w:ascii="Palatino Linotype" w:hAnsi="Palatino Linotype" w:cs="Calibri"/>
          <w:b/>
          <w:bCs/>
          <w:color w:val="000000"/>
          <w:sz w:val="18"/>
          <w:szCs w:val="18"/>
          <w:lang w:val="en-US"/>
        </w:rPr>
        <w:br w:type="page"/>
      </w:r>
    </w:p>
    <w:p w14:paraId="474662F2" w14:textId="7AFCFE75" w:rsidR="008D63CD" w:rsidRPr="008D63CD" w:rsidRDefault="008D63CD" w:rsidP="008D63CD">
      <w:p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r>
        <w:rPr>
          <w:rFonts w:ascii="Palatino Linotype" w:hAnsi="Palatino Linotype" w:cs="Calibri"/>
          <w:b/>
          <w:bCs/>
          <w:color w:val="000000"/>
          <w:sz w:val="18"/>
          <w:szCs w:val="18"/>
          <w:lang w:val="en-US"/>
        </w:rPr>
        <w:lastRenderedPageBreak/>
        <w:t>List S2</w:t>
      </w:r>
      <w:r w:rsidRPr="008D63CD">
        <w:rPr>
          <w:rFonts w:ascii="Palatino Linotype" w:hAnsi="Palatino Linotype" w:cs="Calibri"/>
          <w:b/>
          <w:bCs/>
          <w:color w:val="000000"/>
          <w:sz w:val="18"/>
          <w:szCs w:val="18"/>
          <w:lang w:val="en-US"/>
        </w:rPr>
        <w:t>:</w:t>
      </w:r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 xml:space="preserve"> HRFs with CCC&gt;0.9 across all pairs on </w:t>
      </w:r>
      <w:proofErr w:type="spellStart"/>
      <w: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LighSpeed</w:t>
      </w:r>
      <w:proofErr w:type="spellEnd"/>
      <w: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 xml:space="preserve"> Pro 32</w:t>
      </w:r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 xml:space="preserve"> model.</w:t>
      </w:r>
    </w:p>
    <w:p w14:paraId="51FD4C80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bookmarkStart w:id="1" w:name="_GoBack"/>
      <w:bookmarkEnd w:id="1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original_firstorder_90Percentile</w:t>
      </w:r>
    </w:p>
    <w:p w14:paraId="7D6C9C18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original_firstorder_Entropy</w:t>
      </w:r>
      <w:proofErr w:type="spellEnd"/>
    </w:p>
    <w:p w14:paraId="4AAD3D81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original_firstorder_Maximum</w:t>
      </w:r>
      <w:proofErr w:type="spellEnd"/>
    </w:p>
    <w:p w14:paraId="731D5035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original_firstorder_Mean</w:t>
      </w:r>
      <w:proofErr w:type="spellEnd"/>
    </w:p>
    <w:p w14:paraId="469AF2FF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original_firstorder_Median</w:t>
      </w:r>
      <w:proofErr w:type="spellEnd"/>
    </w:p>
    <w:p w14:paraId="4168F049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original_firstorder_Minimum</w:t>
      </w:r>
      <w:proofErr w:type="spellEnd"/>
    </w:p>
    <w:p w14:paraId="71D6FD94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original_firstorder_Range</w:t>
      </w:r>
      <w:proofErr w:type="spellEnd"/>
    </w:p>
    <w:p w14:paraId="5FCB0788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original_firstorder_RootMeanSquared</w:t>
      </w:r>
      <w:proofErr w:type="spellEnd"/>
    </w:p>
    <w:p w14:paraId="0AECD47C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original_firstorder_TotalEnergy</w:t>
      </w:r>
      <w:proofErr w:type="spellEnd"/>
    </w:p>
    <w:p w14:paraId="3AA057FD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original_firstorder_Uniformity</w:t>
      </w:r>
      <w:proofErr w:type="spellEnd"/>
    </w:p>
    <w:p w14:paraId="345C4E91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original_glcm_Autocorrelation</w:t>
      </w:r>
      <w:proofErr w:type="spellEnd"/>
    </w:p>
    <w:p w14:paraId="543ED95B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original_glcm_ClusterProminence</w:t>
      </w:r>
      <w:proofErr w:type="spellEnd"/>
    </w:p>
    <w:p w14:paraId="0A25593F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original_glcm_DifferenceEntropy</w:t>
      </w:r>
      <w:proofErr w:type="spellEnd"/>
    </w:p>
    <w:p w14:paraId="55DD698D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original_glcm_Id</w:t>
      </w:r>
      <w:proofErr w:type="spellEnd"/>
    </w:p>
    <w:p w14:paraId="2A2731BF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original_glcm_Idm</w:t>
      </w:r>
      <w:proofErr w:type="spellEnd"/>
    </w:p>
    <w:p w14:paraId="3CAC38F7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original_glcm_JointEntropy</w:t>
      </w:r>
      <w:proofErr w:type="spellEnd"/>
    </w:p>
    <w:p w14:paraId="361227A2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original_glcm_MaximumProbability</w:t>
      </w:r>
      <w:proofErr w:type="spellEnd"/>
    </w:p>
    <w:p w14:paraId="71874BC3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original_gldm_HighGrayLevelEmphasis</w:t>
      </w:r>
      <w:proofErr w:type="spellEnd"/>
    </w:p>
    <w:p w14:paraId="6E7276D7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original_gldm_LargeDependenceEmphasis</w:t>
      </w:r>
      <w:proofErr w:type="spellEnd"/>
    </w:p>
    <w:p w14:paraId="384611D0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original_glrlm_HighGrayLevelRunEmphasis</w:t>
      </w:r>
      <w:proofErr w:type="spellEnd"/>
    </w:p>
    <w:p w14:paraId="73262E34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original_glrlm_RunLengthNonUniformityNormalized</w:t>
      </w:r>
      <w:proofErr w:type="spellEnd"/>
    </w:p>
    <w:p w14:paraId="1AC77256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original_glrlm_RunPercentage</w:t>
      </w:r>
      <w:proofErr w:type="spellEnd"/>
    </w:p>
    <w:p w14:paraId="707A0104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original_glrlm_ShortRunEmphasis</w:t>
      </w:r>
      <w:proofErr w:type="spellEnd"/>
    </w:p>
    <w:p w14:paraId="1385E400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original_glrlm_ShortRunHighGrayLevelEmphasis</w:t>
      </w:r>
      <w:proofErr w:type="spellEnd"/>
    </w:p>
    <w:p w14:paraId="12889D0F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original_glszm_GrayLevelVariance</w:t>
      </w:r>
      <w:proofErr w:type="spellEnd"/>
    </w:p>
    <w:p w14:paraId="1DFDFFC0" w14:textId="77777777" w:rsidR="008D63CD" w:rsidRP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original_glszm_HighGrayLevelZoneEmphasis</w:t>
      </w:r>
      <w:proofErr w:type="spellEnd"/>
    </w:p>
    <w:p w14:paraId="34491E2D" w14:textId="77777777" w:rsidR="008D63CD" w:rsidRDefault="008D63CD" w:rsidP="008D63CD">
      <w:pPr>
        <w:pStyle w:val="ListParagraph"/>
        <w:numPr>
          <w:ilvl w:val="0"/>
          <w:numId w:val="2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original_glszm_SmallAreaHighGrayLevelEmphasis</w:t>
      </w:r>
      <w:proofErr w:type="spellEnd"/>
    </w:p>
    <w:p w14:paraId="78EE0D3A" w14:textId="77777777" w:rsidR="00A51F88" w:rsidRDefault="00A51F88" w:rsidP="008D63CD">
      <w:pPr>
        <w:rPr>
          <w:rFonts w:ascii="Palatino Linotype" w:hAnsi="Palatino Linotype" w:cs="Calibri"/>
          <w:b/>
          <w:bCs/>
          <w:color w:val="000000"/>
          <w:sz w:val="18"/>
          <w:szCs w:val="18"/>
          <w:lang w:val="en-US"/>
        </w:rPr>
      </w:pPr>
    </w:p>
    <w:p w14:paraId="417F4992" w14:textId="0CF0475A" w:rsidR="008D63CD" w:rsidRDefault="008D63CD" w:rsidP="008D63CD">
      <w:p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r>
        <w:rPr>
          <w:rFonts w:ascii="Palatino Linotype" w:hAnsi="Palatino Linotype" w:cs="Calibri"/>
          <w:b/>
          <w:bCs/>
          <w:color w:val="000000"/>
          <w:sz w:val="18"/>
          <w:szCs w:val="18"/>
          <w:lang w:val="en-US"/>
        </w:rPr>
        <w:t>List S3</w:t>
      </w:r>
      <w:r w:rsidRPr="008D63CD">
        <w:rPr>
          <w:rFonts w:ascii="Palatino Linotype" w:hAnsi="Palatino Linotype" w:cs="Calibri"/>
          <w:b/>
          <w:bCs/>
          <w:color w:val="000000"/>
          <w:sz w:val="18"/>
          <w:szCs w:val="18"/>
          <w:lang w:val="en-US"/>
        </w:rPr>
        <w:t>:</w:t>
      </w:r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 xml:space="preserve"> </w:t>
      </w:r>
      <w: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 xml:space="preserve">Non-highly correlated </w:t>
      </w:r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 xml:space="preserve">HRFs with CCC&gt;0.9 across all pairs on </w:t>
      </w:r>
      <w: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Discovery STE</w:t>
      </w:r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 xml:space="preserve"> model.</w:t>
      </w:r>
    </w:p>
    <w:p w14:paraId="7AF86F83" w14:textId="77777777" w:rsidR="008D63CD" w:rsidRPr="008D63CD" w:rsidRDefault="008D63CD" w:rsidP="008D63CD">
      <w:pPr>
        <w:pStyle w:val="ListParagraph"/>
        <w:numPr>
          <w:ilvl w:val="0"/>
          <w:numId w:val="4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original_firstorder_Maximum</w:t>
      </w:r>
      <w:proofErr w:type="spellEnd"/>
    </w:p>
    <w:p w14:paraId="27DAE429" w14:textId="77777777" w:rsidR="008D63CD" w:rsidRPr="008D63CD" w:rsidRDefault="008D63CD" w:rsidP="008D63CD">
      <w:pPr>
        <w:pStyle w:val="ListParagraph"/>
        <w:numPr>
          <w:ilvl w:val="0"/>
          <w:numId w:val="4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original_firstorder_Median</w:t>
      </w:r>
      <w:proofErr w:type="spellEnd"/>
    </w:p>
    <w:p w14:paraId="136FBE35" w14:textId="77777777" w:rsidR="008D63CD" w:rsidRPr="008D63CD" w:rsidRDefault="008D63CD" w:rsidP="008D63CD">
      <w:pPr>
        <w:pStyle w:val="ListParagraph"/>
        <w:numPr>
          <w:ilvl w:val="0"/>
          <w:numId w:val="4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original_firstorder_Minimum</w:t>
      </w:r>
      <w:proofErr w:type="spellEnd"/>
    </w:p>
    <w:p w14:paraId="40E0AB67" w14:textId="77777777" w:rsidR="008D63CD" w:rsidRPr="008D63CD" w:rsidRDefault="008D63CD" w:rsidP="008D63CD">
      <w:pPr>
        <w:pStyle w:val="ListParagraph"/>
        <w:numPr>
          <w:ilvl w:val="0"/>
          <w:numId w:val="4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original_firstorder_Range</w:t>
      </w:r>
      <w:proofErr w:type="spellEnd"/>
    </w:p>
    <w:p w14:paraId="061C7872" w14:textId="77777777" w:rsidR="008D63CD" w:rsidRPr="008D63CD" w:rsidRDefault="008D63CD" w:rsidP="008D63CD">
      <w:pPr>
        <w:pStyle w:val="ListParagraph"/>
        <w:numPr>
          <w:ilvl w:val="0"/>
          <w:numId w:val="4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original_glcm_MaximumProbability</w:t>
      </w:r>
      <w:proofErr w:type="spellEnd"/>
    </w:p>
    <w:p w14:paraId="0D4561B8" w14:textId="77777777" w:rsidR="008D63CD" w:rsidRPr="008D63CD" w:rsidRDefault="008D63CD" w:rsidP="008D63CD">
      <w:pPr>
        <w:pStyle w:val="ListParagraph"/>
        <w:numPr>
          <w:ilvl w:val="0"/>
          <w:numId w:val="4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original_gldm_LowGrayLevelEmphasis</w:t>
      </w:r>
      <w:proofErr w:type="spellEnd"/>
    </w:p>
    <w:p w14:paraId="39C27B14" w14:textId="77777777" w:rsidR="008D63CD" w:rsidRPr="008D63CD" w:rsidRDefault="008D63CD" w:rsidP="008D63CD">
      <w:pPr>
        <w:pStyle w:val="ListParagraph"/>
        <w:numPr>
          <w:ilvl w:val="0"/>
          <w:numId w:val="4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original_glrlm_GrayLevelNonUniformityNormalized</w:t>
      </w:r>
      <w:proofErr w:type="spellEnd"/>
    </w:p>
    <w:p w14:paraId="74F880AF" w14:textId="77777777" w:rsidR="008D63CD" w:rsidRPr="008D63CD" w:rsidRDefault="008D63CD" w:rsidP="008D63CD">
      <w:pPr>
        <w:pStyle w:val="ListParagraph"/>
        <w:numPr>
          <w:ilvl w:val="0"/>
          <w:numId w:val="4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original_glszm_SmallAreaHighGrayLevelEmphasis</w:t>
      </w:r>
      <w:proofErr w:type="spellEnd"/>
    </w:p>
    <w:p w14:paraId="7C6DB248" w14:textId="77777777" w:rsidR="008D63CD" w:rsidRPr="008D63CD" w:rsidRDefault="008D63CD" w:rsidP="008D63CD">
      <w:pPr>
        <w:pStyle w:val="ListParagraph"/>
        <w:numPr>
          <w:ilvl w:val="0"/>
          <w:numId w:val="4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original_ngtdm_Complexity</w:t>
      </w:r>
      <w:proofErr w:type="spellEnd"/>
    </w:p>
    <w:p w14:paraId="4685CE52" w14:textId="77777777" w:rsidR="00A51F88" w:rsidRDefault="00A51F88" w:rsidP="008D63CD">
      <w:pPr>
        <w:rPr>
          <w:rFonts w:ascii="Palatino Linotype" w:hAnsi="Palatino Linotype" w:cs="Calibri"/>
          <w:b/>
          <w:bCs/>
          <w:color w:val="000000"/>
          <w:sz w:val="18"/>
          <w:szCs w:val="18"/>
          <w:lang w:val="en-US"/>
        </w:rPr>
      </w:pPr>
    </w:p>
    <w:p w14:paraId="751DD7FF" w14:textId="224EDD20" w:rsidR="008D63CD" w:rsidRPr="008D63CD" w:rsidRDefault="008D63CD" w:rsidP="008D63CD">
      <w:p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r>
        <w:rPr>
          <w:rFonts w:ascii="Palatino Linotype" w:hAnsi="Palatino Linotype" w:cs="Calibri"/>
          <w:b/>
          <w:bCs/>
          <w:color w:val="000000"/>
          <w:sz w:val="18"/>
          <w:szCs w:val="18"/>
          <w:lang w:val="en-US"/>
        </w:rPr>
        <w:t>List S4</w:t>
      </w:r>
      <w:r w:rsidRPr="008D63CD">
        <w:rPr>
          <w:rFonts w:ascii="Palatino Linotype" w:hAnsi="Palatino Linotype" w:cs="Calibri"/>
          <w:b/>
          <w:bCs/>
          <w:color w:val="000000"/>
          <w:sz w:val="18"/>
          <w:szCs w:val="18"/>
          <w:lang w:val="en-US"/>
        </w:rPr>
        <w:t>:</w:t>
      </w:r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 xml:space="preserve"> Non-highly correlated HRFs with CCC&gt;0.9 across all pairs on </w:t>
      </w: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LighSpeed</w:t>
      </w:r>
      <w:proofErr w:type="spellEnd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 xml:space="preserve"> Pro 32 model.</w:t>
      </w:r>
    </w:p>
    <w:p w14:paraId="7AC6A481" w14:textId="77777777" w:rsidR="008D63CD" w:rsidRPr="008D63CD" w:rsidRDefault="008D63CD" w:rsidP="008D63CD">
      <w:pPr>
        <w:pStyle w:val="ListParagraph"/>
        <w:numPr>
          <w:ilvl w:val="0"/>
          <w:numId w:val="3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original_firstorder_90Percentile</w:t>
      </w:r>
    </w:p>
    <w:p w14:paraId="31A1DAE8" w14:textId="77777777" w:rsidR="008D63CD" w:rsidRPr="008D63CD" w:rsidRDefault="008D63CD" w:rsidP="008D63CD">
      <w:pPr>
        <w:pStyle w:val="ListParagraph"/>
        <w:numPr>
          <w:ilvl w:val="0"/>
          <w:numId w:val="3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original_firstorder_Maximum</w:t>
      </w:r>
      <w:proofErr w:type="spellEnd"/>
    </w:p>
    <w:p w14:paraId="2957BB71" w14:textId="77777777" w:rsidR="008D63CD" w:rsidRPr="008D63CD" w:rsidRDefault="008D63CD" w:rsidP="008D63CD">
      <w:pPr>
        <w:pStyle w:val="ListParagraph"/>
        <w:numPr>
          <w:ilvl w:val="0"/>
          <w:numId w:val="3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original_firstorder_Minimum</w:t>
      </w:r>
      <w:proofErr w:type="spellEnd"/>
    </w:p>
    <w:p w14:paraId="25BEAAA1" w14:textId="77777777" w:rsidR="008D63CD" w:rsidRPr="008D63CD" w:rsidRDefault="008D63CD" w:rsidP="008D63CD">
      <w:pPr>
        <w:pStyle w:val="ListParagraph"/>
        <w:numPr>
          <w:ilvl w:val="0"/>
          <w:numId w:val="3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original_firstorder_Range</w:t>
      </w:r>
      <w:proofErr w:type="spellEnd"/>
    </w:p>
    <w:p w14:paraId="1EA4AE65" w14:textId="77777777" w:rsidR="008D63CD" w:rsidRPr="008D63CD" w:rsidRDefault="008D63CD" w:rsidP="008D63CD">
      <w:pPr>
        <w:pStyle w:val="ListParagraph"/>
        <w:numPr>
          <w:ilvl w:val="0"/>
          <w:numId w:val="3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original_firstorder_Uniformity</w:t>
      </w:r>
      <w:proofErr w:type="spellEnd"/>
    </w:p>
    <w:p w14:paraId="2EC30C3E" w14:textId="77777777" w:rsidR="008D63CD" w:rsidRPr="008D63CD" w:rsidRDefault="008D63CD" w:rsidP="008D63CD">
      <w:pPr>
        <w:pStyle w:val="ListParagraph"/>
        <w:numPr>
          <w:ilvl w:val="0"/>
          <w:numId w:val="3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original_glcm_Autocorrelation</w:t>
      </w:r>
      <w:proofErr w:type="spellEnd"/>
    </w:p>
    <w:p w14:paraId="0BB97F2B" w14:textId="77777777" w:rsidR="008D63CD" w:rsidRPr="008D63CD" w:rsidRDefault="008D63CD" w:rsidP="008D63CD">
      <w:pPr>
        <w:pStyle w:val="ListParagraph"/>
        <w:numPr>
          <w:ilvl w:val="0"/>
          <w:numId w:val="3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original_glcm_ClusterProminence</w:t>
      </w:r>
      <w:proofErr w:type="spellEnd"/>
    </w:p>
    <w:p w14:paraId="66504386" w14:textId="77777777" w:rsidR="008D63CD" w:rsidRPr="008D63CD" w:rsidRDefault="008D63CD" w:rsidP="008D63CD">
      <w:pPr>
        <w:pStyle w:val="ListParagraph"/>
        <w:numPr>
          <w:ilvl w:val="0"/>
          <w:numId w:val="3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original_gldm_LargeDependenceEmphasis</w:t>
      </w:r>
      <w:proofErr w:type="spellEnd"/>
    </w:p>
    <w:p w14:paraId="303B60A5" w14:textId="77777777" w:rsidR="008D63CD" w:rsidRPr="008D63CD" w:rsidRDefault="008D63CD" w:rsidP="008D63CD">
      <w:pPr>
        <w:pStyle w:val="ListParagraph"/>
        <w:numPr>
          <w:ilvl w:val="0"/>
          <w:numId w:val="3"/>
        </w:numPr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</w:pPr>
      <w:proofErr w:type="spellStart"/>
      <w:r w:rsidRPr="008D63CD">
        <w:rPr>
          <w:rFonts w:ascii="Palatino Linotype" w:hAnsi="Palatino Linotype" w:cs="Calibri"/>
          <w:bCs/>
          <w:color w:val="000000"/>
          <w:sz w:val="18"/>
          <w:szCs w:val="18"/>
          <w:lang w:val="en-US"/>
        </w:rPr>
        <w:t>original_glszm_SmallAreaHighGrayLevelEmphasis</w:t>
      </w:r>
      <w:proofErr w:type="spellEnd"/>
    </w:p>
    <w:sectPr w:rsidR="008D63CD" w:rsidRPr="008D6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B36870"/>
    <w:multiLevelType w:val="hybridMultilevel"/>
    <w:tmpl w:val="A510F3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74B07"/>
    <w:multiLevelType w:val="hybridMultilevel"/>
    <w:tmpl w:val="388EFD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15562"/>
    <w:multiLevelType w:val="hybridMultilevel"/>
    <w:tmpl w:val="CC462E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E121CA"/>
    <w:multiLevelType w:val="hybridMultilevel"/>
    <w:tmpl w:val="F9A82B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910"/>
    <w:rsid w:val="00315880"/>
    <w:rsid w:val="00367910"/>
    <w:rsid w:val="005B79BC"/>
    <w:rsid w:val="005C5C4B"/>
    <w:rsid w:val="006D3FD4"/>
    <w:rsid w:val="007020EF"/>
    <w:rsid w:val="007D19AF"/>
    <w:rsid w:val="007E5C13"/>
    <w:rsid w:val="008046CE"/>
    <w:rsid w:val="008D3B4F"/>
    <w:rsid w:val="008D63CD"/>
    <w:rsid w:val="008E5D1E"/>
    <w:rsid w:val="00A51F88"/>
    <w:rsid w:val="00BD1531"/>
    <w:rsid w:val="00C81C03"/>
    <w:rsid w:val="00CF18B4"/>
    <w:rsid w:val="00DE7CD9"/>
    <w:rsid w:val="00F2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B2377"/>
  <w15:chartTrackingRefBased/>
  <w15:docId w15:val="{4D26DAFF-BB82-4BB4-AEEB-3F12F40B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C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7910"/>
    <w:pPr>
      <w:spacing w:line="260" w:lineRule="atLeast"/>
      <w:jc w:val="both"/>
    </w:pPr>
    <w:rPr>
      <w:rFonts w:ascii="Palatino Linotype" w:eastAsia="宋体" w:hAnsi="Palatino Linotype" w:cs="Times New Roman"/>
      <w:color w:val="00000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DE7CD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E7C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CD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CD9"/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C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CD9"/>
    <w:rPr>
      <w:rFonts w:ascii="Segoe UI" w:hAnsi="Segoe UI" w:cs="Segoe UI"/>
      <w:sz w:val="18"/>
      <w:szCs w:val="18"/>
    </w:rPr>
  </w:style>
  <w:style w:type="paragraph" w:customStyle="1" w:styleId="MDPI12title">
    <w:name w:val="MDPI_1.2_title"/>
    <w:next w:val="Normal"/>
    <w:qFormat/>
    <w:rsid w:val="006D3FD4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6D3FD4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lang w:val="en-US" w:eastAsia="de-DE" w:bidi="en-US"/>
    </w:rPr>
  </w:style>
  <w:style w:type="paragraph" w:customStyle="1" w:styleId="MDPI16affiliation">
    <w:name w:val="MDPI_1.6_affiliation"/>
    <w:qFormat/>
    <w:rsid w:val="006D3FD4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character" w:styleId="Hyperlink">
    <w:name w:val="Hyperlink"/>
    <w:basedOn w:val="DefaultParagraphFont"/>
    <w:uiPriority w:val="99"/>
    <w:unhideWhenUsed/>
    <w:rsid w:val="008D63C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63CD"/>
    <w:pPr>
      <w:ind w:left="720"/>
      <w:contextualSpacing/>
    </w:pPr>
  </w:style>
  <w:style w:type="table" w:customStyle="1" w:styleId="MDPITable">
    <w:name w:val="MDPI_Table"/>
    <w:basedOn w:val="TableNormal"/>
    <w:uiPriority w:val="99"/>
    <w:rsid w:val="007D19AF"/>
    <w:pPr>
      <w:spacing w:line="240" w:lineRule="auto"/>
    </w:pPr>
    <w:rPr>
      <w:rFonts w:ascii="Palatino Linotype" w:eastAsia="宋体" w:hAnsi="Palatino Linotype" w:cs="Times New Roman"/>
      <w:color w:val="00000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14history">
    <w:name w:val="MDPI_1.4_history"/>
    <w:basedOn w:val="Normal"/>
    <w:next w:val="Normal"/>
    <w:qFormat/>
    <w:rsid w:val="00A51F88"/>
    <w:pPr>
      <w:adjustRightInd w:val="0"/>
      <w:snapToGrid w:val="0"/>
      <w:spacing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val="en-US" w:eastAsia="de-DE" w:bidi="en-US"/>
    </w:rPr>
  </w:style>
  <w:style w:type="paragraph" w:customStyle="1" w:styleId="MDPI61Citation">
    <w:name w:val="MDPI_6.1_Citation"/>
    <w:qFormat/>
    <w:rsid w:val="00A51F88"/>
    <w:pPr>
      <w:adjustRightInd w:val="0"/>
      <w:snapToGrid w:val="0"/>
      <w:spacing w:line="240" w:lineRule="atLeast"/>
      <w:ind w:right="113"/>
    </w:pPr>
    <w:rPr>
      <w:rFonts w:ascii="Palatino Linotype" w:hAnsi="Palatino Linotype"/>
      <w:sz w:val="14"/>
      <w:lang w:val="en-US"/>
    </w:rPr>
  </w:style>
  <w:style w:type="paragraph" w:customStyle="1" w:styleId="MDPI63Notes">
    <w:name w:val="MDPI_6.3_Notes"/>
    <w:qFormat/>
    <w:rsid w:val="00A51F88"/>
    <w:pPr>
      <w:adjustRightInd w:val="0"/>
      <w:snapToGrid w:val="0"/>
      <w:spacing w:after="120" w:line="240" w:lineRule="atLeast"/>
      <w:ind w:right="113"/>
    </w:pPr>
    <w:rPr>
      <w:rFonts w:ascii="Palatino Linotype" w:eastAsia="宋体" w:hAnsi="Palatino Linotype" w:cs="Times New Roman"/>
      <w:snapToGrid w:val="0"/>
      <w:color w:val="000000" w:themeColor="text1"/>
      <w:sz w:val="14"/>
      <w:szCs w:val="20"/>
      <w:lang w:val="en-US" w:bidi="en-US"/>
    </w:rPr>
  </w:style>
  <w:style w:type="character" w:customStyle="1" w:styleId="hgkelc">
    <w:name w:val="hgkelc"/>
    <w:basedOn w:val="DefaultParagraphFont"/>
    <w:rsid w:val="00A51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BDCF8-1F3B-4277-AFD1-6012F285A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1664</Words>
  <Characters>9872</Characters>
  <Application>Microsoft Office Word</Application>
  <DocSecurity>0</DocSecurity>
  <Lines>1217</Lines>
  <Paragraphs>897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Maastricht University</Company>
  <LinksUpToDate>false</LinksUpToDate>
  <CharactersWithSpaces>10640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Ibrahim, Abdalla (HML)</dc:creator>
  <cp:keywords/>
  <dc:description/>
  <cp:lastModifiedBy>MDPI</cp:lastModifiedBy>
  <cp:revision>2</cp:revision>
  <dcterms:created xsi:type="dcterms:W3CDTF">2021-04-11T06:19:00Z</dcterms:created>
  <dcterms:modified xsi:type="dcterms:W3CDTF">2021-04-11T06:19:00Z</dcterms:modified>
</cp:coreProperties>
</file>