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5A382" w14:textId="77777777" w:rsidR="00C57108" w:rsidRPr="00C57108" w:rsidRDefault="00C57108" w:rsidP="00C57108">
      <w:pPr>
        <w:pStyle w:val="MDPI12title"/>
      </w:pPr>
      <w:bookmarkStart w:id="1" w:name="_GoBack"/>
      <w:bookmarkEnd w:id="1"/>
      <w:r w:rsidRPr="004236FE">
        <w:t>Supplemental Materials:</w:t>
      </w:r>
      <w:r w:rsidRPr="004236FE">
        <w:rPr>
          <w:bCs/>
          <w:szCs w:val="36"/>
        </w:rPr>
        <w:t xml:space="preserve"> </w:t>
      </w:r>
      <w:r w:rsidRPr="005C1A1F">
        <w:t xml:space="preserve">Tyrosine Kinase c-MET as Therapeutic Target for </w:t>
      </w:r>
      <w:proofErr w:type="spellStart"/>
      <w:r>
        <w:t>Radiosensitization</w:t>
      </w:r>
      <w:proofErr w:type="spellEnd"/>
      <w:r w:rsidRPr="005C1A1F">
        <w:t xml:space="preserve"> of Head and Neck Squamous </w:t>
      </w:r>
      <w:r w:rsidRPr="00C57108">
        <w:t>Cell Carcinomas</w:t>
      </w:r>
    </w:p>
    <w:p w14:paraId="6D7E59A3" w14:textId="77777777" w:rsidR="00C57108" w:rsidRPr="004236FE" w:rsidRDefault="00C57108" w:rsidP="00C57108">
      <w:pPr>
        <w:pStyle w:val="MDPI13authornames"/>
        <w:rPr>
          <w:szCs w:val="20"/>
        </w:rPr>
      </w:pPr>
      <w:r w:rsidRPr="00C57108">
        <w:t xml:space="preserve">Lina </w:t>
      </w:r>
      <w:proofErr w:type="spellStart"/>
      <w:r w:rsidRPr="00C57108">
        <w:t>Lüttich</w:t>
      </w:r>
      <w:proofErr w:type="spellEnd"/>
      <w:r w:rsidRPr="00C57108">
        <w:t xml:space="preserve">, </w:t>
      </w:r>
      <w:proofErr w:type="spellStart"/>
      <w:r w:rsidRPr="00C57108">
        <w:t>María</w:t>
      </w:r>
      <w:proofErr w:type="spellEnd"/>
      <w:r w:rsidRPr="00C57108">
        <w:t xml:space="preserve"> José </w:t>
      </w:r>
      <w:proofErr w:type="spellStart"/>
      <w:r w:rsidRPr="00C57108">
        <w:t>Besso</w:t>
      </w:r>
      <w:proofErr w:type="spellEnd"/>
      <w:r w:rsidRPr="00C57108">
        <w:t xml:space="preserve">, Stephan </w:t>
      </w:r>
      <w:proofErr w:type="spellStart"/>
      <w:r w:rsidRPr="00C57108">
        <w:t>Heiden</w:t>
      </w:r>
      <w:proofErr w:type="spellEnd"/>
      <w:r w:rsidRPr="00C57108">
        <w:t xml:space="preserve">, Lydia Koi, Michael Baumann, </w:t>
      </w:r>
      <w:proofErr w:type="spellStart"/>
      <w:r w:rsidRPr="00C57108">
        <w:t>Mechthild</w:t>
      </w:r>
      <w:proofErr w:type="spellEnd"/>
      <w:r w:rsidRPr="00C57108">
        <w:t xml:space="preserve"> Krause, Anna </w:t>
      </w:r>
      <w:proofErr w:type="spellStart"/>
      <w:r w:rsidRPr="00C57108">
        <w:t>Dubrovska</w:t>
      </w:r>
      <w:proofErr w:type="spellEnd"/>
      <w:r w:rsidRPr="00C57108">
        <w:t xml:space="preserve">, Annett </w:t>
      </w:r>
      <w:proofErr w:type="spellStart"/>
      <w:r w:rsidRPr="00C57108">
        <w:t>Linge</w:t>
      </w:r>
      <w:proofErr w:type="spellEnd"/>
      <w:r w:rsidRPr="00C57108">
        <w:t>,</w:t>
      </w:r>
      <w:r w:rsidRPr="004F0E57">
        <w:t xml:space="preserve"> Ina </w:t>
      </w:r>
      <w:proofErr w:type="spellStart"/>
      <w:r w:rsidRPr="004F0E57">
        <w:t>Kurth</w:t>
      </w:r>
      <w:proofErr w:type="spellEnd"/>
      <w:r w:rsidRPr="004F0E57">
        <w:t xml:space="preserve"> and Claudia </w:t>
      </w:r>
      <w:proofErr w:type="spellStart"/>
      <w:r w:rsidRPr="004F0E57">
        <w:t>Peitzsch</w:t>
      </w:r>
      <w:proofErr w:type="spellEnd"/>
    </w:p>
    <w:p w14:paraId="7270BFB1" w14:textId="1D15FC4D" w:rsidR="00240BC8" w:rsidRPr="00C57108" w:rsidRDefault="00BA5745" w:rsidP="00C57108">
      <w:pPr>
        <w:pStyle w:val="MDPI52figure"/>
      </w:pPr>
      <w:r w:rsidRPr="00C57108">
        <w:rPr>
          <w:noProof/>
          <w:lang w:eastAsia="zh-CN" w:bidi="ar-SA"/>
        </w:rPr>
        <w:drawing>
          <wp:inline distT="0" distB="0" distL="0" distR="0" wp14:anchorId="6F7CC64D" wp14:editId="6442DA54">
            <wp:extent cx="5760720" cy="291465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BA45B" w14:textId="4D7B8A5C" w:rsidR="007F7292" w:rsidRPr="00C57108" w:rsidRDefault="00C57108" w:rsidP="00C57108">
      <w:pPr>
        <w:pStyle w:val="MDPI51figurecaption"/>
        <w:ind w:left="425" w:right="425"/>
        <w:jc w:val="both"/>
        <w:rPr>
          <w:szCs w:val="18"/>
        </w:rPr>
      </w:pPr>
      <w:r w:rsidRPr="00C57108">
        <w:rPr>
          <w:b/>
        </w:rPr>
        <w:t xml:space="preserve">Figure </w:t>
      </w:r>
      <w:r>
        <w:rPr>
          <w:b/>
        </w:rPr>
        <w:t>S</w:t>
      </w:r>
      <w:r w:rsidRPr="00C57108">
        <w:rPr>
          <w:b/>
        </w:rPr>
        <w:t xml:space="preserve">1. </w:t>
      </w:r>
      <w:r w:rsidR="00D83D1B" w:rsidRPr="00C57108">
        <w:t xml:space="preserve">Identification of increased c-MET signaling in </w:t>
      </w:r>
      <w:proofErr w:type="spellStart"/>
      <w:r w:rsidR="00D83D1B" w:rsidRPr="00C57108">
        <w:t>radioresistant</w:t>
      </w:r>
      <w:proofErr w:type="spellEnd"/>
      <w:r w:rsidR="00D83D1B" w:rsidRPr="00C57108">
        <w:t xml:space="preserve"> head and neck squamous cell carcinoma (HNSCC) cell lines and patient data sets. (</w:t>
      </w:r>
      <w:r w:rsidR="00C633D6" w:rsidRPr="00C57108">
        <w:rPr>
          <w:b/>
        </w:rPr>
        <w:t>A</w:t>
      </w:r>
      <w:r w:rsidR="00D83D1B" w:rsidRPr="00C57108">
        <w:t xml:space="preserve">) Schematic illustration of altered intracellular c-MET signaling in the generated HNSCC-IR </w:t>
      </w:r>
      <w:proofErr w:type="spellStart"/>
      <w:r w:rsidR="00D83D1B" w:rsidRPr="00C57108">
        <w:t>sublines</w:t>
      </w:r>
      <w:proofErr w:type="spellEnd"/>
      <w:r w:rsidR="00D83D1B" w:rsidRPr="00C57108">
        <w:t xml:space="preserve"> that involves Gab1-PI3K7AKT/</w:t>
      </w:r>
      <w:proofErr w:type="spellStart"/>
      <w:r w:rsidR="00D83D1B" w:rsidRPr="00C57108">
        <w:t>mTOR</w:t>
      </w:r>
      <w:proofErr w:type="spellEnd"/>
      <w:r w:rsidR="00D83D1B" w:rsidRPr="00C57108">
        <w:t xml:space="preserve"> signaling induced cell survival, </w:t>
      </w:r>
      <w:proofErr w:type="spellStart"/>
      <w:r w:rsidR="00D83D1B" w:rsidRPr="00C57108">
        <w:t>Grb</w:t>
      </w:r>
      <w:proofErr w:type="spellEnd"/>
      <w:r w:rsidR="00D83D1B" w:rsidRPr="00C57108">
        <w:t xml:space="preserve">/SOS-RAF1/RAS/MAPK regulated cell proliferation and STAT3/JAK1 mediated cell invasion. Moreover, interaction with other receptor tyrosine kinase receptors such as EGFR and VEGFR or other cell membrane proteins including CD44 and integrin-mediating activation of intracellular c-MET signaling in </w:t>
      </w:r>
      <w:proofErr w:type="spellStart"/>
      <w:r w:rsidR="00D83D1B" w:rsidRPr="00C57108">
        <w:t>radioresistant</w:t>
      </w:r>
      <w:proofErr w:type="spellEnd"/>
      <w:r w:rsidR="00D83D1B" w:rsidRPr="00C57108">
        <w:t xml:space="preserve"> HNSCC cells is shown. (</w:t>
      </w:r>
      <w:r w:rsidR="00C633D6" w:rsidRPr="00C57108">
        <w:rPr>
          <w:b/>
        </w:rPr>
        <w:t>B</w:t>
      </w:r>
      <w:r w:rsidR="00D83D1B" w:rsidRPr="00C57108">
        <w:t>) Proteomic analysis comparing IR-</w:t>
      </w:r>
      <w:proofErr w:type="spellStart"/>
      <w:r w:rsidR="00D83D1B" w:rsidRPr="00C57108">
        <w:t>sublines</w:t>
      </w:r>
      <w:proofErr w:type="spellEnd"/>
      <w:r w:rsidR="00D83D1B" w:rsidRPr="00C57108">
        <w:t xml:space="preserve"> to parental control in Cal33 and </w:t>
      </w:r>
      <w:proofErr w:type="spellStart"/>
      <w:r w:rsidR="00D83D1B" w:rsidRPr="00C57108">
        <w:t>FaDu</w:t>
      </w:r>
      <w:proofErr w:type="spellEnd"/>
      <w:r w:rsidR="00D83D1B" w:rsidRPr="00C57108">
        <w:t xml:space="preserve"> cells identified 11 up- and 4 down-regulated proteins (</w:t>
      </w:r>
      <w:r w:rsidR="00D83D1B" w:rsidRPr="00C57108">
        <w:rPr>
          <w:i/>
          <w:iCs/>
        </w:rPr>
        <w:t>n</w:t>
      </w:r>
      <w:r w:rsidR="00BB7609" w:rsidRPr="00C57108">
        <w:t xml:space="preserve"> </w:t>
      </w:r>
      <w:r w:rsidR="00D83D1B" w:rsidRPr="00C57108">
        <w:t>=</w:t>
      </w:r>
      <w:r w:rsidR="00BB7609" w:rsidRPr="00C57108">
        <w:t xml:space="preserve"> </w:t>
      </w:r>
      <w:r w:rsidR="00D83D1B" w:rsidRPr="00C57108">
        <w:t xml:space="preserve">3, </w:t>
      </w:r>
      <w:r w:rsidR="00D83D1B" w:rsidRPr="00C57108">
        <w:rPr>
          <w:i/>
          <w:iCs/>
        </w:rPr>
        <w:t>p</w:t>
      </w:r>
      <w:r w:rsidR="00BB7609" w:rsidRPr="00C57108">
        <w:t xml:space="preserve"> </w:t>
      </w:r>
      <w:r w:rsidR="00D83D1B" w:rsidRPr="00C57108">
        <w:t>&lt;</w:t>
      </w:r>
      <w:r w:rsidR="00BB7609" w:rsidRPr="00C57108">
        <w:t xml:space="preserve"> </w:t>
      </w:r>
      <w:r w:rsidR="00D83D1B" w:rsidRPr="00C57108">
        <w:t xml:space="preserve">0.05, fold </w:t>
      </w:r>
      <w:r w:rsidR="00BB7609" w:rsidRPr="00C57108">
        <w:t>change &gt;</w:t>
      </w:r>
      <w:r w:rsidR="00D83D1B" w:rsidRPr="00C57108">
        <w:t>1.5). (</w:t>
      </w:r>
      <w:r w:rsidR="00C633D6" w:rsidRPr="00C57108">
        <w:rPr>
          <w:b/>
        </w:rPr>
        <w:t>C</w:t>
      </w:r>
      <w:r w:rsidR="00D83D1B" w:rsidRPr="00C57108">
        <w:t xml:space="preserve">) Differential regulated genes in </w:t>
      </w:r>
      <w:proofErr w:type="spellStart"/>
      <w:r w:rsidR="00D83D1B" w:rsidRPr="00C57108">
        <w:t>FaDu</w:t>
      </w:r>
      <w:proofErr w:type="spellEnd"/>
      <w:r w:rsidR="00D83D1B" w:rsidRPr="00C57108">
        <w:t xml:space="preserve">-IR </w:t>
      </w:r>
      <w:proofErr w:type="spellStart"/>
      <w:r w:rsidR="00D83D1B" w:rsidRPr="00C57108">
        <w:t>subline</w:t>
      </w:r>
      <w:proofErr w:type="spellEnd"/>
      <w:r w:rsidR="00D83D1B" w:rsidRPr="00C57108">
        <w:t xml:space="preserve"> compared to control were functionally connected using network analysis tool of Ingenuity pathway analysis (IPA) software. (</w:t>
      </w:r>
      <w:r w:rsidR="00C633D6" w:rsidRPr="00C57108">
        <w:rPr>
          <w:b/>
        </w:rPr>
        <w:t>D</w:t>
      </w:r>
      <w:r w:rsidR="00D83D1B" w:rsidRPr="00C57108">
        <w:t xml:space="preserve">) </w:t>
      </w:r>
      <w:proofErr w:type="spellStart"/>
      <w:r w:rsidR="00D83D1B" w:rsidRPr="00C57108">
        <w:t>Oncomine</w:t>
      </w:r>
      <w:proofErr w:type="spellEnd"/>
      <w:r w:rsidR="00D83D1B" w:rsidRPr="00C57108">
        <w:t xml:space="preserve"> database analysis illustrates higher MET expression in squamous cell carcinoma that originate from the oral cavity (</w:t>
      </w:r>
      <w:r w:rsidR="00D83D1B" w:rsidRPr="00C57108">
        <w:rPr>
          <w:i/>
          <w:iCs/>
        </w:rPr>
        <w:t>n</w:t>
      </w:r>
      <w:r w:rsidR="00BB7609" w:rsidRPr="00C57108">
        <w:t xml:space="preserve"> </w:t>
      </w:r>
      <w:r w:rsidR="00D83D1B" w:rsidRPr="00C57108">
        <w:t>=</w:t>
      </w:r>
      <w:r w:rsidR="00BB7609" w:rsidRPr="00C57108">
        <w:t xml:space="preserve"> </w:t>
      </w:r>
      <w:r w:rsidR="00D83D1B" w:rsidRPr="00C57108">
        <w:t>57) compared to adjacent normal tissue (</w:t>
      </w:r>
      <w:r w:rsidR="00D83D1B" w:rsidRPr="00C57108">
        <w:rPr>
          <w:i/>
          <w:iCs/>
        </w:rPr>
        <w:t>n</w:t>
      </w:r>
      <w:r w:rsidR="00BB7609" w:rsidRPr="00C57108">
        <w:t xml:space="preserve"> </w:t>
      </w:r>
      <w:r w:rsidR="00D83D1B" w:rsidRPr="00C57108">
        <w:t>=</w:t>
      </w:r>
      <w:r w:rsidR="00BB7609" w:rsidRPr="00C57108">
        <w:t xml:space="preserve"> </w:t>
      </w:r>
      <w:r w:rsidR="00D83D1B" w:rsidRPr="00C57108">
        <w:t>22). (</w:t>
      </w:r>
      <w:r w:rsidR="00C633D6" w:rsidRPr="00C57108">
        <w:rPr>
          <w:b/>
        </w:rPr>
        <w:t>E</w:t>
      </w:r>
      <w:r w:rsidR="00D83D1B" w:rsidRPr="00C57108">
        <w:t xml:space="preserve">) To validate the results from TCGA study we analyzed in </w:t>
      </w:r>
      <w:proofErr w:type="spellStart"/>
      <w:r w:rsidR="00D83D1B" w:rsidRPr="00C57108">
        <w:t>silico</w:t>
      </w:r>
      <w:proofErr w:type="spellEnd"/>
      <w:r w:rsidR="00D83D1B" w:rsidRPr="00C57108">
        <w:t xml:space="preserve"> the publicly available data from Heidelberg Center for Personalized Oncology – head and neck cancer cohort (HIPO-HNC, </w:t>
      </w:r>
      <w:r w:rsidR="00D83D1B" w:rsidRPr="00C57108">
        <w:rPr>
          <w:i/>
          <w:iCs/>
        </w:rPr>
        <w:t>n</w:t>
      </w:r>
      <w:r w:rsidR="00BB7609" w:rsidRPr="00C57108">
        <w:t xml:space="preserve"> </w:t>
      </w:r>
      <w:r w:rsidR="00D83D1B" w:rsidRPr="00C57108">
        <w:t>=</w:t>
      </w:r>
      <w:r w:rsidR="00BB7609" w:rsidRPr="00C57108">
        <w:t xml:space="preserve"> </w:t>
      </w:r>
      <w:r w:rsidR="00D83D1B" w:rsidRPr="00C57108">
        <w:t xml:space="preserve">77). Within this study MET expression </w:t>
      </w:r>
      <w:r w:rsidR="00FD4E4A" w:rsidRPr="00C57108">
        <w:t>does not have a prognostic potential</w:t>
      </w:r>
      <w:r w:rsidR="00D83D1B" w:rsidRPr="00C57108">
        <w:t xml:space="preserve"> independent of the treatment. The lack of concordance and </w:t>
      </w:r>
      <w:proofErr w:type="spellStart"/>
      <w:r w:rsidR="00D83D1B" w:rsidRPr="00C57108">
        <w:t>significancy</w:t>
      </w:r>
      <w:proofErr w:type="spellEnd"/>
      <w:r w:rsidR="00D83D1B" w:rsidRPr="00C57108">
        <w:t xml:space="preserve"> is influenced by the small cohort size and does not allow for subgroup analysis</w:t>
      </w:r>
      <w:r w:rsidR="00D83D1B" w:rsidRPr="00C57108">
        <w:rPr>
          <w:b/>
          <w:bCs/>
        </w:rPr>
        <w:t>. (</w:t>
      </w:r>
      <w:r w:rsidR="00C633D6" w:rsidRPr="00C57108">
        <w:rPr>
          <w:b/>
          <w:bCs/>
        </w:rPr>
        <w:t>F</w:t>
      </w:r>
      <w:r w:rsidR="00D83D1B" w:rsidRPr="00C57108">
        <w:rPr>
          <w:b/>
          <w:bCs/>
        </w:rPr>
        <w:t>)</w:t>
      </w:r>
      <w:r w:rsidR="00D83D1B" w:rsidRPr="00C57108">
        <w:t xml:space="preserve"> </w:t>
      </w:r>
      <w:r w:rsidR="00D83D1B" w:rsidRPr="00C57108">
        <w:rPr>
          <w:i/>
          <w:iCs/>
        </w:rPr>
        <w:t xml:space="preserve">MET </w:t>
      </w:r>
      <w:r w:rsidR="00D83D1B" w:rsidRPr="00C57108">
        <w:t xml:space="preserve">expression in HIPO-HNC study was significantly correlated to tumor localization, nodal (N) status and pathological grading while no association with </w:t>
      </w:r>
      <w:r w:rsidR="00D83D1B" w:rsidRPr="00C57108">
        <w:rPr>
          <w:i/>
          <w:iCs/>
        </w:rPr>
        <w:t>EGFR</w:t>
      </w:r>
      <w:r w:rsidR="00D83D1B" w:rsidRPr="00C57108">
        <w:t xml:space="preserve"> was seen.</w:t>
      </w:r>
      <w:r w:rsidR="00FD4E4A" w:rsidRPr="00C57108">
        <w:t xml:space="preserve"> (G) Subgroup analysis of TCGA dataset for patients with HPV-negative HNSCC validated the prognostic potential of </w:t>
      </w:r>
      <w:r w:rsidR="00FD4E4A" w:rsidRPr="00C57108">
        <w:rPr>
          <w:i/>
          <w:iCs/>
        </w:rPr>
        <w:t>MET</w:t>
      </w:r>
      <w:r w:rsidR="00FD4E4A" w:rsidRPr="00C57108">
        <w:t>.</w:t>
      </w:r>
      <w:r w:rsidR="00D83D1B" w:rsidRPr="00C57108">
        <w:t xml:space="preserve"> </w:t>
      </w:r>
      <w:r w:rsidR="00D83D1B" w:rsidRPr="00C57108">
        <w:rPr>
          <w:b/>
          <w:bCs/>
        </w:rPr>
        <w:t>(</w:t>
      </w:r>
      <w:r w:rsidR="00FD4E4A" w:rsidRPr="00C57108">
        <w:rPr>
          <w:b/>
          <w:bCs/>
        </w:rPr>
        <w:t>H</w:t>
      </w:r>
      <w:r w:rsidR="00D83D1B" w:rsidRPr="00C57108">
        <w:rPr>
          <w:b/>
          <w:bCs/>
        </w:rPr>
        <w:t xml:space="preserve">) </w:t>
      </w:r>
      <w:r w:rsidR="00D83D1B" w:rsidRPr="00C57108">
        <w:t>Kaplan-Meier curves illustrates</w:t>
      </w:r>
      <w:r w:rsidR="00D83D1B" w:rsidRPr="00C57108">
        <w:rPr>
          <w:b/>
          <w:bCs/>
        </w:rPr>
        <w:t xml:space="preserve"> </w:t>
      </w:r>
      <w:r w:rsidR="00D83D1B" w:rsidRPr="00C57108">
        <w:t>progression-free</w:t>
      </w:r>
      <w:r w:rsidR="00D83D1B" w:rsidRPr="00C57108">
        <w:rPr>
          <w:b/>
          <w:bCs/>
        </w:rPr>
        <w:t xml:space="preserve"> </w:t>
      </w:r>
      <w:r w:rsidR="00D83D1B" w:rsidRPr="00C57108">
        <w:t>survival analysis of patients with HNSCC treated with radiotherapy (RT) from the TCGA cohort that were stratified based the hepatocyte growth factor (</w:t>
      </w:r>
      <w:r w:rsidR="00D83D1B" w:rsidRPr="00C57108">
        <w:rPr>
          <w:i/>
          <w:iCs/>
        </w:rPr>
        <w:t>HGF</w:t>
      </w:r>
      <w:r w:rsidR="00D83D1B" w:rsidRPr="00C57108">
        <w:t>) transcript level (**</w:t>
      </w:r>
      <w:r>
        <w:t xml:space="preserve"> </w:t>
      </w:r>
      <w:r w:rsidR="00D83D1B" w:rsidRPr="00C57108">
        <w:rPr>
          <w:i/>
          <w:iCs/>
        </w:rPr>
        <w:t>p</w:t>
      </w:r>
      <w:r w:rsidR="00BB7609" w:rsidRPr="00C57108">
        <w:t xml:space="preserve"> </w:t>
      </w:r>
      <w:r w:rsidR="00D83D1B" w:rsidRPr="00C57108">
        <w:t>=</w:t>
      </w:r>
      <w:r w:rsidR="00BB7609" w:rsidRPr="00C57108">
        <w:t xml:space="preserve"> </w:t>
      </w:r>
      <w:r w:rsidR="00D83D1B" w:rsidRPr="00C57108">
        <w:t xml:space="preserve">0.00015). There is a positive correlation between </w:t>
      </w:r>
      <w:r w:rsidR="00D83D1B" w:rsidRPr="00C57108">
        <w:rPr>
          <w:i/>
          <w:iCs/>
        </w:rPr>
        <w:t>MET</w:t>
      </w:r>
      <w:r w:rsidR="00D83D1B" w:rsidRPr="00C57108">
        <w:t xml:space="preserve"> transcript levels and HGF signaling (</w:t>
      </w:r>
      <w:r w:rsidR="00D83D1B" w:rsidRPr="00C57108">
        <w:rPr>
          <w:i/>
          <w:iCs/>
        </w:rPr>
        <w:t>n</w:t>
      </w:r>
      <w:r w:rsidR="00BB7609" w:rsidRPr="00C57108">
        <w:t xml:space="preserve"> </w:t>
      </w:r>
      <w:r w:rsidR="00D83D1B" w:rsidRPr="00C57108">
        <w:t>=</w:t>
      </w:r>
      <w:r w:rsidR="00BB7609" w:rsidRPr="00C57108">
        <w:t xml:space="preserve"> </w:t>
      </w:r>
      <w:r w:rsidR="00D83D1B" w:rsidRPr="00C57108">
        <w:t>505, r</w:t>
      </w:r>
      <w:r w:rsidR="00BB7609" w:rsidRPr="00C57108">
        <w:t xml:space="preserve"> </w:t>
      </w:r>
      <w:r w:rsidR="00D83D1B" w:rsidRPr="00C57108">
        <w:t>=</w:t>
      </w:r>
      <w:r w:rsidR="00BB7609" w:rsidRPr="00C57108">
        <w:t xml:space="preserve"> </w:t>
      </w:r>
      <w:r w:rsidR="00D83D1B" w:rsidRPr="00C57108">
        <w:t>0.279, ***</w:t>
      </w:r>
      <w:r>
        <w:t xml:space="preserve"> </w:t>
      </w:r>
      <w:r w:rsidR="00D83D1B" w:rsidRPr="00C57108">
        <w:rPr>
          <w:i/>
          <w:iCs/>
        </w:rPr>
        <w:t>p</w:t>
      </w:r>
      <w:r w:rsidR="00BB7609" w:rsidRPr="00C57108">
        <w:t xml:space="preserve"> </w:t>
      </w:r>
      <w:r w:rsidR="00D83D1B" w:rsidRPr="00C57108">
        <w:t>&lt;</w:t>
      </w:r>
      <w:r w:rsidR="00BB7609" w:rsidRPr="00C57108">
        <w:t xml:space="preserve"> </w:t>
      </w:r>
      <w:r w:rsidR="00D83D1B" w:rsidRPr="00C57108">
        <w:t>0.001).</w:t>
      </w:r>
    </w:p>
    <w:p w14:paraId="639AAC6C" w14:textId="3A574A29" w:rsidR="007F7292" w:rsidRPr="00C57108" w:rsidRDefault="00BA5745" w:rsidP="00C57108">
      <w:pPr>
        <w:pStyle w:val="MDPI52figure"/>
      </w:pPr>
      <w:r w:rsidRPr="00C57108">
        <w:rPr>
          <w:noProof/>
          <w:lang w:eastAsia="zh-CN" w:bidi="ar-SA"/>
        </w:rPr>
        <w:lastRenderedPageBreak/>
        <w:drawing>
          <wp:inline distT="0" distB="0" distL="0" distR="0" wp14:anchorId="41C4E90D" wp14:editId="6C9775CA">
            <wp:extent cx="5760720" cy="1823085"/>
            <wp:effectExtent l="0" t="0" r="0" b="571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91"/>
                    <a:stretch/>
                  </pic:blipFill>
                  <pic:spPr bwMode="auto">
                    <a:xfrm>
                      <a:off x="0" y="0"/>
                      <a:ext cx="5760720" cy="1823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751AF1" w14:textId="0A1800A9" w:rsidR="007F7292" w:rsidRPr="00C57108" w:rsidRDefault="007F7292" w:rsidP="00C57108">
      <w:pPr>
        <w:adjustRightInd w:val="0"/>
        <w:snapToGrid w:val="0"/>
        <w:spacing w:before="120" w:after="240" w:line="240" w:lineRule="auto"/>
        <w:contextualSpacing/>
        <w:jc w:val="both"/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</w:pPr>
      <w:r w:rsidRPr="00C57108">
        <w:rPr>
          <w:rFonts w:ascii="Palatino Linotype" w:eastAsia="Times New Roman" w:hAnsi="Palatino Linotype" w:cs="Times New Roman"/>
          <w:b/>
          <w:color w:val="000000"/>
          <w:sz w:val="18"/>
          <w:szCs w:val="18"/>
          <w:lang w:val="en-US" w:eastAsia="de-DE" w:bidi="en-US"/>
        </w:rPr>
        <w:t xml:space="preserve">Figure S2. </w:t>
      </w:r>
      <w:proofErr w:type="gramStart"/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c-MET</w:t>
      </w:r>
      <w:proofErr w:type="gramEnd"/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contributes to cell-intrinsic </w:t>
      </w:r>
      <w:proofErr w:type="spellStart"/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radiosensitivity</w:t>
      </w:r>
      <w:proofErr w:type="spellEnd"/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in HNSCC cell lines. (</w:t>
      </w:r>
      <w:r w:rsidR="00C633D6" w:rsidRPr="00C57108">
        <w:rPr>
          <w:rFonts w:ascii="Palatino Linotype" w:eastAsia="Times New Roman" w:hAnsi="Palatino Linotype" w:cs="Times New Roman"/>
          <w:b/>
          <w:color w:val="000000"/>
          <w:sz w:val="18"/>
          <w:szCs w:val="18"/>
          <w:lang w:val="en-US" w:eastAsia="de-DE" w:bidi="en-US"/>
        </w:rPr>
        <w:t>A</w:t>
      </w:r>
      <w:r w:rsidRPr="00C57108">
        <w:rPr>
          <w:rFonts w:ascii="Palatino Linotype" w:eastAsia="Times New Roman" w:hAnsi="Palatino Linotype" w:cs="Times New Roman"/>
          <w:b/>
          <w:color w:val="000000"/>
          <w:sz w:val="18"/>
          <w:szCs w:val="18"/>
          <w:lang w:val="en-US" w:eastAsia="de-DE" w:bidi="en-US"/>
        </w:rPr>
        <w:t>,</w:t>
      </w:r>
      <w:r w:rsidR="00C633D6" w:rsidRPr="00C57108">
        <w:rPr>
          <w:rFonts w:ascii="Palatino Linotype" w:eastAsia="Times New Roman" w:hAnsi="Palatino Linotype" w:cs="Times New Roman"/>
          <w:b/>
          <w:color w:val="000000"/>
          <w:sz w:val="18"/>
          <w:szCs w:val="18"/>
          <w:lang w:val="en-US" w:eastAsia="de-DE" w:bidi="en-US"/>
        </w:rPr>
        <w:t>B</w:t>
      </w:r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) c-MET high and low expressing populations from HNSCC cell lines SAS, UT-SCC-5 and Cal33 were purified using fluorescence-activated cell sorting (FACS) and plated for yH2AX foci assay. Therefore, cells were irradiated with 4</w:t>
      </w:r>
      <w:r w:rsidR="00BB7609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</w:t>
      </w:r>
      <w:proofErr w:type="spellStart"/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Gy</w:t>
      </w:r>
      <w:proofErr w:type="spellEnd"/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upon adhesion to microscopic glass slides and fixed after 30 min and 24</w:t>
      </w:r>
      <w:r w:rsidR="00BB7609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</w:t>
      </w:r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h to determine initial and residual foci indicative of DNA double strand breaks. To illustrate differences in DNA repair capacity between the c-MET high and low population, determined yH2AX foci per cell were normalized to baseline counts (a) and to initial damages 30 min after irradiation (b) (</w:t>
      </w:r>
      <w:r w:rsidRPr="00C57108">
        <w:rPr>
          <w:rFonts w:ascii="Palatino Linotype" w:eastAsia="Times New Roman" w:hAnsi="Palatino Linotype" w:cs="Times New Roman"/>
          <w:i/>
          <w:iCs/>
          <w:color w:val="000000"/>
          <w:sz w:val="18"/>
          <w:szCs w:val="18"/>
          <w:lang w:val="en-US" w:eastAsia="de-DE" w:bidi="en-US"/>
        </w:rPr>
        <w:t>n</w:t>
      </w:r>
      <w:r w:rsidR="00BB7609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</w:t>
      </w:r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=</w:t>
      </w:r>
      <w:r w:rsidR="00BB7609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</w:t>
      </w:r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3, *</w:t>
      </w:r>
      <w:r w:rsid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</w:t>
      </w:r>
      <w:r w:rsidRPr="00C57108">
        <w:rPr>
          <w:rFonts w:ascii="Palatino Linotype" w:eastAsia="Times New Roman" w:hAnsi="Palatino Linotype" w:cs="Times New Roman"/>
          <w:i/>
          <w:iCs/>
          <w:color w:val="000000"/>
          <w:sz w:val="18"/>
          <w:szCs w:val="18"/>
          <w:lang w:val="en-US" w:eastAsia="de-DE" w:bidi="en-US"/>
        </w:rPr>
        <w:t>p</w:t>
      </w:r>
      <w:r w:rsidR="00BB7609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</w:t>
      </w:r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&lt;</w:t>
      </w:r>
      <w:r w:rsidR="00BB7609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</w:t>
      </w:r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0.05, mean</w:t>
      </w:r>
      <w:r w:rsid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</w:t>
      </w:r>
      <w:r w:rsidR="00BB7609" w:rsidRPr="00C57108">
        <w:rPr>
          <w:lang w:val="en-US"/>
        </w:rPr>
        <w:t>±</w:t>
      </w:r>
      <w:r w:rsidR="00C57108">
        <w:rPr>
          <w:lang w:val="en-US"/>
        </w:rPr>
        <w:t xml:space="preserve"> </w:t>
      </w:r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SEM). (</w:t>
      </w:r>
      <w:r w:rsidR="00C633D6" w:rsidRPr="00C57108">
        <w:rPr>
          <w:rFonts w:ascii="Palatino Linotype" w:eastAsia="Times New Roman" w:hAnsi="Palatino Linotype" w:cs="Times New Roman"/>
          <w:b/>
          <w:color w:val="000000"/>
          <w:sz w:val="18"/>
          <w:szCs w:val="18"/>
          <w:lang w:val="en-US" w:eastAsia="de-DE" w:bidi="en-US"/>
        </w:rPr>
        <w:t>C</w:t>
      </w:r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) Gene expression analysis of </w:t>
      </w:r>
      <w:r w:rsidRPr="00C57108">
        <w:rPr>
          <w:rFonts w:ascii="Palatino Linotype" w:eastAsia="Times New Roman" w:hAnsi="Palatino Linotype" w:cs="Times New Roman"/>
          <w:i/>
          <w:iCs/>
          <w:color w:val="000000"/>
          <w:sz w:val="18"/>
          <w:szCs w:val="18"/>
          <w:lang w:val="en-US" w:eastAsia="de-DE" w:bidi="en-US"/>
        </w:rPr>
        <w:t>HGF</w:t>
      </w:r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in Cal33, </w:t>
      </w:r>
      <w:proofErr w:type="spellStart"/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FaDu</w:t>
      </w:r>
      <w:proofErr w:type="spellEnd"/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, SAS and UT-SCC-5 derived </w:t>
      </w:r>
      <w:proofErr w:type="spellStart"/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xenograft</w:t>
      </w:r>
      <w:proofErr w:type="spellEnd"/>
      <w:r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tumors that were further correlated to previously published tumor control dose 50% (TCD50) values.</w:t>
      </w:r>
      <w:r w:rsidR="002909AA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(</w:t>
      </w:r>
      <w:r w:rsidR="002909AA" w:rsidRPr="00C57108">
        <w:rPr>
          <w:rFonts w:ascii="Palatino Linotype" w:eastAsia="Times New Roman" w:hAnsi="Palatino Linotype" w:cs="Times New Roman"/>
          <w:b/>
          <w:bCs/>
          <w:color w:val="000000"/>
          <w:sz w:val="18"/>
          <w:szCs w:val="18"/>
          <w:lang w:val="en-US" w:eastAsia="de-DE" w:bidi="en-US"/>
        </w:rPr>
        <w:t>D</w:t>
      </w:r>
      <w:r w:rsidR="002909AA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) </w:t>
      </w:r>
      <w:bookmarkStart w:id="2" w:name="_Hlk67684611"/>
      <w:proofErr w:type="spellStart"/>
      <w:r w:rsidR="002909AA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Transcriptomic</w:t>
      </w:r>
      <w:proofErr w:type="spellEnd"/>
      <w:r w:rsidR="002909AA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analysis of </w:t>
      </w:r>
      <w:r w:rsidR="002909AA" w:rsidRPr="00C57108">
        <w:rPr>
          <w:rFonts w:ascii="Palatino Linotype" w:eastAsia="Times New Roman" w:hAnsi="Palatino Linotype" w:cs="Times New Roman"/>
          <w:i/>
          <w:iCs/>
          <w:color w:val="000000"/>
          <w:sz w:val="18"/>
          <w:szCs w:val="18"/>
          <w:lang w:val="en-US" w:eastAsia="de-DE" w:bidi="en-US"/>
        </w:rPr>
        <w:t>ETS1</w:t>
      </w:r>
      <w:r w:rsidR="002909AA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</w:t>
      </w:r>
      <w:r w:rsidR="007451B5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and c-</w:t>
      </w:r>
      <w:proofErr w:type="spellStart"/>
      <w:r w:rsidR="007451B5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Myb</w:t>
      </w:r>
      <w:proofErr w:type="spellEnd"/>
      <w:r w:rsidR="007451B5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</w:t>
      </w:r>
      <w:r w:rsidR="002909AA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in HNSCC </w:t>
      </w:r>
      <w:proofErr w:type="spellStart"/>
      <w:r w:rsidR="002909AA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xenograft</w:t>
      </w:r>
      <w:proofErr w:type="spellEnd"/>
      <w:r w:rsidR="007451B5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 xml:space="preserve"> tumors </w:t>
      </w:r>
      <w:bookmarkEnd w:id="2"/>
      <w:r w:rsidR="007451B5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and within the TCGA dataset from HNSCC patients</w:t>
      </w:r>
      <w:r w:rsidR="002909AA" w:rsidRPr="00C57108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DE" w:bidi="en-US"/>
        </w:rPr>
        <w:t>.</w:t>
      </w:r>
    </w:p>
    <w:p w14:paraId="7026BC58" w14:textId="5277DD88" w:rsidR="007F7292" w:rsidRPr="00C57108" w:rsidRDefault="00BA5745" w:rsidP="00C57108">
      <w:pPr>
        <w:pStyle w:val="MDPI52figure"/>
      </w:pPr>
      <w:r w:rsidRPr="00C57108">
        <w:rPr>
          <w:noProof/>
          <w:lang w:eastAsia="zh-CN" w:bidi="ar-SA"/>
        </w:rPr>
        <w:drawing>
          <wp:inline distT="0" distB="0" distL="0" distR="0" wp14:anchorId="5B7A818C" wp14:editId="5414C188">
            <wp:extent cx="5760720" cy="3932555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3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90F14" w14:textId="206DCE37" w:rsidR="007F7292" w:rsidRPr="00C57108" w:rsidRDefault="00C57108" w:rsidP="00C57108">
      <w:pPr>
        <w:pStyle w:val="MDPI51figurecaption"/>
        <w:ind w:left="425" w:right="425"/>
        <w:jc w:val="both"/>
        <w:rPr>
          <w:szCs w:val="18"/>
        </w:rPr>
      </w:pPr>
      <w:r w:rsidRPr="00C57108">
        <w:rPr>
          <w:b/>
        </w:rPr>
        <w:t xml:space="preserve">Figure </w:t>
      </w:r>
      <w:r>
        <w:rPr>
          <w:b/>
        </w:rPr>
        <w:t>S</w:t>
      </w:r>
      <w:r w:rsidRPr="00C57108">
        <w:rPr>
          <w:b/>
        </w:rPr>
        <w:t xml:space="preserve">3. </w:t>
      </w:r>
      <w:r w:rsidR="007F7292" w:rsidRPr="00C57108">
        <w:t>Cellular plasticity and self-renewal properties of the c-MET-population in HNSCC. (</w:t>
      </w:r>
      <w:r w:rsidR="00C633D6" w:rsidRPr="00C57108">
        <w:rPr>
          <w:b/>
        </w:rPr>
        <w:t>A</w:t>
      </w:r>
      <w:r w:rsidR="007F7292" w:rsidRPr="00C57108">
        <w:t>)</w:t>
      </w:r>
      <w:r w:rsidR="007F7292" w:rsidRPr="00C57108">
        <w:rPr>
          <w:rFonts w:eastAsia="宋体"/>
          <w:lang w:eastAsia="zh-CN"/>
        </w:rPr>
        <w:t xml:space="preserve"> </w:t>
      </w:r>
      <w:r w:rsidR="007F7292" w:rsidRPr="00C57108">
        <w:t xml:space="preserve">Quantification of c-MET signal within tissue sections of Cal33, </w:t>
      </w:r>
      <w:proofErr w:type="spellStart"/>
      <w:r w:rsidR="007F7292" w:rsidRPr="00C57108">
        <w:t>FaDu</w:t>
      </w:r>
      <w:proofErr w:type="spellEnd"/>
      <w:r w:rsidR="007F7292" w:rsidRPr="00C57108">
        <w:t xml:space="preserve"> and SAS </w:t>
      </w:r>
      <w:proofErr w:type="spellStart"/>
      <w:r w:rsidR="007F7292" w:rsidRPr="00C57108">
        <w:t>xenograft</w:t>
      </w:r>
      <w:proofErr w:type="spellEnd"/>
      <w:r w:rsidR="007F7292" w:rsidRPr="00C57108">
        <w:t xml:space="preserve"> tumor that were treated with radio(chemo)therapy (RCT) in comparison to untreated tumors through automated determination of mean pixel intensity (</w:t>
      </w:r>
      <w:r w:rsidR="00BB7609" w:rsidRPr="00C57108">
        <w:t>arbitrary unit (</w:t>
      </w:r>
      <w:proofErr w:type="spellStart"/>
      <w:r w:rsidR="007F7292" w:rsidRPr="00C57108">
        <w:t>a.u</w:t>
      </w:r>
      <w:proofErr w:type="spellEnd"/>
      <w:r w:rsidR="007F7292" w:rsidRPr="00C57108">
        <w:t>.</w:t>
      </w:r>
      <w:r w:rsidR="00BB7609" w:rsidRPr="00C57108">
        <w:t>)</w:t>
      </w:r>
      <w:r w:rsidR="007F7292" w:rsidRPr="00C57108">
        <w:t xml:space="preserve">, </w:t>
      </w:r>
      <w:r w:rsidR="007F7292" w:rsidRPr="00C57108">
        <w:rPr>
          <w:i/>
          <w:iCs/>
        </w:rPr>
        <w:t>n</w:t>
      </w:r>
      <w:r w:rsidR="00BB7609" w:rsidRPr="00C57108">
        <w:t xml:space="preserve"> </w:t>
      </w:r>
      <w:r w:rsidR="007F7292" w:rsidRPr="00C57108">
        <w:t>=</w:t>
      </w:r>
      <w:r w:rsidR="00BB7609" w:rsidRPr="00C57108">
        <w:t xml:space="preserve"> </w:t>
      </w:r>
      <w:r w:rsidR="007F7292" w:rsidRPr="00C57108">
        <w:t>3, two-way ANOVA, ****</w:t>
      </w:r>
      <w:r>
        <w:t xml:space="preserve"> </w:t>
      </w:r>
      <w:r w:rsidR="007F7292" w:rsidRPr="00C57108">
        <w:rPr>
          <w:i/>
          <w:iCs/>
        </w:rPr>
        <w:t>p</w:t>
      </w:r>
      <w:r w:rsidR="00BB7609" w:rsidRPr="00C57108">
        <w:t xml:space="preserve"> </w:t>
      </w:r>
      <w:r w:rsidR="007F7292" w:rsidRPr="00C57108">
        <w:t>&lt;</w:t>
      </w:r>
      <w:r w:rsidR="00BB7609" w:rsidRPr="00C57108">
        <w:t xml:space="preserve"> </w:t>
      </w:r>
      <w:r w:rsidR="007F7292" w:rsidRPr="00C57108">
        <w:t>0.00001). (</w:t>
      </w:r>
      <w:r w:rsidR="00C633D6" w:rsidRPr="00C57108">
        <w:rPr>
          <w:b/>
        </w:rPr>
        <w:t>B</w:t>
      </w:r>
      <w:r w:rsidR="007F7292" w:rsidRPr="00C57108">
        <w:t xml:space="preserve">) Western blot analysis to determine c-MET expression in </w:t>
      </w:r>
      <w:proofErr w:type="spellStart"/>
      <w:r w:rsidR="007F7292" w:rsidRPr="00C57108">
        <w:t>xenograft</w:t>
      </w:r>
      <w:proofErr w:type="spellEnd"/>
      <w:r w:rsidR="007F7292" w:rsidRPr="00C57108">
        <w:t xml:space="preserve"> tumor lysates. GAPDH was used as loading control (</w:t>
      </w:r>
      <w:r w:rsidR="007F7292" w:rsidRPr="00C57108">
        <w:rPr>
          <w:i/>
          <w:iCs/>
        </w:rPr>
        <w:t>n</w:t>
      </w:r>
      <w:r w:rsidR="00BB7609" w:rsidRPr="00C57108">
        <w:t xml:space="preserve"> </w:t>
      </w:r>
      <w:r w:rsidR="007F7292" w:rsidRPr="00C57108">
        <w:t>=</w:t>
      </w:r>
      <w:r w:rsidR="00BB7609" w:rsidRPr="00C57108">
        <w:t xml:space="preserve"> </w:t>
      </w:r>
      <w:r w:rsidR="007F7292" w:rsidRPr="00C57108">
        <w:t>2). (</w:t>
      </w:r>
      <w:r w:rsidR="00C633D6" w:rsidRPr="00C57108">
        <w:rPr>
          <w:b/>
        </w:rPr>
        <w:t>C</w:t>
      </w:r>
      <w:r w:rsidR="007F7292" w:rsidRPr="00C57108">
        <w:t xml:space="preserve">) Prospectively purified c-MET-high and low expressing population from SAS and UT-SCC-5 cells for sphere formation. The representative </w:t>
      </w:r>
      <w:proofErr w:type="spellStart"/>
      <w:r w:rsidR="007F7292" w:rsidRPr="00C57108">
        <w:t>Celigo</w:t>
      </w:r>
      <w:proofErr w:type="spellEnd"/>
      <w:r w:rsidR="007F7292" w:rsidRPr="00C57108">
        <w:t xml:space="preserve"> images illustrate all formed spheres from initially plated 1000 cells. To evaluate cell intrinsic </w:t>
      </w:r>
      <w:proofErr w:type="spellStart"/>
      <w:r w:rsidR="007F7292" w:rsidRPr="00C57108">
        <w:t>radiosensitivity</w:t>
      </w:r>
      <w:proofErr w:type="spellEnd"/>
      <w:r w:rsidR="007F7292" w:rsidRPr="00C57108">
        <w:t xml:space="preserve"> of spheres originating from </w:t>
      </w:r>
      <w:proofErr w:type="spellStart"/>
      <w:r w:rsidR="007F7292" w:rsidRPr="00C57108">
        <w:t>MET</w:t>
      </w:r>
      <w:r w:rsidR="007F7292" w:rsidRPr="00C57108">
        <w:rPr>
          <w:vertAlign w:val="superscript"/>
        </w:rPr>
        <w:t>high</w:t>
      </w:r>
      <w:proofErr w:type="spellEnd"/>
      <w:r w:rsidR="007F7292" w:rsidRPr="00C57108">
        <w:t xml:space="preserve"> and </w:t>
      </w:r>
      <w:proofErr w:type="spellStart"/>
      <w:r w:rsidR="007F7292" w:rsidRPr="00C57108">
        <w:t>MET</w:t>
      </w:r>
      <w:r w:rsidR="007F7292" w:rsidRPr="00C57108">
        <w:rPr>
          <w:vertAlign w:val="superscript"/>
        </w:rPr>
        <w:t>low</w:t>
      </w:r>
      <w:proofErr w:type="spellEnd"/>
      <w:r w:rsidR="007F7292" w:rsidRPr="00C57108">
        <w:t xml:space="preserve"> population the sphere-forming capacity upon 6 </w:t>
      </w:r>
      <w:proofErr w:type="spellStart"/>
      <w:r w:rsidR="007F7292" w:rsidRPr="00C57108">
        <w:t>Gy</w:t>
      </w:r>
      <w:proofErr w:type="spellEnd"/>
      <w:r w:rsidR="007F7292" w:rsidRPr="00C57108">
        <w:t xml:space="preserve"> irradiation was normalized to sham control (</w:t>
      </w:r>
      <w:r w:rsidR="007F7292" w:rsidRPr="00C57108">
        <w:rPr>
          <w:i/>
          <w:iCs/>
        </w:rPr>
        <w:t>n</w:t>
      </w:r>
      <w:r w:rsidR="00BB7609" w:rsidRPr="00C57108">
        <w:t xml:space="preserve"> </w:t>
      </w:r>
      <w:r w:rsidR="007F7292" w:rsidRPr="00C57108">
        <w:t>=</w:t>
      </w:r>
      <w:r w:rsidR="00BB7609" w:rsidRPr="00C57108">
        <w:t xml:space="preserve"> </w:t>
      </w:r>
      <w:r w:rsidR="007F7292" w:rsidRPr="00C57108">
        <w:t>3). (</w:t>
      </w:r>
      <w:r w:rsidR="00C633D6" w:rsidRPr="00C57108">
        <w:rPr>
          <w:b/>
          <w:bCs/>
        </w:rPr>
        <w:t>D</w:t>
      </w:r>
      <w:r w:rsidR="007F7292" w:rsidRPr="00C57108">
        <w:t xml:space="preserve">) </w:t>
      </w:r>
      <w:r w:rsidR="007F7292" w:rsidRPr="00C57108">
        <w:rPr>
          <w:i/>
          <w:iCs/>
        </w:rPr>
        <w:t>MET</w:t>
      </w:r>
      <w:r w:rsidR="007F7292" w:rsidRPr="00C57108">
        <w:t xml:space="preserve"> gene expression analysis purified </w:t>
      </w:r>
      <w:proofErr w:type="spellStart"/>
      <w:r w:rsidR="007F7292" w:rsidRPr="00C57108">
        <w:t>Aldefluor</w:t>
      </w:r>
      <w:proofErr w:type="spellEnd"/>
      <w:r w:rsidR="007F7292" w:rsidRPr="00C57108">
        <w:t xml:space="preserve"> (ALDH)-positive </w:t>
      </w:r>
      <w:proofErr w:type="spellStart"/>
      <w:r w:rsidR="007F7292" w:rsidRPr="00C57108">
        <w:t>FaDu</w:t>
      </w:r>
      <w:proofErr w:type="spellEnd"/>
      <w:r w:rsidR="007F7292" w:rsidRPr="00C57108">
        <w:t xml:space="preserve"> cells compared to the ALDH-negative population based on Agilent array data (</w:t>
      </w:r>
      <w:r w:rsidR="007F7292" w:rsidRPr="00C57108">
        <w:rPr>
          <w:i/>
          <w:iCs/>
        </w:rPr>
        <w:t>n</w:t>
      </w:r>
      <w:r w:rsidR="00BB7609" w:rsidRPr="00C57108">
        <w:t xml:space="preserve"> </w:t>
      </w:r>
      <w:r w:rsidR="007F7292" w:rsidRPr="00C57108">
        <w:t>=</w:t>
      </w:r>
      <w:r w:rsidR="00BB7609" w:rsidRPr="00C57108">
        <w:t xml:space="preserve"> </w:t>
      </w:r>
      <w:r w:rsidR="007F7292" w:rsidRPr="00C57108">
        <w:t>3). (</w:t>
      </w:r>
      <w:r w:rsidR="00C633D6" w:rsidRPr="00C57108">
        <w:rPr>
          <w:b/>
        </w:rPr>
        <w:t>E</w:t>
      </w:r>
      <w:r w:rsidR="007F7292" w:rsidRPr="00C57108">
        <w:t xml:space="preserve">) Co-expression of c-MET with the CSC markers CD133 and </w:t>
      </w:r>
      <w:proofErr w:type="spellStart"/>
      <w:r w:rsidR="007F7292" w:rsidRPr="00C57108">
        <w:t>Aldefluor</w:t>
      </w:r>
      <w:proofErr w:type="spellEnd"/>
      <w:r w:rsidR="007F7292" w:rsidRPr="00C57108">
        <w:t xml:space="preserve"> (ALDH) using multicolor </w:t>
      </w:r>
      <w:r w:rsidR="007F7292" w:rsidRPr="00C57108">
        <w:lastRenderedPageBreak/>
        <w:t xml:space="preserve">flow </w:t>
      </w:r>
      <w:proofErr w:type="spellStart"/>
      <w:r w:rsidR="007F7292" w:rsidRPr="00C57108">
        <w:t>cytometry</w:t>
      </w:r>
      <w:proofErr w:type="spellEnd"/>
      <w:r w:rsidR="007F7292" w:rsidRPr="00C57108">
        <w:t xml:space="preserve"> (BD FACS Celesta) in the HNSCC cell lines Cal33, SAS, UT-SCC-5 and Detroit562 (</w:t>
      </w:r>
      <w:r w:rsidR="007F7292" w:rsidRPr="00C57108">
        <w:rPr>
          <w:i/>
          <w:iCs/>
        </w:rPr>
        <w:t>n</w:t>
      </w:r>
      <w:r w:rsidR="00BB7609" w:rsidRPr="00C57108">
        <w:t xml:space="preserve"> </w:t>
      </w:r>
      <w:r w:rsidR="007F7292" w:rsidRPr="00C57108">
        <w:t>=</w:t>
      </w:r>
      <w:r w:rsidR="00BB7609" w:rsidRPr="00C57108">
        <w:t xml:space="preserve"> </w:t>
      </w:r>
      <w:r w:rsidR="007F7292" w:rsidRPr="00C57108">
        <w:t>3). (</w:t>
      </w:r>
      <w:r w:rsidR="00C633D6" w:rsidRPr="00C57108">
        <w:rPr>
          <w:b/>
        </w:rPr>
        <w:t>F</w:t>
      </w:r>
      <w:r w:rsidR="007F7292" w:rsidRPr="00C57108">
        <w:t xml:space="preserve">) In </w:t>
      </w:r>
      <w:proofErr w:type="spellStart"/>
      <w:r w:rsidR="007F7292" w:rsidRPr="00C57108">
        <w:t>silico</w:t>
      </w:r>
      <w:proofErr w:type="spellEnd"/>
      <w:r w:rsidR="007F7292" w:rsidRPr="00C57108">
        <w:t xml:space="preserve"> correlation analysis of TCGA dataset for HNSCC patients (</w:t>
      </w:r>
      <w:r w:rsidR="007F7292" w:rsidRPr="00C57108">
        <w:rPr>
          <w:i/>
          <w:iCs/>
        </w:rPr>
        <w:t>n</w:t>
      </w:r>
      <w:r w:rsidR="00BB7609" w:rsidRPr="00C57108">
        <w:t xml:space="preserve"> </w:t>
      </w:r>
      <w:r w:rsidR="007F7292" w:rsidRPr="00C57108">
        <w:t>=</w:t>
      </w:r>
      <w:r w:rsidR="00BB7609" w:rsidRPr="00C57108">
        <w:t xml:space="preserve"> </w:t>
      </w:r>
      <w:r w:rsidR="007F7292" w:rsidRPr="00C57108">
        <w:t xml:space="preserve">517) demonstrated no association of </w:t>
      </w:r>
      <w:r w:rsidR="007F7292" w:rsidRPr="00C57108">
        <w:rPr>
          <w:i/>
          <w:iCs/>
        </w:rPr>
        <w:t>MET</w:t>
      </w:r>
      <w:r w:rsidR="007F7292" w:rsidRPr="00C57108">
        <w:t xml:space="preserve"> gene expression with the CSC markers</w:t>
      </w:r>
      <w:r w:rsidR="007F7292" w:rsidRPr="00C57108">
        <w:rPr>
          <w:i/>
          <w:iCs/>
        </w:rPr>
        <w:t xml:space="preserve"> ALDH1A3 </w:t>
      </w:r>
      <w:r w:rsidR="007F7292" w:rsidRPr="00C57108">
        <w:t>and</w:t>
      </w:r>
      <w:r w:rsidR="007F7292" w:rsidRPr="00C57108">
        <w:rPr>
          <w:i/>
          <w:iCs/>
        </w:rPr>
        <w:t xml:space="preserve"> PROM1 </w:t>
      </w:r>
      <w:r w:rsidR="007F7292" w:rsidRPr="00C57108">
        <w:t>(CD133 gene) (Pearson correlation).</w:t>
      </w:r>
    </w:p>
    <w:p w14:paraId="24B30A9C" w14:textId="4D378623" w:rsidR="007F7292" w:rsidRPr="00C57108" w:rsidRDefault="00BA5745" w:rsidP="00C57108">
      <w:pPr>
        <w:pStyle w:val="MDPI52figure"/>
        <w:rPr>
          <w:sz w:val="18"/>
          <w:szCs w:val="18"/>
        </w:rPr>
      </w:pPr>
      <w:r w:rsidRPr="00C57108">
        <w:rPr>
          <w:noProof/>
          <w:lang w:eastAsia="zh-CN" w:bidi="ar-SA"/>
        </w:rPr>
        <w:drawing>
          <wp:inline distT="0" distB="0" distL="0" distR="0" wp14:anchorId="6621C26E" wp14:editId="5199D138">
            <wp:extent cx="5760720" cy="37973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9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218DE" w14:textId="35B72940" w:rsidR="00D83D1B" w:rsidRPr="00C57108" w:rsidRDefault="00C57108" w:rsidP="00C57108">
      <w:pPr>
        <w:pStyle w:val="MDPI51figurecaption"/>
        <w:ind w:left="425" w:right="425"/>
        <w:jc w:val="both"/>
        <w:rPr>
          <w:sz w:val="20"/>
        </w:rPr>
      </w:pPr>
      <w:r w:rsidRPr="00C57108">
        <w:rPr>
          <w:b/>
        </w:rPr>
        <w:t xml:space="preserve">Figure </w:t>
      </w:r>
      <w:r>
        <w:rPr>
          <w:b/>
        </w:rPr>
        <w:t>S</w:t>
      </w:r>
      <w:r w:rsidRPr="00C57108">
        <w:rPr>
          <w:b/>
        </w:rPr>
        <w:t xml:space="preserve">4. </w:t>
      </w:r>
      <w:proofErr w:type="gramStart"/>
      <w:r w:rsidR="007F7292" w:rsidRPr="00C57108">
        <w:t>c-MET-specific</w:t>
      </w:r>
      <w:proofErr w:type="gramEnd"/>
      <w:r w:rsidR="007F7292" w:rsidRPr="00C57108">
        <w:t xml:space="preserve"> chemical targeting to induce intracellular sensitization of HNSCC cell lines to ionizing radiation. (</w:t>
      </w:r>
      <w:r w:rsidR="00C633D6" w:rsidRPr="00C57108">
        <w:rPr>
          <w:b/>
        </w:rPr>
        <w:t>A</w:t>
      </w:r>
      <w:r w:rsidR="007F7292" w:rsidRPr="00C57108">
        <w:t xml:space="preserve">) The HNSCC cell lines Cal33, </w:t>
      </w:r>
      <w:proofErr w:type="spellStart"/>
      <w:r w:rsidR="007F7292" w:rsidRPr="00C57108">
        <w:t>FaDu</w:t>
      </w:r>
      <w:proofErr w:type="spellEnd"/>
      <w:r w:rsidR="007F7292" w:rsidRPr="00C57108">
        <w:t xml:space="preserve"> and SAS as well as their irradiated </w:t>
      </w:r>
      <w:proofErr w:type="spellStart"/>
      <w:r w:rsidR="007F7292" w:rsidRPr="00C57108">
        <w:t>sublines</w:t>
      </w:r>
      <w:proofErr w:type="spellEnd"/>
      <w:r w:rsidR="007F7292" w:rsidRPr="00C57108">
        <w:t xml:space="preserve"> were pre-treated for 1</w:t>
      </w:r>
      <w:r w:rsidR="00BB7609" w:rsidRPr="00C57108">
        <w:t xml:space="preserve"> </w:t>
      </w:r>
      <w:r w:rsidR="007F7292" w:rsidRPr="00C57108">
        <w:t>h with IC50 concentration (1.5</w:t>
      </w:r>
      <w:r w:rsidR="00BB7609" w:rsidRPr="00C57108">
        <w:t xml:space="preserve"> </w:t>
      </w:r>
      <w:r w:rsidR="007F7292" w:rsidRPr="00C57108">
        <w:t>µM) of the c-MET inhibitor Pha665752 in comparison to DMSO vehicle control, plated for 2D-colony formation assay and irradiated with increasing doses from 2</w:t>
      </w:r>
      <w:r>
        <w:t>–</w:t>
      </w:r>
      <w:r w:rsidR="007F7292" w:rsidRPr="00C57108">
        <w:t>6</w:t>
      </w:r>
      <w:r w:rsidR="00BB7609" w:rsidRPr="00C57108">
        <w:t xml:space="preserve"> </w:t>
      </w:r>
      <w:proofErr w:type="spellStart"/>
      <w:r w:rsidR="007F7292" w:rsidRPr="00C57108">
        <w:t>Gy</w:t>
      </w:r>
      <w:proofErr w:type="spellEnd"/>
      <w:r w:rsidR="007F7292" w:rsidRPr="00C57108">
        <w:t xml:space="preserve">. The dose-response curves illustrate a decreased </w:t>
      </w:r>
      <w:proofErr w:type="spellStart"/>
      <w:r w:rsidR="007F7292" w:rsidRPr="00C57108">
        <w:t>clonogenic</w:t>
      </w:r>
      <w:proofErr w:type="spellEnd"/>
      <w:r w:rsidR="007F7292" w:rsidRPr="00C57108">
        <w:t xml:space="preserve"> survival and in the parental cell lines a moderate </w:t>
      </w:r>
      <w:proofErr w:type="spellStart"/>
      <w:r w:rsidR="007F7292" w:rsidRPr="00C57108">
        <w:t>radiosensitization</w:t>
      </w:r>
      <w:proofErr w:type="spellEnd"/>
      <w:r w:rsidR="007F7292" w:rsidRPr="00C57108">
        <w:t xml:space="preserve"> through Pha665752 (</w:t>
      </w:r>
      <w:r w:rsidR="007F7292" w:rsidRPr="00C57108">
        <w:rPr>
          <w:i/>
          <w:iCs/>
        </w:rPr>
        <w:t>n</w:t>
      </w:r>
      <w:r w:rsidR="00BB7609" w:rsidRPr="00C57108">
        <w:t xml:space="preserve"> </w:t>
      </w:r>
      <w:r w:rsidR="007F7292" w:rsidRPr="00C57108">
        <w:t>=</w:t>
      </w:r>
      <w:r w:rsidR="00BB7609" w:rsidRPr="00C57108">
        <w:t xml:space="preserve"> </w:t>
      </w:r>
      <w:r w:rsidR="007F7292" w:rsidRPr="00C57108">
        <w:t>3, mean ±</w:t>
      </w:r>
      <w:r w:rsidR="00BB7609" w:rsidRPr="00C57108">
        <w:t xml:space="preserve"> </w:t>
      </w:r>
      <w:r w:rsidR="007F7292" w:rsidRPr="00C57108">
        <w:t>SEM, *</w:t>
      </w:r>
      <w:r>
        <w:t xml:space="preserve"> </w:t>
      </w:r>
      <w:r w:rsidR="007F7292" w:rsidRPr="00C57108">
        <w:rPr>
          <w:i/>
          <w:iCs/>
        </w:rPr>
        <w:t>p</w:t>
      </w:r>
      <w:r w:rsidR="00BB7609" w:rsidRPr="00C57108">
        <w:t xml:space="preserve"> </w:t>
      </w:r>
      <w:r w:rsidR="007F7292" w:rsidRPr="00C57108">
        <w:t>&lt;</w:t>
      </w:r>
      <w:r w:rsidR="00BB7609" w:rsidRPr="00C57108">
        <w:t xml:space="preserve"> </w:t>
      </w:r>
      <w:r w:rsidR="007F7292" w:rsidRPr="00C57108">
        <w:t>0.05). (</w:t>
      </w:r>
      <w:r w:rsidR="00C633D6" w:rsidRPr="00C57108">
        <w:rPr>
          <w:b/>
        </w:rPr>
        <w:t>B</w:t>
      </w:r>
      <w:r w:rsidR="007F7292" w:rsidRPr="00C57108">
        <w:t xml:space="preserve">) Influence of c-MET inhibitors Pha665752, </w:t>
      </w:r>
      <w:proofErr w:type="spellStart"/>
      <w:r w:rsidR="007F7292" w:rsidRPr="00C57108">
        <w:t>foretinib</w:t>
      </w:r>
      <w:proofErr w:type="spellEnd"/>
      <w:r w:rsidR="007F7292" w:rsidRPr="00C57108">
        <w:t xml:space="preserve"> and </w:t>
      </w:r>
      <w:proofErr w:type="spellStart"/>
      <w:r w:rsidR="007F7292" w:rsidRPr="00C57108">
        <w:t>crizotinib</w:t>
      </w:r>
      <w:proofErr w:type="spellEnd"/>
      <w:r w:rsidR="007F7292" w:rsidRPr="00C57108">
        <w:t xml:space="preserve"> on </w:t>
      </w:r>
      <w:proofErr w:type="spellStart"/>
      <w:r w:rsidR="007F7292" w:rsidRPr="00C57108">
        <w:t>clonogenic</w:t>
      </w:r>
      <w:proofErr w:type="spellEnd"/>
      <w:r w:rsidR="007F7292" w:rsidRPr="00C57108">
        <w:t xml:space="preserve"> survival in 3D-matrigel-based colony formation assay for Cal33 and SAS cells (</w:t>
      </w:r>
      <w:r w:rsidR="007F7292" w:rsidRPr="00C57108">
        <w:rPr>
          <w:i/>
          <w:iCs/>
        </w:rPr>
        <w:t>n</w:t>
      </w:r>
      <w:r w:rsidR="00BB7609" w:rsidRPr="00C57108">
        <w:t xml:space="preserve"> </w:t>
      </w:r>
      <w:r w:rsidR="007F7292" w:rsidRPr="00C57108">
        <w:t>=</w:t>
      </w:r>
      <w:r w:rsidR="00BB7609" w:rsidRPr="00C57108">
        <w:t xml:space="preserve"> </w:t>
      </w:r>
      <w:r w:rsidR="007F7292" w:rsidRPr="00C57108">
        <w:t>3, mean ±</w:t>
      </w:r>
      <w:r w:rsidR="00BB7609" w:rsidRPr="00C57108">
        <w:t xml:space="preserve"> </w:t>
      </w:r>
      <w:r w:rsidR="007F7292" w:rsidRPr="00C57108">
        <w:t>SEM, *</w:t>
      </w:r>
      <w:r>
        <w:t xml:space="preserve"> </w:t>
      </w:r>
      <w:r w:rsidR="007F7292" w:rsidRPr="00C57108">
        <w:rPr>
          <w:i/>
          <w:iCs/>
        </w:rPr>
        <w:t>p</w:t>
      </w:r>
      <w:r w:rsidR="007F7292" w:rsidRPr="00C57108">
        <w:t>&lt;0.05). (</w:t>
      </w:r>
      <w:r w:rsidR="00C633D6" w:rsidRPr="00C57108">
        <w:rPr>
          <w:b/>
        </w:rPr>
        <w:t>C</w:t>
      </w:r>
      <w:r w:rsidR="007F7292" w:rsidRPr="00C57108">
        <w:t xml:space="preserve">) </w:t>
      </w:r>
      <w:proofErr w:type="spellStart"/>
      <w:r w:rsidR="007F7292" w:rsidRPr="00C57108">
        <w:t>Crizotinib</w:t>
      </w:r>
      <w:proofErr w:type="spellEnd"/>
      <w:r w:rsidR="007F7292" w:rsidRPr="00C57108">
        <w:t xml:space="preserve"> is decreasing the </w:t>
      </w:r>
      <w:proofErr w:type="spellStart"/>
      <w:r w:rsidR="007F7292" w:rsidRPr="00C57108">
        <w:t>radiosensitivity</w:t>
      </w:r>
      <w:proofErr w:type="spellEnd"/>
      <w:r w:rsidR="007F7292" w:rsidRPr="00C57108">
        <w:t xml:space="preserve"> of the keratinocyte cell line </w:t>
      </w:r>
      <w:proofErr w:type="spellStart"/>
      <w:r w:rsidR="007F7292" w:rsidRPr="00C57108">
        <w:t>HaCaT</w:t>
      </w:r>
      <w:proofErr w:type="spellEnd"/>
      <w:r w:rsidR="007F7292" w:rsidRPr="00C57108">
        <w:t xml:space="preserve"> significantly (</w:t>
      </w:r>
      <w:r w:rsidR="007F7292" w:rsidRPr="00C57108">
        <w:rPr>
          <w:i/>
          <w:iCs/>
        </w:rPr>
        <w:t>n</w:t>
      </w:r>
      <w:r w:rsidR="00903121" w:rsidRPr="00C57108">
        <w:t xml:space="preserve"> </w:t>
      </w:r>
      <w:r w:rsidR="007F7292" w:rsidRPr="00C57108">
        <w:t>=</w:t>
      </w:r>
      <w:r w:rsidR="00903121" w:rsidRPr="00C57108">
        <w:t xml:space="preserve"> </w:t>
      </w:r>
      <w:r w:rsidR="007F7292" w:rsidRPr="00C57108">
        <w:t>3, mean ±</w:t>
      </w:r>
      <w:r w:rsidR="00903121" w:rsidRPr="00C57108">
        <w:t xml:space="preserve"> </w:t>
      </w:r>
      <w:r w:rsidR="007F7292" w:rsidRPr="00C57108">
        <w:t>SEM, **p</w:t>
      </w:r>
      <w:r w:rsidR="00BB7609" w:rsidRPr="00C57108">
        <w:t xml:space="preserve"> </w:t>
      </w:r>
      <w:r w:rsidR="007F7292" w:rsidRPr="00C57108">
        <w:t>&lt;</w:t>
      </w:r>
      <w:r w:rsidR="00BB7609" w:rsidRPr="00C57108">
        <w:t xml:space="preserve"> </w:t>
      </w:r>
      <w:r w:rsidR="007F7292" w:rsidRPr="00C57108">
        <w:t>0.01). (</w:t>
      </w:r>
      <w:r w:rsidR="00C633D6" w:rsidRPr="00C57108">
        <w:rPr>
          <w:b/>
        </w:rPr>
        <w:t>D</w:t>
      </w:r>
      <w:r w:rsidR="007F7292" w:rsidRPr="00C57108">
        <w:t>)</w:t>
      </w:r>
      <w:r w:rsidR="00455A4B" w:rsidRPr="00C57108">
        <w:t xml:space="preserve"> </w:t>
      </w:r>
      <w:r w:rsidR="00E05A56" w:rsidRPr="00C57108">
        <w:t xml:space="preserve">Comparative </w:t>
      </w:r>
      <w:proofErr w:type="spellStart"/>
      <w:r w:rsidR="00E05A56" w:rsidRPr="00C57108">
        <w:t>k</w:t>
      </w:r>
      <w:r w:rsidR="00455A4B" w:rsidRPr="00C57108">
        <w:t>inome</w:t>
      </w:r>
      <w:proofErr w:type="spellEnd"/>
      <w:r w:rsidR="00455A4B" w:rsidRPr="00C57108">
        <w:t xml:space="preserve"> activity </w:t>
      </w:r>
      <w:r w:rsidR="00E05A56" w:rsidRPr="00C57108">
        <w:t xml:space="preserve">analysis </w:t>
      </w:r>
      <w:r w:rsidR="00455A4B" w:rsidRPr="00C57108">
        <w:t xml:space="preserve">of responding cell line Cal33 </w:t>
      </w:r>
      <w:r w:rsidR="00E05A56" w:rsidRPr="00C57108">
        <w:t>in comparison to</w:t>
      </w:r>
      <w:r w:rsidR="00455A4B" w:rsidRPr="00C57108">
        <w:t xml:space="preserve"> non-responding line SAS</w:t>
      </w:r>
      <w:r w:rsidR="00E05A56" w:rsidRPr="00C57108">
        <w:t>, including upstream kinase signaling pathway analysis.</w:t>
      </w:r>
      <w:r w:rsidR="007F7292" w:rsidRPr="00C57108">
        <w:t xml:space="preserve"> </w:t>
      </w:r>
      <w:r w:rsidR="00455A4B" w:rsidRPr="00C57108">
        <w:t>(</w:t>
      </w:r>
      <w:r w:rsidR="00455A4B" w:rsidRPr="00C57108">
        <w:rPr>
          <w:b/>
          <w:bCs/>
        </w:rPr>
        <w:t>E</w:t>
      </w:r>
      <w:r w:rsidR="00455A4B" w:rsidRPr="00C57108">
        <w:t xml:space="preserve">) </w:t>
      </w:r>
      <w:r w:rsidR="007F7292" w:rsidRPr="00C57108">
        <w:t xml:space="preserve">Representative scheme illustrating the observed resistance to </w:t>
      </w:r>
      <w:proofErr w:type="spellStart"/>
      <w:r w:rsidR="007F7292" w:rsidRPr="00C57108">
        <w:t>crizotinib</w:t>
      </w:r>
      <w:proofErr w:type="spellEnd"/>
      <w:r w:rsidR="007F7292" w:rsidRPr="00C57108">
        <w:t xml:space="preserve"> treatment in HNSCC cells mediated by compensatory PI3K/AKT and RAS/RAF/MAPK signaling.</w:t>
      </w:r>
    </w:p>
    <w:sectPr w:rsidR="00D83D1B" w:rsidRPr="00C57108" w:rsidSect="00C57108">
      <w:headerReference w:type="default" r:id="rId11"/>
      <w:footerReference w:type="default" r:id="rId12"/>
      <w:headerReference w:type="first" r:id="rId13"/>
      <w:type w:val="continuous"/>
      <w:pgSz w:w="11906" w:h="16838"/>
      <w:pgMar w:top="1417" w:right="720" w:bottom="1077" w:left="720" w:header="1020" w:footer="340" w:gutter="0"/>
      <w:cols w:space="708"/>
      <w:titlePg/>
      <w:bidi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05C23" w16cex:dateUtc="2021-04-13T16:06:00Z"/>
  <w16cex:commentExtensible w16cex:durableId="24205C6E" w16cex:dateUtc="2021-04-13T16:07:00Z"/>
  <w16cex:commentExtensible w16cex:durableId="242094E1" w16cex:dateUtc="2021-04-13T2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2C23EF" w16cid:durableId="24205C23"/>
  <w16cid:commentId w16cid:paraId="1B91B52B" w16cid:durableId="24205C6E"/>
  <w16cid:commentId w16cid:paraId="6EF28576" w16cid:durableId="242094E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4EBDC" w14:textId="77777777" w:rsidR="003A670F" w:rsidRDefault="003A670F" w:rsidP="007F7292">
      <w:pPr>
        <w:spacing w:after="0" w:line="240" w:lineRule="auto"/>
      </w:pPr>
      <w:r>
        <w:separator/>
      </w:r>
    </w:p>
  </w:endnote>
  <w:endnote w:type="continuationSeparator" w:id="0">
    <w:p w14:paraId="3E5D1A03" w14:textId="77777777" w:rsidR="003A670F" w:rsidRDefault="003A670F" w:rsidP="007F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9363930"/>
      <w:docPartObj>
        <w:docPartGallery w:val="Page Numbers (Bottom of Page)"/>
        <w:docPartUnique/>
      </w:docPartObj>
    </w:sdtPr>
    <w:sdtEndPr/>
    <w:sdtContent>
      <w:p w14:paraId="149A2425" w14:textId="7FC0A373" w:rsidR="007F7292" w:rsidRDefault="007F729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BC3">
          <w:rPr>
            <w:noProof/>
          </w:rPr>
          <w:t>3</w:t>
        </w:r>
        <w:r>
          <w:fldChar w:fldCharType="end"/>
        </w:r>
      </w:p>
    </w:sdtContent>
  </w:sdt>
  <w:p w14:paraId="6DF6B6DA" w14:textId="77777777" w:rsidR="007F7292" w:rsidRDefault="007F72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81253" w14:textId="77777777" w:rsidR="003A670F" w:rsidRDefault="003A670F" w:rsidP="007F7292">
      <w:pPr>
        <w:spacing w:after="0" w:line="240" w:lineRule="auto"/>
      </w:pPr>
      <w:bookmarkStart w:id="0" w:name="_Hlk65251513"/>
      <w:bookmarkEnd w:id="0"/>
      <w:r>
        <w:separator/>
      </w:r>
    </w:p>
  </w:footnote>
  <w:footnote w:type="continuationSeparator" w:id="0">
    <w:p w14:paraId="120B89ED" w14:textId="77777777" w:rsidR="003A670F" w:rsidRDefault="003A670F" w:rsidP="007F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CC184" w14:textId="2A53250C" w:rsidR="00C57108" w:rsidRPr="00C57108" w:rsidRDefault="00C57108" w:rsidP="00C57108">
    <w:pPr>
      <w:tabs>
        <w:tab w:val="right" w:pos="10466"/>
      </w:tabs>
      <w:adjustRightInd w:val="0"/>
      <w:snapToGrid w:val="0"/>
      <w:spacing w:after="0" w:line="240" w:lineRule="auto"/>
      <w:rPr>
        <w:rFonts w:ascii="Palatino Linotype" w:hAnsi="Palatino Linotype"/>
        <w:sz w:val="16"/>
      </w:rPr>
    </w:pPr>
    <w:r w:rsidRPr="00C57108">
      <w:rPr>
        <w:rFonts w:ascii="Palatino Linotype" w:hAnsi="Palatino Linotype"/>
        <w:i/>
        <w:sz w:val="16"/>
      </w:rPr>
      <w:t xml:space="preserve">Cancers </w:t>
    </w:r>
    <w:r w:rsidRPr="00C57108">
      <w:rPr>
        <w:rFonts w:ascii="Palatino Linotype" w:hAnsi="Palatino Linotype"/>
        <w:b/>
        <w:sz w:val="16"/>
      </w:rPr>
      <w:t>2021</w:t>
    </w:r>
    <w:r w:rsidRPr="00C57108"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t>S</w:t>
    </w:r>
    <w:r w:rsidRPr="00C57108">
      <w:rPr>
        <w:rFonts w:ascii="Palatino Linotype" w:hAnsi="Palatino Linotype"/>
        <w:sz w:val="16"/>
      </w:rPr>
      <w:fldChar w:fldCharType="begin"/>
    </w:r>
    <w:r w:rsidRPr="00C57108">
      <w:rPr>
        <w:rFonts w:ascii="Palatino Linotype" w:hAnsi="Palatino Linotype"/>
        <w:sz w:val="16"/>
      </w:rPr>
      <w:instrText xml:space="preserve"> PAGE   \* MERGEFORMAT </w:instrText>
    </w:r>
    <w:r w:rsidRPr="00C57108">
      <w:rPr>
        <w:rFonts w:ascii="Palatino Linotype" w:hAnsi="Palatino Linotype"/>
        <w:sz w:val="16"/>
      </w:rPr>
      <w:fldChar w:fldCharType="separate"/>
    </w:r>
    <w:r w:rsidR="00F21BC3">
      <w:rPr>
        <w:rFonts w:ascii="Palatino Linotype" w:hAnsi="Palatino Linotype"/>
        <w:noProof/>
        <w:sz w:val="16"/>
      </w:rPr>
      <w:t>3</w:t>
    </w:r>
    <w:r w:rsidRPr="00C57108">
      <w:rPr>
        <w:rFonts w:ascii="Palatino Linotype" w:hAnsi="Palatino Linotype"/>
        <w:sz w:val="16"/>
      </w:rPr>
      <w:fldChar w:fldCharType="end"/>
    </w:r>
    <w:r w:rsidRPr="00C57108"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t>S</w:t>
    </w:r>
    <w:r w:rsidRPr="00C57108">
      <w:rPr>
        <w:rFonts w:ascii="Palatino Linotype" w:hAnsi="Palatino Linotype"/>
        <w:sz w:val="16"/>
      </w:rPr>
      <w:fldChar w:fldCharType="begin"/>
    </w:r>
    <w:r w:rsidRPr="00C57108">
      <w:rPr>
        <w:rFonts w:ascii="Palatino Linotype" w:hAnsi="Palatino Linotype"/>
        <w:sz w:val="16"/>
      </w:rPr>
      <w:instrText xml:space="preserve"> NUMPAGES   \* MERGEFORMAT </w:instrText>
    </w:r>
    <w:r w:rsidRPr="00C57108">
      <w:rPr>
        <w:rFonts w:ascii="Palatino Linotype" w:hAnsi="Palatino Linotype"/>
        <w:sz w:val="16"/>
      </w:rPr>
      <w:fldChar w:fldCharType="separate"/>
    </w:r>
    <w:r w:rsidR="00F21BC3">
      <w:rPr>
        <w:rFonts w:ascii="Palatino Linotype" w:hAnsi="Palatino Linotype"/>
        <w:noProof/>
        <w:sz w:val="16"/>
      </w:rPr>
      <w:t>3</w:t>
    </w:r>
    <w:r w:rsidRPr="00C57108">
      <w:rPr>
        <w:rFonts w:ascii="Palatino Linotype" w:hAnsi="Palatino Linotype"/>
        <w:sz w:val="16"/>
      </w:rPr>
      <w:fldChar w:fldCharType="end"/>
    </w:r>
  </w:p>
  <w:p w14:paraId="1658BF65" w14:textId="77777777" w:rsidR="00C57108" w:rsidRPr="00C57108" w:rsidRDefault="00C57108" w:rsidP="00C57108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rPr>
        <w:rFonts w:ascii="Palatino Linotype" w:hAnsi="Palatino Linotype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C57108" w:rsidRPr="00AC5F82" w14:paraId="1F4EA4C6" w14:textId="77777777" w:rsidTr="00E7625A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1AF1E9EF" w14:textId="77777777" w:rsidR="00C57108" w:rsidRPr="00BD0BE9" w:rsidRDefault="00C57108" w:rsidP="00C57108">
          <w:pPr>
            <w:pStyle w:val="Header"/>
            <w:rPr>
              <w:rFonts w:eastAsia="DengXian"/>
              <w:b/>
              <w:bCs/>
            </w:rPr>
          </w:pPr>
          <w:r w:rsidRPr="00BD0BE9">
            <w:rPr>
              <w:rFonts w:eastAsia="DengXian"/>
              <w:b/>
              <w:bCs/>
              <w:noProof/>
              <w:lang w:val="en-US" w:eastAsia="zh-CN"/>
            </w:rPr>
            <w:drawing>
              <wp:inline distT="0" distB="0" distL="0" distR="0" wp14:anchorId="450E7BB3" wp14:editId="57AC6BAD">
                <wp:extent cx="1686560" cy="427355"/>
                <wp:effectExtent l="0" t="0" r="0" b="0"/>
                <wp:docPr id="4" name="Picture 3" descr="C:\Users\home\Desktop\logos\cancer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cancer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6560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4DA82DCC" w14:textId="77777777" w:rsidR="00C57108" w:rsidRPr="00BD0BE9" w:rsidRDefault="00C57108" w:rsidP="00C57108">
          <w:pPr>
            <w:pStyle w:val="Header"/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47F1B8E3" w14:textId="77777777" w:rsidR="00C57108" w:rsidRPr="00BD0BE9" w:rsidRDefault="00C57108" w:rsidP="00C57108">
          <w:pPr>
            <w:pStyle w:val="Header"/>
            <w:jc w:val="right"/>
            <w:rPr>
              <w:rFonts w:eastAsia="DengXian"/>
              <w:b/>
              <w:bCs/>
            </w:rPr>
          </w:pPr>
          <w:r w:rsidRPr="00BD0BE9">
            <w:rPr>
              <w:rFonts w:eastAsia="DengXian"/>
              <w:b/>
              <w:bCs/>
              <w:noProof/>
              <w:lang w:val="en-US" w:eastAsia="zh-CN"/>
            </w:rPr>
            <w:drawing>
              <wp:inline distT="0" distB="0" distL="0" distR="0" wp14:anchorId="0CABAA09" wp14:editId="30A6DB1C">
                <wp:extent cx="540385" cy="356235"/>
                <wp:effectExtent l="0" t="0" r="0" b="5715"/>
                <wp:docPr id="1" name="Picture 2" descr="M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385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713FE46" w14:textId="77777777" w:rsidR="00C57108" w:rsidRPr="005F530C" w:rsidRDefault="00C57108" w:rsidP="00C57108">
    <w:pPr>
      <w:pBdr>
        <w:bottom w:val="single" w:sz="4" w:space="1" w:color="000000"/>
      </w:pBdr>
      <w:adjustRightInd w:val="0"/>
      <w:snapToGrid w:val="0"/>
      <w:spacing w:line="1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51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D1B"/>
    <w:rsid w:val="00240BC8"/>
    <w:rsid w:val="00244C0F"/>
    <w:rsid w:val="002909AA"/>
    <w:rsid w:val="002A4EAD"/>
    <w:rsid w:val="003A670F"/>
    <w:rsid w:val="003D3F41"/>
    <w:rsid w:val="00455A4B"/>
    <w:rsid w:val="00686712"/>
    <w:rsid w:val="006F082D"/>
    <w:rsid w:val="007451B5"/>
    <w:rsid w:val="00771F63"/>
    <w:rsid w:val="00791338"/>
    <w:rsid w:val="007F7292"/>
    <w:rsid w:val="00871664"/>
    <w:rsid w:val="00903121"/>
    <w:rsid w:val="00AC4AA7"/>
    <w:rsid w:val="00AD48F6"/>
    <w:rsid w:val="00B64C89"/>
    <w:rsid w:val="00BA5745"/>
    <w:rsid w:val="00BB7609"/>
    <w:rsid w:val="00C57108"/>
    <w:rsid w:val="00C633D6"/>
    <w:rsid w:val="00C705DF"/>
    <w:rsid w:val="00D30E35"/>
    <w:rsid w:val="00D322E6"/>
    <w:rsid w:val="00D75CEF"/>
    <w:rsid w:val="00D83D1B"/>
    <w:rsid w:val="00E05A56"/>
    <w:rsid w:val="00F13257"/>
    <w:rsid w:val="00F21BC3"/>
    <w:rsid w:val="00F570DB"/>
    <w:rsid w:val="00F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C0CE8"/>
  <w15:chartTrackingRefBased/>
  <w15:docId w15:val="{E88B6D63-15EB-4E02-819A-7BCAE65C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292"/>
  </w:style>
  <w:style w:type="paragraph" w:styleId="Footer">
    <w:name w:val="footer"/>
    <w:basedOn w:val="Normal"/>
    <w:link w:val="FooterChar"/>
    <w:uiPriority w:val="99"/>
    <w:unhideWhenUsed/>
    <w:rsid w:val="007F7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292"/>
  </w:style>
  <w:style w:type="character" w:styleId="CommentReference">
    <w:name w:val="annotation reference"/>
    <w:basedOn w:val="DefaultParagraphFont"/>
    <w:uiPriority w:val="99"/>
    <w:semiHidden/>
    <w:unhideWhenUsed/>
    <w:rsid w:val="00BB76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6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6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6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6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108"/>
    <w:rPr>
      <w:rFonts w:ascii="Segoe UI" w:hAnsi="Segoe UI" w:cs="Segoe UI"/>
      <w:sz w:val="18"/>
      <w:szCs w:val="18"/>
    </w:rPr>
  </w:style>
  <w:style w:type="paragraph" w:customStyle="1" w:styleId="MDPI11articletype">
    <w:name w:val="MDPI_1.1_article_type"/>
    <w:next w:val="Normal"/>
    <w:qFormat/>
    <w:rsid w:val="00C57108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C57108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C57108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C57108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C57108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6affiliation">
    <w:name w:val="MDPI_1.6_affiliation"/>
    <w:qFormat/>
    <w:rsid w:val="00C57108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C57108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C57108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classification">
    <w:name w:val="MDPI_1.9_classification"/>
    <w:qFormat/>
    <w:rsid w:val="00C57108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C57108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C5710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C5710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C5710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C57108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C57108"/>
    <w:pPr>
      <w:ind w:firstLine="0"/>
    </w:pPr>
  </w:style>
  <w:style w:type="paragraph" w:customStyle="1" w:styleId="MDPI33textspaceafter">
    <w:name w:val="MDPI_3.3_text_space_after"/>
    <w:qFormat/>
    <w:rsid w:val="00C5710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C57108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C57108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C57108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C57108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C57108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C5710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C57108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C57108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C5710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C57108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C57108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C57108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C57108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C57108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C57108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C57108"/>
    <w:pPr>
      <w:adjustRightInd w:val="0"/>
      <w:snapToGrid w:val="0"/>
      <w:spacing w:after="0" w:line="240" w:lineRule="atLeast"/>
      <w:ind w:right="113"/>
    </w:pPr>
    <w:rPr>
      <w:rFonts w:ascii="Palatino Linotype" w:eastAsiaTheme="minorEastAsia" w:hAnsi="Palatino Linotype"/>
      <w:sz w:val="14"/>
      <w:lang w:val="en-US" w:eastAsia="zh-CN"/>
    </w:rPr>
  </w:style>
  <w:style w:type="paragraph" w:customStyle="1" w:styleId="MDPI61Supplementary">
    <w:name w:val="MDPI_6.1_Supplementary"/>
    <w:basedOn w:val="Normal"/>
    <w:qFormat/>
    <w:rsid w:val="00C57108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C57108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2BackMatter">
    <w:name w:val="MDPI_6.2_BackMatter"/>
    <w:qFormat/>
    <w:rsid w:val="00C5710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AuthorContributions">
    <w:name w:val="MDPI_6.3_AuthorContributions"/>
    <w:basedOn w:val="MDPI62Acknowledgments"/>
    <w:qFormat/>
    <w:rsid w:val="00C57108"/>
    <w:rPr>
      <w:rFonts w:eastAsia="宋体"/>
      <w:color w:val="auto"/>
      <w:lang w:eastAsia="en-US"/>
    </w:rPr>
  </w:style>
  <w:style w:type="paragraph" w:customStyle="1" w:styleId="MDPI63Notes">
    <w:name w:val="MDPI_6.3_Notes"/>
    <w:qFormat/>
    <w:rsid w:val="00C57108"/>
    <w:pPr>
      <w:adjustRightInd w:val="0"/>
      <w:snapToGrid w:val="0"/>
      <w:spacing w:after="120" w:line="240" w:lineRule="atLeast"/>
      <w:ind w:right="113"/>
    </w:pPr>
    <w:rPr>
      <w:rFonts w:ascii="Palatino Linotype" w:eastAsia="宋体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64CoI">
    <w:name w:val="MDPI_6.4_CoI"/>
    <w:basedOn w:val="MDPI62Acknowledgments"/>
    <w:qFormat/>
    <w:rsid w:val="00C57108"/>
  </w:style>
  <w:style w:type="paragraph" w:customStyle="1" w:styleId="MDPI71References">
    <w:name w:val="MDPI_7.1_References"/>
    <w:qFormat/>
    <w:rsid w:val="00C57108"/>
    <w:pPr>
      <w:adjustRightInd w:val="0"/>
      <w:snapToGrid w:val="0"/>
      <w:spacing w:after="0"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C57108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C5710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74PublishersNote">
    <w:name w:val="MDPI_7.4_Publisher'sNote"/>
    <w:qFormat/>
    <w:rsid w:val="00C57108"/>
    <w:pPr>
      <w:adjustRightInd w:val="0"/>
      <w:snapToGrid w:val="0"/>
      <w:spacing w:before="240" w:after="240" w:line="200" w:lineRule="atLeast"/>
    </w:pPr>
    <w:rPr>
      <w:rFonts w:ascii="Palatino Linotype" w:eastAsia="宋体" w:hAnsi="Palatino Linotype" w:cs="Times New Roman"/>
      <w:sz w:val="18"/>
      <w:lang w:val="en-US" w:eastAsia="zh-CN"/>
    </w:rPr>
  </w:style>
  <w:style w:type="paragraph" w:customStyle="1" w:styleId="MDPI81theorem">
    <w:name w:val="MDPI_8.1_theorem"/>
    <w:qFormat/>
    <w:rsid w:val="00C57108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C57108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C57108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C57108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C57108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C5710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C57108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C57108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C57108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C57108"/>
    <w:pPr>
      <w:spacing w:after="0" w:line="240" w:lineRule="auto"/>
    </w:pPr>
    <w:rPr>
      <w:rFonts w:ascii="Palatino Linotype" w:eastAsia="宋体" w:hAnsi="Palatino Linotype" w:cs="Times New Roman"/>
      <w:color w:val="000000" w:themeColor="text1"/>
      <w:sz w:val="20"/>
      <w:szCs w:val="20"/>
      <w:lang w:val="en-C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DPItext">
    <w:name w:val="MDPI_text"/>
    <w:qFormat/>
    <w:rsid w:val="00C57108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C5710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5369</Characters>
  <Application>Microsoft Office Word</Application>
  <DocSecurity>0</DocSecurity>
  <Lines>62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</vt:lpstr>
      <vt:lpstr/>
    </vt:vector>
  </TitlesOfParts>
  <Company/>
  <LinksUpToDate>false</LinksUpToDate>
  <CharactersWithSpaces>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</cp:lastModifiedBy>
  <cp:revision>2</cp:revision>
  <dcterms:created xsi:type="dcterms:W3CDTF">2021-04-14T01:56:00Z</dcterms:created>
  <dcterms:modified xsi:type="dcterms:W3CDTF">2021-04-14T01:56:00Z</dcterms:modified>
</cp:coreProperties>
</file>