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A4C6" w14:textId="0271C0B5" w:rsidR="000D6839" w:rsidRPr="006453D9" w:rsidRDefault="00C81248" w:rsidP="00771C45">
      <w:pPr>
        <w:pStyle w:val="MDPI11articletype"/>
      </w:pPr>
      <w:r>
        <w:t xml:space="preserve">Supplementary </w:t>
      </w:r>
      <w:r w:rsidR="00771C45">
        <w:t>M</w:t>
      </w:r>
      <w:r>
        <w:t>aterials</w:t>
      </w:r>
    </w:p>
    <w:p w14:paraId="32CA89A3" w14:textId="77777777" w:rsidR="00517E5C" w:rsidRPr="00122761" w:rsidRDefault="00517E5C" w:rsidP="00517E5C">
      <w:pPr>
        <w:pStyle w:val="MDPI12title"/>
      </w:pPr>
      <w:r w:rsidRPr="00122761">
        <w:t>Association of Telomere Length with Colorectal Cancer Risk and Prognosis: A Systematic Review and Meta-Analysis</w:t>
      </w:r>
    </w:p>
    <w:p w14:paraId="627BBE15" w14:textId="666A9776" w:rsidR="00D6477B" w:rsidRDefault="009E0359" w:rsidP="009E0359">
      <w:pPr>
        <w:pStyle w:val="MDPI13authornames"/>
      </w:pPr>
      <w:r w:rsidRPr="009E0359">
        <w:t xml:space="preserve">Svenja </w:t>
      </w:r>
      <w:proofErr w:type="spellStart"/>
      <w:r w:rsidRPr="009E0359">
        <w:t>Pauleck</w:t>
      </w:r>
      <w:proofErr w:type="spellEnd"/>
      <w:r w:rsidRPr="009E0359">
        <w:t xml:space="preserve">, Jennifer A. Sinnott, Yun-Ling Zheng, Shahinaz M. Gadalla, Richard </w:t>
      </w:r>
      <w:proofErr w:type="spellStart"/>
      <w:r w:rsidRPr="009E0359">
        <w:t>Viskochil</w:t>
      </w:r>
      <w:proofErr w:type="spellEnd"/>
      <w:r w:rsidRPr="009E0359">
        <w:t xml:space="preserve">, Ben Haaland, Richard M. Cawthon, Albrecht Hoffmeister, Sheetal </w:t>
      </w:r>
      <w:proofErr w:type="spellStart"/>
      <w:r w:rsidRPr="009E0359">
        <w:t>Hardikar</w:t>
      </w:r>
      <w:proofErr w:type="spellEnd"/>
    </w:p>
    <w:p w14:paraId="31DC545C" w14:textId="05A14FC9" w:rsidR="00C81248" w:rsidRPr="0059615D" w:rsidRDefault="00A42882" w:rsidP="00A42882">
      <w:pPr>
        <w:pStyle w:val="MDPI41tablecaption"/>
      </w:pPr>
      <w:r w:rsidRPr="00A42882">
        <w:rPr>
          <w:b/>
          <w:bCs/>
        </w:rPr>
        <w:t xml:space="preserve">Table S1. </w:t>
      </w:r>
      <w:r w:rsidR="00C81248" w:rsidRPr="0059615D">
        <w:t>Search terms for literature search within the three databases to evaluate the association of telomere length with colorectal cancer risk and survival.</w:t>
      </w:r>
    </w:p>
    <w:tbl>
      <w:tblPr>
        <w:tblStyle w:val="TableGrid3"/>
        <w:tblW w:w="10465" w:type="dxa"/>
        <w:jc w:val="center"/>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05"/>
        <w:gridCol w:w="8860"/>
      </w:tblGrid>
      <w:tr w:rsidR="00C81248" w:rsidRPr="00A42882" w14:paraId="05392A5A" w14:textId="77777777" w:rsidTr="00A42882">
        <w:trPr>
          <w:jc w:val="center"/>
        </w:trPr>
        <w:tc>
          <w:tcPr>
            <w:tcW w:w="1605" w:type="dxa"/>
            <w:tcBorders>
              <w:top w:val="single" w:sz="8" w:space="0" w:color="auto"/>
              <w:bottom w:val="single" w:sz="4" w:space="0" w:color="auto"/>
            </w:tcBorders>
            <w:shd w:val="clear" w:color="auto" w:fill="auto"/>
            <w:vAlign w:val="center"/>
          </w:tcPr>
          <w:p w14:paraId="2991EB9B" w14:textId="77777777" w:rsidR="00C81248" w:rsidRPr="00A42882" w:rsidRDefault="00C81248" w:rsidP="00A42882">
            <w:pPr>
              <w:autoSpaceDE w:val="0"/>
              <w:autoSpaceDN w:val="0"/>
              <w:adjustRightInd w:val="0"/>
              <w:snapToGrid w:val="0"/>
              <w:spacing w:line="240" w:lineRule="auto"/>
              <w:jc w:val="center"/>
              <w:rPr>
                <w:b/>
                <w:noProof w:val="0"/>
                <w:color w:val="auto"/>
                <w:sz w:val="20"/>
                <w:szCs w:val="20"/>
              </w:rPr>
            </w:pPr>
            <w:r w:rsidRPr="00A42882">
              <w:rPr>
                <w:b/>
                <w:noProof w:val="0"/>
                <w:color w:val="auto"/>
                <w:sz w:val="20"/>
                <w:szCs w:val="20"/>
              </w:rPr>
              <w:t>Database</w:t>
            </w:r>
          </w:p>
        </w:tc>
        <w:tc>
          <w:tcPr>
            <w:tcW w:w="8860" w:type="dxa"/>
            <w:tcBorders>
              <w:top w:val="single" w:sz="8" w:space="0" w:color="auto"/>
              <w:bottom w:val="single" w:sz="4" w:space="0" w:color="auto"/>
            </w:tcBorders>
            <w:shd w:val="clear" w:color="auto" w:fill="auto"/>
            <w:vAlign w:val="center"/>
          </w:tcPr>
          <w:p w14:paraId="5E087339" w14:textId="77777777" w:rsidR="00C81248" w:rsidRPr="00A42882" w:rsidRDefault="00C81248" w:rsidP="00A42882">
            <w:pPr>
              <w:autoSpaceDE w:val="0"/>
              <w:autoSpaceDN w:val="0"/>
              <w:adjustRightInd w:val="0"/>
              <w:snapToGrid w:val="0"/>
              <w:spacing w:line="240" w:lineRule="auto"/>
              <w:jc w:val="center"/>
              <w:rPr>
                <w:b/>
                <w:noProof w:val="0"/>
                <w:color w:val="auto"/>
                <w:sz w:val="20"/>
                <w:szCs w:val="20"/>
              </w:rPr>
            </w:pPr>
            <w:r w:rsidRPr="00A42882">
              <w:rPr>
                <w:b/>
                <w:noProof w:val="0"/>
                <w:color w:val="auto"/>
                <w:sz w:val="20"/>
                <w:szCs w:val="20"/>
              </w:rPr>
              <w:t>Search terms</w:t>
            </w:r>
          </w:p>
        </w:tc>
      </w:tr>
      <w:tr w:rsidR="00C81248" w:rsidRPr="00A42882" w14:paraId="59EF722A" w14:textId="77777777" w:rsidTr="00A42882">
        <w:trPr>
          <w:jc w:val="center"/>
        </w:trPr>
        <w:tc>
          <w:tcPr>
            <w:tcW w:w="1605" w:type="dxa"/>
            <w:tcBorders>
              <w:top w:val="single" w:sz="4" w:space="0" w:color="auto"/>
              <w:bottom w:val="nil"/>
            </w:tcBorders>
            <w:shd w:val="clear" w:color="auto" w:fill="auto"/>
            <w:vAlign w:val="center"/>
          </w:tcPr>
          <w:p w14:paraId="7D1A6D99"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Medline</w:t>
            </w:r>
          </w:p>
        </w:tc>
        <w:tc>
          <w:tcPr>
            <w:tcW w:w="8860" w:type="dxa"/>
            <w:tcBorders>
              <w:top w:val="single" w:sz="4" w:space="0" w:color="auto"/>
              <w:bottom w:val="nil"/>
            </w:tcBorders>
            <w:shd w:val="clear" w:color="auto" w:fill="auto"/>
            <w:vAlign w:val="center"/>
          </w:tcPr>
          <w:p w14:paraId="79EB7B8B"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(("Colorectal Neoplasms"[Mesh] OR "colorectal cancer"[</w:t>
            </w:r>
            <w:proofErr w:type="spellStart"/>
            <w:r w:rsidRPr="00A42882">
              <w:rPr>
                <w:noProof w:val="0"/>
                <w:color w:val="auto"/>
                <w:sz w:val="20"/>
                <w:szCs w:val="20"/>
              </w:rPr>
              <w:t>tiab</w:t>
            </w:r>
            <w:proofErr w:type="spellEnd"/>
            <w:r w:rsidRPr="00A42882">
              <w:rPr>
                <w:noProof w:val="0"/>
                <w:color w:val="auto"/>
                <w:sz w:val="20"/>
                <w:szCs w:val="20"/>
              </w:rPr>
              <w:t>] OR "colorectal neoplasms"[</w:t>
            </w:r>
            <w:proofErr w:type="spellStart"/>
            <w:r w:rsidRPr="00A42882">
              <w:rPr>
                <w:noProof w:val="0"/>
                <w:color w:val="auto"/>
                <w:sz w:val="20"/>
                <w:szCs w:val="20"/>
              </w:rPr>
              <w:t>tiab</w:t>
            </w:r>
            <w:proofErr w:type="spellEnd"/>
            <w:r w:rsidRPr="00A42882">
              <w:rPr>
                <w:noProof w:val="0"/>
                <w:color w:val="auto"/>
                <w:sz w:val="20"/>
                <w:szCs w:val="20"/>
              </w:rPr>
              <w:t>] OR "colorectal carcinoma"[</w:t>
            </w:r>
            <w:proofErr w:type="spellStart"/>
            <w:r w:rsidRPr="00A42882">
              <w:rPr>
                <w:noProof w:val="0"/>
                <w:color w:val="auto"/>
                <w:sz w:val="20"/>
                <w:szCs w:val="20"/>
              </w:rPr>
              <w:t>tiab</w:t>
            </w:r>
            <w:proofErr w:type="spellEnd"/>
            <w:r w:rsidRPr="00A42882">
              <w:rPr>
                <w:noProof w:val="0"/>
                <w:color w:val="auto"/>
                <w:sz w:val="20"/>
                <w:szCs w:val="20"/>
              </w:rPr>
              <w:t>] OR "colorectal tumor"[</w:t>
            </w:r>
            <w:proofErr w:type="spellStart"/>
            <w:r w:rsidRPr="00A42882">
              <w:rPr>
                <w:noProof w:val="0"/>
                <w:color w:val="auto"/>
                <w:sz w:val="20"/>
                <w:szCs w:val="20"/>
              </w:rPr>
              <w:t>tiab</w:t>
            </w:r>
            <w:proofErr w:type="spellEnd"/>
            <w:r w:rsidRPr="00A42882">
              <w:rPr>
                <w:noProof w:val="0"/>
                <w:color w:val="auto"/>
                <w:sz w:val="20"/>
                <w:szCs w:val="20"/>
              </w:rPr>
              <w:t>] OR "colon neoplasm"[</w:t>
            </w:r>
            <w:proofErr w:type="spellStart"/>
            <w:r w:rsidRPr="00A42882">
              <w:rPr>
                <w:noProof w:val="0"/>
                <w:color w:val="auto"/>
                <w:sz w:val="20"/>
                <w:szCs w:val="20"/>
              </w:rPr>
              <w:t>tiab</w:t>
            </w:r>
            <w:proofErr w:type="spellEnd"/>
            <w:r w:rsidRPr="00A42882">
              <w:rPr>
                <w:noProof w:val="0"/>
                <w:color w:val="auto"/>
                <w:sz w:val="20"/>
                <w:szCs w:val="20"/>
              </w:rPr>
              <w:t>] OR "cancer of colon"[</w:t>
            </w:r>
            <w:proofErr w:type="spellStart"/>
            <w:r w:rsidRPr="00A42882">
              <w:rPr>
                <w:noProof w:val="0"/>
                <w:color w:val="auto"/>
                <w:sz w:val="20"/>
                <w:szCs w:val="20"/>
              </w:rPr>
              <w:t>tiab</w:t>
            </w:r>
            <w:proofErr w:type="spellEnd"/>
            <w:r w:rsidRPr="00A42882">
              <w:rPr>
                <w:noProof w:val="0"/>
                <w:color w:val="auto"/>
                <w:sz w:val="20"/>
                <w:szCs w:val="20"/>
              </w:rPr>
              <w:t>] OR "colon cancer"[</w:t>
            </w:r>
            <w:proofErr w:type="spellStart"/>
            <w:r w:rsidRPr="00A42882">
              <w:rPr>
                <w:noProof w:val="0"/>
                <w:color w:val="auto"/>
                <w:sz w:val="20"/>
                <w:szCs w:val="20"/>
              </w:rPr>
              <w:t>tiab</w:t>
            </w:r>
            <w:proofErr w:type="spellEnd"/>
            <w:r w:rsidRPr="00A42882">
              <w:rPr>
                <w:noProof w:val="0"/>
                <w:color w:val="auto"/>
                <w:sz w:val="20"/>
                <w:szCs w:val="20"/>
              </w:rPr>
              <w:t>] OR "colon tumor"[</w:t>
            </w:r>
            <w:proofErr w:type="spellStart"/>
            <w:r w:rsidRPr="00A42882">
              <w:rPr>
                <w:noProof w:val="0"/>
                <w:color w:val="auto"/>
                <w:sz w:val="20"/>
                <w:szCs w:val="20"/>
              </w:rPr>
              <w:t>tiab</w:t>
            </w:r>
            <w:proofErr w:type="spellEnd"/>
            <w:r w:rsidRPr="00A42882">
              <w:rPr>
                <w:noProof w:val="0"/>
                <w:color w:val="auto"/>
                <w:sz w:val="20"/>
                <w:szCs w:val="20"/>
              </w:rPr>
              <w:t>] OR "rectal neoplasm"[</w:t>
            </w:r>
            <w:proofErr w:type="spellStart"/>
            <w:r w:rsidRPr="00A42882">
              <w:rPr>
                <w:noProof w:val="0"/>
                <w:color w:val="auto"/>
                <w:sz w:val="20"/>
                <w:szCs w:val="20"/>
              </w:rPr>
              <w:t>tiab</w:t>
            </w:r>
            <w:proofErr w:type="spellEnd"/>
            <w:r w:rsidRPr="00A42882">
              <w:rPr>
                <w:noProof w:val="0"/>
                <w:color w:val="auto"/>
                <w:sz w:val="20"/>
                <w:szCs w:val="20"/>
              </w:rPr>
              <w:t>] OR "cancer of rectum"[</w:t>
            </w:r>
            <w:proofErr w:type="spellStart"/>
            <w:r w:rsidRPr="00A42882">
              <w:rPr>
                <w:noProof w:val="0"/>
                <w:color w:val="auto"/>
                <w:sz w:val="20"/>
                <w:szCs w:val="20"/>
              </w:rPr>
              <w:t>tiab</w:t>
            </w:r>
            <w:proofErr w:type="spellEnd"/>
            <w:r w:rsidRPr="00A42882">
              <w:rPr>
                <w:noProof w:val="0"/>
                <w:color w:val="auto"/>
                <w:sz w:val="20"/>
                <w:szCs w:val="20"/>
              </w:rPr>
              <w:t>] OR "rectal cancer"[</w:t>
            </w:r>
            <w:proofErr w:type="spellStart"/>
            <w:r w:rsidRPr="00A42882">
              <w:rPr>
                <w:noProof w:val="0"/>
                <w:color w:val="auto"/>
                <w:sz w:val="20"/>
                <w:szCs w:val="20"/>
              </w:rPr>
              <w:t>tiab</w:t>
            </w:r>
            <w:proofErr w:type="spellEnd"/>
            <w:r w:rsidRPr="00A42882">
              <w:rPr>
                <w:noProof w:val="0"/>
                <w:color w:val="auto"/>
                <w:sz w:val="20"/>
                <w:szCs w:val="20"/>
              </w:rPr>
              <w:t>] OR "rectal tumor"[</w:t>
            </w:r>
            <w:proofErr w:type="spellStart"/>
            <w:r w:rsidRPr="00A42882">
              <w:rPr>
                <w:noProof w:val="0"/>
                <w:color w:val="auto"/>
                <w:sz w:val="20"/>
                <w:szCs w:val="20"/>
              </w:rPr>
              <w:t>tiab</w:t>
            </w:r>
            <w:proofErr w:type="spellEnd"/>
            <w:r w:rsidRPr="00A42882">
              <w:rPr>
                <w:noProof w:val="0"/>
                <w:color w:val="auto"/>
                <w:sz w:val="20"/>
                <w:szCs w:val="20"/>
              </w:rPr>
              <w:t>]) AND ("Telomere"[Mesh] OR telomer[</w:t>
            </w:r>
            <w:proofErr w:type="spellStart"/>
            <w:r w:rsidRPr="00A42882">
              <w:rPr>
                <w:noProof w:val="0"/>
                <w:color w:val="auto"/>
                <w:sz w:val="20"/>
                <w:szCs w:val="20"/>
              </w:rPr>
              <w:t>tiab</w:t>
            </w:r>
            <w:proofErr w:type="spellEnd"/>
            <w:r w:rsidRPr="00A42882">
              <w:rPr>
                <w:noProof w:val="0"/>
                <w:color w:val="auto"/>
                <w:sz w:val="20"/>
                <w:szCs w:val="20"/>
              </w:rPr>
              <w:t>] OR telomer's[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telomerasa</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telomerase[</w:t>
            </w:r>
            <w:proofErr w:type="spellStart"/>
            <w:r w:rsidRPr="00A42882">
              <w:rPr>
                <w:noProof w:val="0"/>
                <w:color w:val="auto"/>
                <w:sz w:val="20"/>
                <w:szCs w:val="20"/>
              </w:rPr>
              <w:t>tiab</w:t>
            </w:r>
            <w:proofErr w:type="spellEnd"/>
            <w:r w:rsidRPr="00A42882">
              <w:rPr>
                <w:noProof w:val="0"/>
                <w:color w:val="auto"/>
                <w:sz w:val="20"/>
                <w:szCs w:val="20"/>
              </w:rPr>
              <w:t>] OR telomerase's[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telomeraseactivity</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telomeraseassociated</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telomerasedeficient</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telomerasenull</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telomerasepositive</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telomerases[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telomeraseses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telomerasespecific</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telomerasic</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telomerasing</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telomerasing</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telomerator</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telomere[</w:t>
            </w:r>
            <w:proofErr w:type="spellStart"/>
            <w:r w:rsidRPr="00A42882">
              <w:rPr>
                <w:noProof w:val="0"/>
                <w:color w:val="auto"/>
                <w:sz w:val="20"/>
                <w:szCs w:val="20"/>
              </w:rPr>
              <w:t>tiab</w:t>
            </w:r>
            <w:proofErr w:type="spellEnd"/>
            <w:r w:rsidRPr="00A42882">
              <w:rPr>
                <w:noProof w:val="0"/>
                <w:color w:val="auto"/>
                <w:sz w:val="20"/>
                <w:szCs w:val="20"/>
              </w:rPr>
              <w:t>] OR telomere'[</w:t>
            </w:r>
            <w:proofErr w:type="spellStart"/>
            <w:r w:rsidRPr="00A42882">
              <w:rPr>
                <w:noProof w:val="0"/>
                <w:color w:val="auto"/>
                <w:sz w:val="20"/>
                <w:szCs w:val="20"/>
              </w:rPr>
              <w:t>tiab</w:t>
            </w:r>
            <w:proofErr w:type="spellEnd"/>
            <w:r w:rsidRPr="00A42882">
              <w:rPr>
                <w:noProof w:val="0"/>
                <w:color w:val="auto"/>
                <w:sz w:val="20"/>
                <w:szCs w:val="20"/>
              </w:rPr>
              <w:t>] OR telomere's[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telomerease</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telomerebinding</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telomerecat</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telomered</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telomerehunter</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telomereindependent</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telomereless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telomerelike</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telomerenickel</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telomereopathies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telomereres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telomeres[</w:t>
            </w:r>
            <w:proofErr w:type="spellStart"/>
            <w:r w:rsidRPr="00A42882">
              <w:rPr>
                <w:noProof w:val="0"/>
                <w:color w:val="auto"/>
                <w:sz w:val="20"/>
                <w:szCs w:val="20"/>
              </w:rPr>
              <w:t>tiab</w:t>
            </w:r>
            <w:proofErr w:type="spellEnd"/>
            <w:r w:rsidRPr="00A42882">
              <w:rPr>
                <w:noProof w:val="0"/>
                <w:color w:val="auto"/>
                <w:sz w:val="20"/>
                <w:szCs w:val="20"/>
              </w:rPr>
              <w:t>] OR telomeres'[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telomeresand</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telomerespecific</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telomereto</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telomeretrimming</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telomeric[</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telomericaggregates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telomerically</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telomerics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telomerina</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telomeriques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telomerisation</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telomerisation</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telomerised</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telomerization[</w:t>
            </w:r>
            <w:proofErr w:type="spellStart"/>
            <w:r w:rsidRPr="00A42882">
              <w:rPr>
                <w:noProof w:val="0"/>
                <w:color w:val="auto"/>
                <w:sz w:val="20"/>
                <w:szCs w:val="20"/>
              </w:rPr>
              <w:t>tiab</w:t>
            </w:r>
            <w:proofErr w:type="spellEnd"/>
            <w:r w:rsidRPr="00A42882">
              <w:rPr>
                <w:noProof w:val="0"/>
                <w:color w:val="auto"/>
                <w:sz w:val="20"/>
                <w:szCs w:val="20"/>
              </w:rPr>
              <w:t>] OR telomerizations[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telomerized</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telomerless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telomermis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telomeropathies</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telomeropathy</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OR telomers[</w:t>
            </w:r>
            <w:proofErr w:type="spellStart"/>
            <w:r w:rsidRPr="00A42882">
              <w:rPr>
                <w:noProof w:val="0"/>
                <w:color w:val="auto"/>
                <w:sz w:val="20"/>
                <w:szCs w:val="20"/>
              </w:rPr>
              <w:t>tiab</w:t>
            </w:r>
            <w:proofErr w:type="spellEnd"/>
            <w:r w:rsidRPr="00A42882">
              <w:rPr>
                <w:noProof w:val="0"/>
                <w:color w:val="auto"/>
                <w:sz w:val="20"/>
                <w:szCs w:val="20"/>
              </w:rPr>
              <w:t>] OR telomers'[</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telomerse</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xml:space="preserve">] OR </w:t>
            </w:r>
            <w:proofErr w:type="spellStart"/>
            <w:r w:rsidRPr="00A42882">
              <w:rPr>
                <w:noProof w:val="0"/>
                <w:color w:val="auto"/>
                <w:sz w:val="20"/>
                <w:szCs w:val="20"/>
              </w:rPr>
              <w:t>telomersyn</w:t>
            </w:r>
            <w:proofErr w:type="spellEnd"/>
            <w:r w:rsidRPr="00A42882">
              <w:rPr>
                <w:noProof w:val="0"/>
                <w:color w:val="auto"/>
                <w:sz w:val="20"/>
                <w:szCs w:val="20"/>
              </w:rPr>
              <w:t>[</w:t>
            </w:r>
            <w:proofErr w:type="spellStart"/>
            <w:r w:rsidRPr="00A42882">
              <w:rPr>
                <w:noProof w:val="0"/>
                <w:color w:val="auto"/>
                <w:sz w:val="20"/>
                <w:szCs w:val="20"/>
              </w:rPr>
              <w:t>tiab</w:t>
            </w:r>
            <w:proofErr w:type="spellEnd"/>
            <w:r w:rsidRPr="00A42882">
              <w:rPr>
                <w:noProof w:val="0"/>
                <w:color w:val="auto"/>
                <w:sz w:val="20"/>
                <w:szCs w:val="20"/>
              </w:rPr>
              <w:t>]) AND ("Survival"[Mesh] OR "Mortality"[Mesh] OR "Death"[Mesh] OR "Disease Progression"[Mesh] OR "Prognosis"[Mesh] OR death[</w:t>
            </w:r>
            <w:proofErr w:type="spellStart"/>
            <w:r w:rsidRPr="00A42882">
              <w:rPr>
                <w:noProof w:val="0"/>
                <w:color w:val="auto"/>
                <w:sz w:val="20"/>
                <w:szCs w:val="20"/>
              </w:rPr>
              <w:t>tiab</w:t>
            </w:r>
            <w:proofErr w:type="spellEnd"/>
            <w:r w:rsidRPr="00A42882">
              <w:rPr>
                <w:noProof w:val="0"/>
                <w:color w:val="auto"/>
                <w:sz w:val="20"/>
                <w:szCs w:val="20"/>
              </w:rPr>
              <w:t>] OR survival[</w:t>
            </w:r>
            <w:proofErr w:type="spellStart"/>
            <w:r w:rsidRPr="00A42882">
              <w:rPr>
                <w:noProof w:val="0"/>
                <w:color w:val="auto"/>
                <w:sz w:val="20"/>
                <w:szCs w:val="20"/>
              </w:rPr>
              <w:t>tiab</w:t>
            </w:r>
            <w:proofErr w:type="spellEnd"/>
            <w:r w:rsidRPr="00A42882">
              <w:rPr>
                <w:noProof w:val="0"/>
                <w:color w:val="auto"/>
                <w:sz w:val="20"/>
                <w:szCs w:val="20"/>
              </w:rPr>
              <w:t>] OR mortality[</w:t>
            </w:r>
            <w:proofErr w:type="spellStart"/>
            <w:r w:rsidRPr="00A42882">
              <w:rPr>
                <w:noProof w:val="0"/>
                <w:color w:val="auto"/>
                <w:sz w:val="20"/>
                <w:szCs w:val="20"/>
              </w:rPr>
              <w:t>tiab</w:t>
            </w:r>
            <w:proofErr w:type="spellEnd"/>
            <w:r w:rsidRPr="00A42882">
              <w:rPr>
                <w:noProof w:val="0"/>
                <w:color w:val="auto"/>
                <w:sz w:val="20"/>
                <w:szCs w:val="20"/>
              </w:rPr>
              <w:t>] OR progression[</w:t>
            </w:r>
            <w:proofErr w:type="spellStart"/>
            <w:r w:rsidRPr="00A42882">
              <w:rPr>
                <w:noProof w:val="0"/>
                <w:color w:val="auto"/>
                <w:sz w:val="20"/>
                <w:szCs w:val="20"/>
              </w:rPr>
              <w:t>tiab</w:t>
            </w:r>
            <w:proofErr w:type="spellEnd"/>
            <w:r w:rsidRPr="00A42882">
              <w:rPr>
                <w:noProof w:val="0"/>
                <w:color w:val="auto"/>
                <w:sz w:val="20"/>
                <w:szCs w:val="20"/>
              </w:rPr>
              <w:t>] OR prognoses[</w:t>
            </w:r>
            <w:proofErr w:type="spellStart"/>
            <w:r w:rsidRPr="00A42882">
              <w:rPr>
                <w:noProof w:val="0"/>
                <w:color w:val="auto"/>
                <w:sz w:val="20"/>
                <w:szCs w:val="20"/>
              </w:rPr>
              <w:t>tiab</w:t>
            </w:r>
            <w:proofErr w:type="spellEnd"/>
            <w:r w:rsidRPr="00A42882">
              <w:rPr>
                <w:noProof w:val="0"/>
                <w:color w:val="auto"/>
                <w:sz w:val="20"/>
                <w:szCs w:val="20"/>
              </w:rPr>
              <w:t>] OR "prognostic factors"[</w:t>
            </w:r>
            <w:proofErr w:type="spellStart"/>
            <w:r w:rsidRPr="00A42882">
              <w:rPr>
                <w:noProof w:val="0"/>
                <w:color w:val="auto"/>
                <w:sz w:val="20"/>
                <w:szCs w:val="20"/>
              </w:rPr>
              <w:t>tiab</w:t>
            </w:r>
            <w:proofErr w:type="spellEnd"/>
            <w:r w:rsidRPr="00A42882">
              <w:rPr>
                <w:noProof w:val="0"/>
                <w:color w:val="auto"/>
                <w:sz w:val="20"/>
                <w:szCs w:val="20"/>
              </w:rPr>
              <w:t>] OR severity[</w:t>
            </w:r>
            <w:proofErr w:type="spellStart"/>
            <w:r w:rsidRPr="00A42882">
              <w:rPr>
                <w:noProof w:val="0"/>
                <w:color w:val="auto"/>
                <w:sz w:val="20"/>
                <w:szCs w:val="20"/>
              </w:rPr>
              <w:t>tiab</w:t>
            </w:r>
            <w:proofErr w:type="spellEnd"/>
            <w:r w:rsidRPr="00A42882">
              <w:rPr>
                <w:noProof w:val="0"/>
                <w:color w:val="auto"/>
                <w:sz w:val="20"/>
                <w:szCs w:val="20"/>
              </w:rPr>
              <w:t>] OR risk[Mesh] OR risk[</w:t>
            </w:r>
            <w:proofErr w:type="spellStart"/>
            <w:r w:rsidRPr="00A42882">
              <w:rPr>
                <w:noProof w:val="0"/>
                <w:color w:val="auto"/>
                <w:sz w:val="20"/>
                <w:szCs w:val="20"/>
              </w:rPr>
              <w:t>tiab</w:t>
            </w:r>
            <w:proofErr w:type="spellEnd"/>
            <w:r w:rsidRPr="00A42882">
              <w:rPr>
                <w:noProof w:val="0"/>
                <w:color w:val="auto"/>
                <w:sz w:val="20"/>
                <w:szCs w:val="20"/>
              </w:rPr>
              <w:t>] OR "Relative Risk"[</w:t>
            </w:r>
            <w:proofErr w:type="spellStart"/>
            <w:r w:rsidRPr="00A42882">
              <w:rPr>
                <w:noProof w:val="0"/>
                <w:color w:val="auto"/>
                <w:sz w:val="20"/>
                <w:szCs w:val="20"/>
              </w:rPr>
              <w:t>tiab</w:t>
            </w:r>
            <w:proofErr w:type="spellEnd"/>
            <w:r w:rsidRPr="00A42882">
              <w:rPr>
                <w:noProof w:val="0"/>
                <w:color w:val="auto"/>
                <w:sz w:val="20"/>
                <w:szCs w:val="20"/>
              </w:rPr>
              <w:t>] OR "relative risks"[</w:t>
            </w:r>
            <w:proofErr w:type="spellStart"/>
            <w:r w:rsidRPr="00A42882">
              <w:rPr>
                <w:noProof w:val="0"/>
                <w:color w:val="auto"/>
                <w:sz w:val="20"/>
                <w:szCs w:val="20"/>
              </w:rPr>
              <w:t>tiab</w:t>
            </w:r>
            <w:proofErr w:type="spellEnd"/>
            <w:r w:rsidRPr="00A42882">
              <w:rPr>
                <w:noProof w:val="0"/>
                <w:color w:val="auto"/>
                <w:sz w:val="20"/>
                <w:szCs w:val="20"/>
              </w:rPr>
              <w:t>] OR "risk assessment"[Mesh] OR "risk assessments"[</w:t>
            </w:r>
            <w:proofErr w:type="spellStart"/>
            <w:r w:rsidRPr="00A42882">
              <w:rPr>
                <w:noProof w:val="0"/>
                <w:color w:val="auto"/>
                <w:sz w:val="20"/>
                <w:szCs w:val="20"/>
              </w:rPr>
              <w:t>tiab</w:t>
            </w:r>
            <w:proofErr w:type="spellEnd"/>
            <w:r w:rsidRPr="00A42882">
              <w:rPr>
                <w:noProof w:val="0"/>
                <w:color w:val="auto"/>
                <w:sz w:val="20"/>
                <w:szCs w:val="20"/>
              </w:rPr>
              <w:t>] OR "risk assessment"[</w:t>
            </w:r>
            <w:proofErr w:type="spellStart"/>
            <w:r w:rsidRPr="00A42882">
              <w:rPr>
                <w:noProof w:val="0"/>
                <w:color w:val="auto"/>
                <w:sz w:val="20"/>
                <w:szCs w:val="20"/>
              </w:rPr>
              <w:t>tiab</w:t>
            </w:r>
            <w:proofErr w:type="spellEnd"/>
            <w:r w:rsidRPr="00A42882">
              <w:rPr>
                <w:noProof w:val="0"/>
                <w:color w:val="auto"/>
                <w:sz w:val="20"/>
                <w:szCs w:val="20"/>
              </w:rPr>
              <w:t>] OR "Health Risk Assessment"[</w:t>
            </w:r>
            <w:proofErr w:type="spellStart"/>
            <w:r w:rsidRPr="00A42882">
              <w:rPr>
                <w:noProof w:val="0"/>
                <w:color w:val="auto"/>
                <w:sz w:val="20"/>
                <w:szCs w:val="20"/>
              </w:rPr>
              <w:t>tiab</w:t>
            </w:r>
            <w:proofErr w:type="spellEnd"/>
            <w:r w:rsidRPr="00A42882">
              <w:rPr>
                <w:noProof w:val="0"/>
                <w:color w:val="auto"/>
                <w:sz w:val="20"/>
                <w:szCs w:val="20"/>
              </w:rPr>
              <w:t>] OR probability[Mesh] OR probability[</w:t>
            </w:r>
            <w:proofErr w:type="spellStart"/>
            <w:r w:rsidRPr="00A42882">
              <w:rPr>
                <w:noProof w:val="0"/>
                <w:color w:val="auto"/>
                <w:sz w:val="20"/>
                <w:szCs w:val="20"/>
              </w:rPr>
              <w:t>tiab</w:t>
            </w:r>
            <w:proofErr w:type="spellEnd"/>
            <w:r w:rsidRPr="00A42882">
              <w:rPr>
                <w:noProof w:val="0"/>
                <w:color w:val="auto"/>
                <w:sz w:val="20"/>
                <w:szCs w:val="20"/>
              </w:rPr>
              <w:t>] OR "odds ratio"[Mesh] OR "odds ratio"[</w:t>
            </w:r>
            <w:proofErr w:type="spellStart"/>
            <w:r w:rsidRPr="00A42882">
              <w:rPr>
                <w:noProof w:val="0"/>
                <w:color w:val="auto"/>
                <w:sz w:val="20"/>
                <w:szCs w:val="20"/>
              </w:rPr>
              <w:t>tiab</w:t>
            </w:r>
            <w:proofErr w:type="spellEnd"/>
            <w:r w:rsidRPr="00A42882">
              <w:rPr>
                <w:noProof w:val="0"/>
                <w:color w:val="auto"/>
                <w:sz w:val="20"/>
                <w:szCs w:val="20"/>
              </w:rPr>
              <w:t>] OR "risk ratio"[</w:t>
            </w:r>
            <w:proofErr w:type="spellStart"/>
            <w:r w:rsidRPr="00A42882">
              <w:rPr>
                <w:noProof w:val="0"/>
                <w:color w:val="auto"/>
                <w:sz w:val="20"/>
                <w:szCs w:val="20"/>
              </w:rPr>
              <w:t>tiab</w:t>
            </w:r>
            <w:proofErr w:type="spellEnd"/>
            <w:r w:rsidRPr="00A42882">
              <w:rPr>
                <w:noProof w:val="0"/>
                <w:color w:val="auto"/>
                <w:sz w:val="20"/>
                <w:szCs w:val="20"/>
              </w:rPr>
              <w:t>] OR "relative odds"[</w:t>
            </w:r>
            <w:proofErr w:type="spellStart"/>
            <w:r w:rsidRPr="00A42882">
              <w:rPr>
                <w:noProof w:val="0"/>
                <w:color w:val="auto"/>
                <w:sz w:val="20"/>
                <w:szCs w:val="20"/>
              </w:rPr>
              <w:t>tiab</w:t>
            </w:r>
            <w:proofErr w:type="spellEnd"/>
            <w:r w:rsidRPr="00A42882">
              <w:rPr>
                <w:noProof w:val="0"/>
                <w:color w:val="auto"/>
                <w:sz w:val="20"/>
                <w:szCs w:val="20"/>
              </w:rPr>
              <w:t>] OR "risk ratios"[</w:t>
            </w:r>
            <w:proofErr w:type="spellStart"/>
            <w:r w:rsidRPr="00A42882">
              <w:rPr>
                <w:noProof w:val="0"/>
                <w:color w:val="auto"/>
                <w:sz w:val="20"/>
                <w:szCs w:val="20"/>
              </w:rPr>
              <w:t>tiab</w:t>
            </w:r>
            <w:proofErr w:type="spellEnd"/>
            <w:r w:rsidRPr="00A42882">
              <w:rPr>
                <w:noProof w:val="0"/>
                <w:color w:val="auto"/>
                <w:sz w:val="20"/>
                <w:szCs w:val="20"/>
              </w:rPr>
              <w:t>] OR "odds ratios"[</w:t>
            </w:r>
            <w:proofErr w:type="spellStart"/>
            <w:r w:rsidRPr="00A42882">
              <w:rPr>
                <w:noProof w:val="0"/>
                <w:color w:val="auto"/>
                <w:sz w:val="20"/>
                <w:szCs w:val="20"/>
              </w:rPr>
              <w:t>tiab</w:t>
            </w:r>
            <w:proofErr w:type="spellEnd"/>
            <w:r w:rsidRPr="00A42882">
              <w:rPr>
                <w:noProof w:val="0"/>
                <w:color w:val="auto"/>
                <w:sz w:val="20"/>
                <w:szCs w:val="20"/>
              </w:rPr>
              <w:t>] OR "relative odds"[</w:t>
            </w:r>
            <w:proofErr w:type="spellStart"/>
            <w:r w:rsidRPr="00A42882">
              <w:rPr>
                <w:noProof w:val="0"/>
                <w:color w:val="auto"/>
                <w:sz w:val="20"/>
                <w:szCs w:val="20"/>
              </w:rPr>
              <w:t>tiab</w:t>
            </w:r>
            <w:proofErr w:type="spellEnd"/>
            <w:r w:rsidRPr="00A42882">
              <w:rPr>
                <w:noProof w:val="0"/>
                <w:color w:val="auto"/>
                <w:sz w:val="20"/>
                <w:szCs w:val="20"/>
              </w:rPr>
              <w:t>])) NOT Review[</w:t>
            </w:r>
            <w:proofErr w:type="spellStart"/>
            <w:r w:rsidRPr="00A42882">
              <w:rPr>
                <w:noProof w:val="0"/>
                <w:color w:val="auto"/>
                <w:sz w:val="20"/>
                <w:szCs w:val="20"/>
              </w:rPr>
              <w:t>ptyp</w:t>
            </w:r>
            <w:proofErr w:type="spellEnd"/>
            <w:r w:rsidRPr="00A42882">
              <w:rPr>
                <w:noProof w:val="0"/>
                <w:color w:val="auto"/>
                <w:sz w:val="20"/>
                <w:szCs w:val="20"/>
              </w:rPr>
              <w:t>] AND "humans"[</w:t>
            </w:r>
            <w:proofErr w:type="spellStart"/>
            <w:r w:rsidRPr="00A42882">
              <w:rPr>
                <w:noProof w:val="0"/>
                <w:color w:val="auto"/>
                <w:sz w:val="20"/>
                <w:szCs w:val="20"/>
              </w:rPr>
              <w:t>MeSH</w:t>
            </w:r>
            <w:proofErr w:type="spellEnd"/>
            <w:r w:rsidRPr="00A42882">
              <w:rPr>
                <w:noProof w:val="0"/>
                <w:color w:val="auto"/>
                <w:sz w:val="20"/>
                <w:szCs w:val="20"/>
              </w:rPr>
              <w:t xml:space="preserve"> Terms]</w:t>
            </w:r>
          </w:p>
        </w:tc>
      </w:tr>
      <w:tr w:rsidR="00C81248" w:rsidRPr="00A42882" w14:paraId="11CCC08B" w14:textId="77777777" w:rsidTr="00A42882">
        <w:trPr>
          <w:jc w:val="center"/>
        </w:trPr>
        <w:tc>
          <w:tcPr>
            <w:tcW w:w="1605" w:type="dxa"/>
            <w:tcBorders>
              <w:top w:val="nil"/>
              <w:bottom w:val="nil"/>
            </w:tcBorders>
            <w:shd w:val="clear" w:color="auto" w:fill="auto"/>
            <w:vAlign w:val="center"/>
          </w:tcPr>
          <w:p w14:paraId="51FB9A09"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Embase</w:t>
            </w:r>
          </w:p>
        </w:tc>
        <w:tc>
          <w:tcPr>
            <w:tcW w:w="8860" w:type="dxa"/>
            <w:tcBorders>
              <w:top w:val="nil"/>
              <w:bottom w:val="nil"/>
            </w:tcBorders>
            <w:shd w:val="clear" w:color="auto" w:fill="auto"/>
            <w:vAlign w:val="center"/>
          </w:tcPr>
          <w:p w14:paraId="3C5130DF"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('colorectal cancer'/exp OR 'colorectal cancer' OR 'colorectal tumor'/exp OR 'colorectal tumor' OR 'colon tumor'/exp OR 'colon tumor' OR 'colon cancer'/exp OR 'colon cancer' OR 'rectum cancer'/exp OR 'rectum cancer' OR 'rectum tumor'/exp OR 'rectum tumor') AND ('telomere'/exp OR 'telomere' OR 'telomerase' OR 'telomerase'/exp OR telomerase OR 'telomere length'/exp OR 'telomere length' OR 'telomerase reverse transcriptase'/exp OR 'telomerase reverse transcriptase' OR 'telomere homeostasis'/exp OR 'telomere homeostasis') AND ('survival' OR 'survival'/exp OR survival OR 'survival rate'/exp OR 'survival rate' OR 'death' OR 'death'/exp OR death OR 'mortality' OR 'mortality'/exp OR mortality OR 'mortality rate'/exp OR 'mortality rate' OR 'mortality risk'/exp OR 'mortality risk' OR 'prognosis' OR 'prognosis'/exp OR prognosis OR 'progression free survival'/exp OR 'progression free survival') AND ([article]/</w:t>
            </w:r>
            <w:proofErr w:type="spellStart"/>
            <w:r w:rsidRPr="00A42882">
              <w:rPr>
                <w:noProof w:val="0"/>
                <w:color w:val="auto"/>
                <w:sz w:val="20"/>
                <w:szCs w:val="20"/>
              </w:rPr>
              <w:t>lim</w:t>
            </w:r>
            <w:proofErr w:type="spellEnd"/>
            <w:r w:rsidRPr="00A42882">
              <w:rPr>
                <w:noProof w:val="0"/>
                <w:color w:val="auto"/>
                <w:sz w:val="20"/>
                <w:szCs w:val="20"/>
              </w:rPr>
              <w:t xml:space="preserve"> OR [article in press]/</w:t>
            </w:r>
            <w:proofErr w:type="spellStart"/>
            <w:r w:rsidRPr="00A42882">
              <w:rPr>
                <w:noProof w:val="0"/>
                <w:color w:val="auto"/>
                <w:sz w:val="20"/>
                <w:szCs w:val="20"/>
              </w:rPr>
              <w:t>lim</w:t>
            </w:r>
            <w:proofErr w:type="spellEnd"/>
            <w:r w:rsidRPr="00A42882">
              <w:rPr>
                <w:noProof w:val="0"/>
                <w:color w:val="auto"/>
                <w:sz w:val="20"/>
                <w:szCs w:val="20"/>
              </w:rPr>
              <w:t xml:space="preserve"> OR [conference abstract]/</w:t>
            </w:r>
            <w:proofErr w:type="spellStart"/>
            <w:r w:rsidRPr="00A42882">
              <w:rPr>
                <w:noProof w:val="0"/>
                <w:color w:val="auto"/>
                <w:sz w:val="20"/>
                <w:szCs w:val="20"/>
              </w:rPr>
              <w:t>lim</w:t>
            </w:r>
            <w:proofErr w:type="spellEnd"/>
            <w:r w:rsidRPr="00A42882">
              <w:rPr>
                <w:noProof w:val="0"/>
                <w:color w:val="auto"/>
                <w:sz w:val="20"/>
                <w:szCs w:val="20"/>
              </w:rPr>
              <w:t xml:space="preserve"> OR [conference paper]/</w:t>
            </w:r>
            <w:proofErr w:type="spellStart"/>
            <w:r w:rsidRPr="00A42882">
              <w:rPr>
                <w:noProof w:val="0"/>
                <w:color w:val="auto"/>
                <w:sz w:val="20"/>
                <w:szCs w:val="20"/>
              </w:rPr>
              <w:t>lim</w:t>
            </w:r>
            <w:proofErr w:type="spellEnd"/>
            <w:r w:rsidRPr="00A42882">
              <w:rPr>
                <w:noProof w:val="0"/>
                <w:color w:val="auto"/>
                <w:sz w:val="20"/>
                <w:szCs w:val="20"/>
              </w:rPr>
              <w:t>) AND ([article]/</w:t>
            </w:r>
            <w:proofErr w:type="spellStart"/>
            <w:r w:rsidRPr="00A42882">
              <w:rPr>
                <w:noProof w:val="0"/>
                <w:color w:val="auto"/>
                <w:sz w:val="20"/>
                <w:szCs w:val="20"/>
              </w:rPr>
              <w:t>lim</w:t>
            </w:r>
            <w:proofErr w:type="spellEnd"/>
            <w:r w:rsidRPr="00A42882">
              <w:rPr>
                <w:noProof w:val="0"/>
                <w:color w:val="auto"/>
                <w:sz w:val="20"/>
                <w:szCs w:val="20"/>
              </w:rPr>
              <w:t xml:space="preserve"> OR [article in press]/</w:t>
            </w:r>
            <w:proofErr w:type="spellStart"/>
            <w:r w:rsidRPr="00A42882">
              <w:rPr>
                <w:noProof w:val="0"/>
                <w:color w:val="auto"/>
                <w:sz w:val="20"/>
                <w:szCs w:val="20"/>
              </w:rPr>
              <w:t>lim</w:t>
            </w:r>
            <w:proofErr w:type="spellEnd"/>
            <w:r w:rsidRPr="00A42882">
              <w:rPr>
                <w:noProof w:val="0"/>
                <w:color w:val="auto"/>
                <w:sz w:val="20"/>
                <w:szCs w:val="20"/>
              </w:rPr>
              <w:t xml:space="preserve"> OR [conference paper]/</w:t>
            </w:r>
            <w:proofErr w:type="spellStart"/>
            <w:r w:rsidRPr="00A42882">
              <w:rPr>
                <w:noProof w:val="0"/>
                <w:color w:val="auto"/>
                <w:sz w:val="20"/>
                <w:szCs w:val="20"/>
              </w:rPr>
              <w:t>lim</w:t>
            </w:r>
            <w:proofErr w:type="spellEnd"/>
            <w:r w:rsidRPr="00A42882">
              <w:rPr>
                <w:noProof w:val="0"/>
                <w:color w:val="auto"/>
                <w:sz w:val="20"/>
                <w:szCs w:val="20"/>
              </w:rPr>
              <w:t xml:space="preserve"> OR [data papers]/</w:t>
            </w:r>
            <w:proofErr w:type="spellStart"/>
            <w:r w:rsidRPr="00A42882">
              <w:rPr>
                <w:noProof w:val="0"/>
                <w:color w:val="auto"/>
                <w:sz w:val="20"/>
                <w:szCs w:val="20"/>
              </w:rPr>
              <w:t>lim</w:t>
            </w:r>
            <w:proofErr w:type="spellEnd"/>
            <w:r w:rsidRPr="00A42882">
              <w:rPr>
                <w:noProof w:val="0"/>
                <w:color w:val="auto"/>
                <w:sz w:val="20"/>
                <w:szCs w:val="20"/>
              </w:rPr>
              <w:t>) NOT [</w:t>
            </w:r>
            <w:proofErr w:type="spellStart"/>
            <w:r w:rsidRPr="00A42882">
              <w:rPr>
                <w:noProof w:val="0"/>
                <w:color w:val="auto"/>
                <w:sz w:val="20"/>
                <w:szCs w:val="20"/>
              </w:rPr>
              <w:t>medline</w:t>
            </w:r>
            <w:proofErr w:type="spellEnd"/>
            <w:r w:rsidRPr="00A42882">
              <w:rPr>
                <w:noProof w:val="0"/>
                <w:color w:val="auto"/>
                <w:sz w:val="20"/>
                <w:szCs w:val="20"/>
              </w:rPr>
              <w:t>]/</w:t>
            </w:r>
            <w:proofErr w:type="spellStart"/>
            <w:r w:rsidRPr="00A42882">
              <w:rPr>
                <w:noProof w:val="0"/>
                <w:color w:val="auto"/>
                <w:sz w:val="20"/>
                <w:szCs w:val="20"/>
              </w:rPr>
              <w:t>lim</w:t>
            </w:r>
            <w:proofErr w:type="spellEnd"/>
            <w:r w:rsidRPr="00A42882">
              <w:rPr>
                <w:noProof w:val="0"/>
                <w:color w:val="auto"/>
                <w:sz w:val="20"/>
                <w:szCs w:val="20"/>
              </w:rPr>
              <w:t xml:space="preserve"> AND ('risk'/exp OR risk OR 'risk assessment'/exp OR 'risk </w:t>
            </w:r>
            <w:r w:rsidRPr="00A42882">
              <w:rPr>
                <w:noProof w:val="0"/>
                <w:color w:val="auto"/>
                <w:sz w:val="20"/>
                <w:szCs w:val="20"/>
              </w:rPr>
              <w:lastRenderedPageBreak/>
              <w:t>assessment' OR 'risk factor'/exp OR 'risk factor' OR 'odds ratio'/exp OR 'odds ratio' OR 'probability'/exp OR probability)</w:t>
            </w:r>
          </w:p>
        </w:tc>
      </w:tr>
      <w:tr w:rsidR="00C81248" w:rsidRPr="00A42882" w14:paraId="077DC81D" w14:textId="77777777" w:rsidTr="00A42882">
        <w:trPr>
          <w:jc w:val="center"/>
        </w:trPr>
        <w:tc>
          <w:tcPr>
            <w:tcW w:w="1605" w:type="dxa"/>
            <w:tcBorders>
              <w:top w:val="nil"/>
              <w:bottom w:val="single" w:sz="8" w:space="0" w:color="auto"/>
            </w:tcBorders>
            <w:shd w:val="clear" w:color="auto" w:fill="auto"/>
            <w:vAlign w:val="center"/>
          </w:tcPr>
          <w:p w14:paraId="77034CB0"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lastRenderedPageBreak/>
              <w:t>Web of Science</w:t>
            </w:r>
          </w:p>
        </w:tc>
        <w:tc>
          <w:tcPr>
            <w:tcW w:w="8860" w:type="dxa"/>
            <w:tcBorders>
              <w:top w:val="nil"/>
              <w:bottom w:val="single" w:sz="8" w:space="0" w:color="auto"/>
            </w:tcBorders>
            <w:shd w:val="clear" w:color="auto" w:fill="auto"/>
            <w:vAlign w:val="center"/>
          </w:tcPr>
          <w:p w14:paraId="54A204FB"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TOPIC: ("colorectal cancer" OR "colorectal tumor" OR "colorectal neoplasm" OR "colon cancer" OR "colon tumor" OR "colon neoplasm" OR "rectum cancer" OR "rectum tumor" OR "rectum neoplasm")</w:t>
            </w:r>
          </w:p>
          <w:p w14:paraId="66A5F390" w14:textId="77777777" w:rsidR="00C81248" w:rsidRPr="00A42882" w:rsidRDefault="00C81248"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 xml:space="preserve">Refined </w:t>
            </w:r>
            <w:proofErr w:type="spellStart"/>
            <w:r w:rsidRPr="00A42882">
              <w:rPr>
                <w:noProof w:val="0"/>
                <w:color w:val="auto"/>
                <w:sz w:val="20"/>
                <w:szCs w:val="20"/>
              </w:rPr>
              <w:t>By:TOPIC</w:t>
            </w:r>
            <w:proofErr w:type="spellEnd"/>
            <w:r w:rsidRPr="00A42882">
              <w:rPr>
                <w:noProof w:val="0"/>
                <w:color w:val="auto"/>
                <w:sz w:val="20"/>
                <w:szCs w:val="20"/>
              </w:rPr>
              <w:t>: (telomere OR telomerase OR telomerase OR telomerase OR "telomere length" OR "telomerase reverse transcriptase" OR "telomere homeostasis") AND TOPIC: (risk OR odds OR survival OR "survival rate" OR death OR mortality OR "mortality rate" OR "mortality risk" OR prognosis OR "progression") AND DOCUMENT TYPES: (ARTICLE) AND RESEARCH AREAS: (ONCOLOGY OR GENERAL INTERNAL MEDICINE OR GASTROENTEROLOGY HEPATOLOGY OR IMMUNOLOGY OR LIFE SCIENCES BIOMEDICINE OTHER TOPICS OR SURGERY OR NUTRITION DIETETICS OR PUBLIC ENVIRONMENTAL OCCUPATIONAL HEALTH OR PATHOLOGY OR GERIATRICS GERONTOLOGY OR PHARMACOLOGY PHARMACY)</w:t>
            </w:r>
          </w:p>
        </w:tc>
      </w:tr>
    </w:tbl>
    <w:p w14:paraId="169510BA" w14:textId="10ECCECB" w:rsidR="008D19C7" w:rsidRPr="0059615D" w:rsidRDefault="008D19C7" w:rsidP="008D19C7">
      <w:pPr>
        <w:pStyle w:val="MDPI62BackMatter"/>
        <w:spacing w:before="240" w:after="0"/>
        <w:ind w:left="2606"/>
        <w:rPr>
          <w:iCs/>
          <w:szCs w:val="18"/>
        </w:rPr>
      </w:pPr>
      <w:r w:rsidRPr="0059615D">
        <w:rPr>
          <w:b/>
          <w:bCs/>
          <w:szCs w:val="18"/>
        </w:rPr>
        <w:t>Material S</w:t>
      </w:r>
      <w:r w:rsidR="00AE4777">
        <w:rPr>
          <w:b/>
          <w:bCs/>
          <w:szCs w:val="18"/>
        </w:rPr>
        <w:t>1.</w:t>
      </w:r>
      <w:r w:rsidRPr="0059615D">
        <w:rPr>
          <w:b/>
          <w:bCs/>
          <w:szCs w:val="18"/>
        </w:rPr>
        <w:t xml:space="preserve"> </w:t>
      </w:r>
      <w:r w:rsidRPr="0059615D">
        <w:rPr>
          <w:iCs/>
          <w:szCs w:val="18"/>
        </w:rPr>
        <w:t>Reparameterization calculations for odds ratios and hazard ratios from included articles.</w:t>
      </w:r>
    </w:p>
    <w:p w14:paraId="6FAF5EFF" w14:textId="77777777" w:rsidR="008D19C7" w:rsidRPr="008D19C7" w:rsidRDefault="008D19C7" w:rsidP="008D19C7">
      <w:pPr>
        <w:pStyle w:val="MDPI62BackMatter"/>
        <w:ind w:left="2606" w:firstLine="454"/>
        <w:rPr>
          <w:iCs/>
          <w:sz w:val="20"/>
        </w:rPr>
      </w:pPr>
      <w:r w:rsidRPr="008D19C7">
        <w:rPr>
          <w:iCs/>
          <w:sz w:val="20"/>
        </w:rPr>
        <w:t>Attached as a separate .pdf file. (Supplementary material 2)</w:t>
      </w:r>
    </w:p>
    <w:p w14:paraId="66C46899" w14:textId="163DD878" w:rsidR="0059615D" w:rsidRDefault="00354832" w:rsidP="00354832">
      <w:pPr>
        <w:pStyle w:val="MDPI62BackMatter"/>
        <w:ind w:left="2606"/>
        <w:rPr>
          <w:b/>
          <w:bCs/>
          <w:szCs w:val="18"/>
        </w:rPr>
      </w:pPr>
      <w:r>
        <w:rPr>
          <w:b/>
          <w:bCs/>
          <w:noProof/>
          <w:szCs w:val="18"/>
        </w:rPr>
        <w:drawing>
          <wp:inline distT="0" distB="0" distL="0" distR="0" wp14:anchorId="672C174E" wp14:editId="0207166B">
            <wp:extent cx="5302068" cy="35494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3446" cy="3557055"/>
                    </a:xfrm>
                    <a:prstGeom prst="rect">
                      <a:avLst/>
                    </a:prstGeom>
                    <a:noFill/>
                  </pic:spPr>
                </pic:pic>
              </a:graphicData>
            </a:graphic>
          </wp:inline>
        </w:drawing>
      </w:r>
    </w:p>
    <w:p w14:paraId="01543FB0" w14:textId="49FD6279" w:rsidR="003C1684" w:rsidRDefault="003C1684" w:rsidP="003C1684">
      <w:pPr>
        <w:pStyle w:val="MDPI51figurecaption"/>
      </w:pPr>
      <w:r w:rsidRPr="00A42882">
        <w:rPr>
          <w:b/>
          <w:bCs/>
        </w:rPr>
        <w:t xml:space="preserve">Figure S1. </w:t>
      </w:r>
      <w:r w:rsidRPr="0059615D">
        <w:t>Forest plot summarizing the association between telomere length in peripheral blood leukocytes and risk of colorectal cancer using random effects model for quartiles of telomere length a) quartile 2 vs quartile 1; and b) quartile 3 vs quartile 1</w:t>
      </w:r>
      <w:r>
        <w:t>.</w:t>
      </w:r>
      <w:r>
        <w:t xml:space="preserve"> </w:t>
      </w:r>
      <w:r w:rsidRPr="003C1684">
        <w:t>(References: Zee RY 2009 [32], Lee IM 2010 [31], Pooley KA 2010 [33], Cui Y 2012 [34], Boardman L 2014 [29], Qin Q 2014 [20], Fernandez-</w:t>
      </w:r>
      <w:proofErr w:type="spellStart"/>
      <w:r w:rsidRPr="003C1684">
        <w:t>Rozadilla</w:t>
      </w:r>
      <w:proofErr w:type="spellEnd"/>
      <w:r w:rsidRPr="003C1684">
        <w:t xml:space="preserve"> C 2018 [30], Luu HN 2019 [21])</w:t>
      </w:r>
    </w:p>
    <w:p w14:paraId="2381D5ED" w14:textId="3B72B6E4" w:rsidR="00354832" w:rsidRDefault="00354832" w:rsidP="00354832">
      <w:pPr>
        <w:pStyle w:val="MDPI62BackMatter"/>
        <w:ind w:left="2606"/>
        <w:rPr>
          <w:szCs w:val="18"/>
        </w:rPr>
      </w:pPr>
      <w:r>
        <w:rPr>
          <w:noProof/>
          <w:szCs w:val="18"/>
        </w:rPr>
        <w:lastRenderedPageBreak/>
        <w:drawing>
          <wp:inline distT="0" distB="0" distL="0" distR="0" wp14:anchorId="05744B9C" wp14:editId="696475E4">
            <wp:extent cx="5172558" cy="6471285"/>
            <wp:effectExtent l="0" t="0" r="952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9343" cy="6479773"/>
                    </a:xfrm>
                    <a:prstGeom prst="rect">
                      <a:avLst/>
                    </a:prstGeom>
                    <a:noFill/>
                  </pic:spPr>
                </pic:pic>
              </a:graphicData>
            </a:graphic>
          </wp:inline>
        </w:drawing>
      </w:r>
    </w:p>
    <w:p w14:paraId="22857A5C" w14:textId="23DEAA7F" w:rsidR="003C1684" w:rsidRPr="003C1684" w:rsidRDefault="003C1684" w:rsidP="003C1684">
      <w:pPr>
        <w:pStyle w:val="MDPI51figurecaption"/>
      </w:pPr>
      <w:bookmarkStart w:id="0" w:name="OLE_LINK4"/>
      <w:r w:rsidRPr="00A42882">
        <w:rPr>
          <w:b/>
          <w:bCs/>
        </w:rPr>
        <w:t xml:space="preserve">Figure S2. </w:t>
      </w:r>
      <w:r w:rsidRPr="00354832">
        <w:t>Funnel plots assessing potential publication bias of included studies in meta-analysis of telomere length and colorectal cancer risk for quartiles of telomere length a) quartile 2 vs quartile 1; and b) quartile 3 vs quartile 1</w:t>
      </w:r>
      <w:r>
        <w:t>.</w:t>
      </w:r>
      <w:r>
        <w:t xml:space="preserve"> </w:t>
      </w:r>
      <w:bookmarkStart w:id="1" w:name="_Hlk126966981"/>
      <w:r>
        <w:t>(References: Zee RY 2009 [32], Lee IM 2010 [31], Pooley KA 2010 [33], Cui Y 2012 [34], Boardman L 2014 [29], Qin Q 2014 [20], Fernandez-</w:t>
      </w:r>
      <w:proofErr w:type="spellStart"/>
      <w:r>
        <w:t>Rozadilla</w:t>
      </w:r>
      <w:proofErr w:type="spellEnd"/>
      <w:r>
        <w:t xml:space="preserve"> C 2018 [30], Luu HN 2019 [21])</w:t>
      </w:r>
      <w:bookmarkEnd w:id="1"/>
    </w:p>
    <w:p w14:paraId="3ADF1DA6" w14:textId="5545109F" w:rsidR="00354832" w:rsidRDefault="00A42882" w:rsidP="00A42882">
      <w:pPr>
        <w:pStyle w:val="MDPI41tablecaption"/>
      </w:pPr>
      <w:r w:rsidRPr="00A42882">
        <w:rPr>
          <w:b/>
          <w:bCs/>
        </w:rPr>
        <w:t xml:space="preserve">Table S2. </w:t>
      </w:r>
      <w:r w:rsidR="00354832" w:rsidRPr="00354832">
        <w:t xml:space="preserve">Comparison of our reparametrized odds ratios for the association between telomere length and colorectal cancer risk with three other published meta-analyses (Naing </w:t>
      </w:r>
      <w:r w:rsidR="00354832" w:rsidRPr="00354832">
        <w:rPr>
          <w:i/>
          <w:iCs/>
        </w:rPr>
        <w:t>et</w:t>
      </w:r>
      <w:r w:rsidR="00613091">
        <w:rPr>
          <w:i/>
          <w:iCs/>
        </w:rPr>
        <w:t>.</w:t>
      </w:r>
      <w:r w:rsidR="00354832" w:rsidRPr="00354832">
        <w:rPr>
          <w:i/>
          <w:iCs/>
        </w:rPr>
        <w:t xml:space="preserve"> </w:t>
      </w:r>
      <w:r w:rsidR="00613091">
        <w:rPr>
          <w:i/>
          <w:iCs/>
        </w:rPr>
        <w:t>al,</w:t>
      </w:r>
      <w:r w:rsidR="00354832" w:rsidRPr="00354832">
        <w:t xml:space="preserve"> 2017</w:t>
      </w:r>
      <w:r w:rsidR="003C1684">
        <w:t xml:space="preserve"> [18]</w:t>
      </w:r>
      <w:r w:rsidR="00354832" w:rsidRPr="00354832">
        <w:t xml:space="preserve">; Zhu </w:t>
      </w:r>
      <w:r w:rsidR="00354832" w:rsidRPr="00354832">
        <w:rPr>
          <w:i/>
          <w:iCs/>
        </w:rPr>
        <w:t>et</w:t>
      </w:r>
      <w:r w:rsidR="00613091">
        <w:rPr>
          <w:i/>
          <w:iCs/>
        </w:rPr>
        <w:t>.</w:t>
      </w:r>
      <w:r w:rsidR="00354832" w:rsidRPr="00354832">
        <w:rPr>
          <w:i/>
          <w:iCs/>
        </w:rPr>
        <w:t xml:space="preserve"> </w:t>
      </w:r>
      <w:r w:rsidR="00613091">
        <w:rPr>
          <w:i/>
          <w:iCs/>
        </w:rPr>
        <w:t>al,</w:t>
      </w:r>
      <w:r w:rsidR="00354832" w:rsidRPr="00354832">
        <w:rPr>
          <w:i/>
          <w:iCs/>
        </w:rPr>
        <w:t xml:space="preserve"> </w:t>
      </w:r>
      <w:r w:rsidR="00354832" w:rsidRPr="00354832">
        <w:t>2016</w:t>
      </w:r>
      <w:r w:rsidR="003C1684">
        <w:t xml:space="preserve"> [16]</w:t>
      </w:r>
      <w:r w:rsidR="00354832" w:rsidRPr="00354832">
        <w:t xml:space="preserve">; Zhang </w:t>
      </w:r>
      <w:r w:rsidR="00354832" w:rsidRPr="00354832">
        <w:rPr>
          <w:i/>
          <w:iCs/>
        </w:rPr>
        <w:t>et</w:t>
      </w:r>
      <w:r w:rsidR="00613091">
        <w:rPr>
          <w:i/>
          <w:iCs/>
        </w:rPr>
        <w:t>.</w:t>
      </w:r>
      <w:r w:rsidR="00354832" w:rsidRPr="00354832">
        <w:rPr>
          <w:i/>
          <w:iCs/>
        </w:rPr>
        <w:t xml:space="preserve"> </w:t>
      </w:r>
      <w:r w:rsidR="00613091">
        <w:rPr>
          <w:i/>
          <w:iCs/>
        </w:rPr>
        <w:t>al,</w:t>
      </w:r>
      <w:r w:rsidR="00354832" w:rsidRPr="00354832">
        <w:t xml:space="preserve"> 2017</w:t>
      </w:r>
      <w:r w:rsidR="003C1684">
        <w:t xml:space="preserve"> [41]</w:t>
      </w:r>
      <w:r w:rsidR="009D4839">
        <w:t>)</w:t>
      </w:r>
      <w:r w:rsidR="00354832">
        <w:t>.</w:t>
      </w:r>
    </w:p>
    <w:tbl>
      <w:tblPr>
        <w:tblStyle w:val="TableGrid4"/>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7"/>
        <w:gridCol w:w="1299"/>
        <w:gridCol w:w="1541"/>
        <w:gridCol w:w="1460"/>
        <w:gridCol w:w="1703"/>
        <w:gridCol w:w="1541"/>
        <w:gridCol w:w="1784"/>
      </w:tblGrid>
      <w:tr w:rsidR="00354832" w:rsidRPr="00A42882" w14:paraId="70C6C573" w14:textId="77777777" w:rsidTr="00A42882">
        <w:trPr>
          <w:jc w:val="center"/>
        </w:trPr>
        <w:tc>
          <w:tcPr>
            <w:tcW w:w="1260" w:type="dxa"/>
            <w:vMerge w:val="restart"/>
            <w:tcBorders>
              <w:top w:val="single" w:sz="8" w:space="0" w:color="auto"/>
            </w:tcBorders>
            <w:shd w:val="clear" w:color="auto" w:fill="auto"/>
            <w:vAlign w:val="center"/>
          </w:tcPr>
          <w:bookmarkEnd w:id="0"/>
          <w:p w14:paraId="61938C3D" w14:textId="77777777" w:rsidR="00354832" w:rsidRPr="00A42882" w:rsidRDefault="00354832" w:rsidP="00A42882">
            <w:pPr>
              <w:autoSpaceDE w:val="0"/>
              <w:autoSpaceDN w:val="0"/>
              <w:adjustRightInd w:val="0"/>
              <w:snapToGrid w:val="0"/>
              <w:spacing w:line="240" w:lineRule="auto"/>
              <w:jc w:val="center"/>
              <w:rPr>
                <w:b/>
                <w:noProof w:val="0"/>
                <w:color w:val="auto"/>
                <w:sz w:val="20"/>
                <w:szCs w:val="20"/>
              </w:rPr>
            </w:pPr>
            <w:r w:rsidRPr="00A42882">
              <w:rPr>
                <w:b/>
                <w:noProof w:val="0"/>
                <w:color w:val="auto"/>
                <w:sz w:val="20"/>
                <w:szCs w:val="20"/>
              </w:rPr>
              <w:t>Author, Year</w:t>
            </w:r>
          </w:p>
        </w:tc>
        <w:tc>
          <w:tcPr>
            <w:tcW w:w="1440" w:type="dxa"/>
            <w:vMerge w:val="restart"/>
            <w:tcBorders>
              <w:top w:val="single" w:sz="8" w:space="0" w:color="auto"/>
            </w:tcBorders>
            <w:shd w:val="clear" w:color="auto" w:fill="auto"/>
            <w:vAlign w:val="center"/>
          </w:tcPr>
          <w:p w14:paraId="7477DCFE" w14:textId="77777777" w:rsidR="00354832" w:rsidRPr="00A42882" w:rsidRDefault="00354832" w:rsidP="00A42882">
            <w:pPr>
              <w:autoSpaceDE w:val="0"/>
              <w:autoSpaceDN w:val="0"/>
              <w:adjustRightInd w:val="0"/>
              <w:snapToGrid w:val="0"/>
              <w:spacing w:line="240" w:lineRule="auto"/>
              <w:jc w:val="center"/>
              <w:rPr>
                <w:b/>
                <w:noProof w:val="0"/>
                <w:color w:val="auto"/>
                <w:sz w:val="20"/>
                <w:szCs w:val="20"/>
              </w:rPr>
            </w:pPr>
            <w:r w:rsidRPr="00A42882">
              <w:rPr>
                <w:b/>
                <w:noProof w:val="0"/>
                <w:color w:val="auto"/>
                <w:sz w:val="20"/>
                <w:szCs w:val="20"/>
              </w:rPr>
              <w:t>TL</w:t>
            </w:r>
            <w:r w:rsidRPr="00A42882">
              <w:rPr>
                <w:b/>
                <w:noProof w:val="0"/>
                <w:color w:val="auto"/>
                <w:sz w:val="20"/>
                <w:szCs w:val="20"/>
                <w:vertAlign w:val="superscript"/>
              </w:rPr>
              <w:t>1</w:t>
            </w:r>
            <w:r w:rsidRPr="00A42882">
              <w:rPr>
                <w:b/>
                <w:noProof w:val="0"/>
                <w:color w:val="auto"/>
                <w:sz w:val="20"/>
                <w:szCs w:val="20"/>
              </w:rPr>
              <w:t xml:space="preserve"> categorization</w:t>
            </w:r>
          </w:p>
        </w:tc>
        <w:tc>
          <w:tcPr>
            <w:tcW w:w="1710" w:type="dxa"/>
            <w:vMerge w:val="restart"/>
            <w:tcBorders>
              <w:top w:val="single" w:sz="8" w:space="0" w:color="auto"/>
            </w:tcBorders>
            <w:shd w:val="clear" w:color="auto" w:fill="auto"/>
            <w:vAlign w:val="center"/>
          </w:tcPr>
          <w:p w14:paraId="3565FE80"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rPr>
            </w:pPr>
            <w:r w:rsidRPr="00A42882">
              <w:rPr>
                <w:b/>
                <w:bCs/>
                <w:noProof w:val="0"/>
                <w:color w:val="auto"/>
                <w:sz w:val="20"/>
                <w:szCs w:val="20"/>
              </w:rPr>
              <w:t>Reported OR (95% CI)</w:t>
            </w:r>
          </w:p>
        </w:tc>
        <w:tc>
          <w:tcPr>
            <w:tcW w:w="7200" w:type="dxa"/>
            <w:gridSpan w:val="4"/>
            <w:tcBorders>
              <w:top w:val="single" w:sz="8" w:space="0" w:color="auto"/>
            </w:tcBorders>
            <w:shd w:val="clear" w:color="auto" w:fill="auto"/>
            <w:vAlign w:val="center"/>
          </w:tcPr>
          <w:p w14:paraId="24E142A7"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rPr>
            </w:pPr>
            <w:r w:rsidRPr="00A42882">
              <w:rPr>
                <w:b/>
                <w:bCs/>
                <w:noProof w:val="0"/>
                <w:color w:val="auto"/>
                <w:sz w:val="20"/>
                <w:szCs w:val="20"/>
              </w:rPr>
              <w:t>Calculated OR (95% CI)</w:t>
            </w:r>
          </w:p>
        </w:tc>
      </w:tr>
      <w:tr w:rsidR="00354832" w:rsidRPr="00A42882" w14:paraId="1912B35A" w14:textId="77777777" w:rsidTr="00A42882">
        <w:trPr>
          <w:jc w:val="center"/>
        </w:trPr>
        <w:tc>
          <w:tcPr>
            <w:tcW w:w="1260" w:type="dxa"/>
            <w:vMerge/>
            <w:tcBorders>
              <w:bottom w:val="single" w:sz="4" w:space="0" w:color="auto"/>
            </w:tcBorders>
            <w:shd w:val="clear" w:color="auto" w:fill="auto"/>
            <w:vAlign w:val="center"/>
          </w:tcPr>
          <w:p w14:paraId="1491C33E" w14:textId="77777777" w:rsidR="00354832" w:rsidRPr="00A42882" w:rsidRDefault="00354832" w:rsidP="00A42882">
            <w:pPr>
              <w:autoSpaceDE w:val="0"/>
              <w:autoSpaceDN w:val="0"/>
              <w:adjustRightInd w:val="0"/>
              <w:snapToGrid w:val="0"/>
              <w:spacing w:line="240" w:lineRule="auto"/>
              <w:jc w:val="center"/>
              <w:rPr>
                <w:b/>
                <w:noProof w:val="0"/>
                <w:color w:val="auto"/>
                <w:sz w:val="20"/>
                <w:szCs w:val="20"/>
              </w:rPr>
            </w:pPr>
          </w:p>
        </w:tc>
        <w:tc>
          <w:tcPr>
            <w:tcW w:w="1440" w:type="dxa"/>
            <w:vMerge/>
            <w:tcBorders>
              <w:bottom w:val="single" w:sz="4" w:space="0" w:color="auto"/>
            </w:tcBorders>
            <w:shd w:val="clear" w:color="auto" w:fill="auto"/>
            <w:vAlign w:val="center"/>
          </w:tcPr>
          <w:p w14:paraId="36FBDBBE" w14:textId="77777777" w:rsidR="00354832" w:rsidRPr="00A42882" w:rsidRDefault="00354832" w:rsidP="00A42882">
            <w:pPr>
              <w:autoSpaceDE w:val="0"/>
              <w:autoSpaceDN w:val="0"/>
              <w:adjustRightInd w:val="0"/>
              <w:snapToGrid w:val="0"/>
              <w:spacing w:line="240" w:lineRule="auto"/>
              <w:jc w:val="center"/>
              <w:rPr>
                <w:b/>
                <w:noProof w:val="0"/>
                <w:color w:val="auto"/>
                <w:sz w:val="20"/>
                <w:szCs w:val="20"/>
              </w:rPr>
            </w:pPr>
          </w:p>
        </w:tc>
        <w:tc>
          <w:tcPr>
            <w:tcW w:w="1710" w:type="dxa"/>
            <w:vMerge/>
            <w:tcBorders>
              <w:bottom w:val="single" w:sz="4" w:space="0" w:color="auto"/>
            </w:tcBorders>
            <w:shd w:val="clear" w:color="auto" w:fill="auto"/>
            <w:vAlign w:val="center"/>
          </w:tcPr>
          <w:p w14:paraId="7729E708"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rPr>
            </w:pPr>
          </w:p>
        </w:tc>
        <w:tc>
          <w:tcPr>
            <w:tcW w:w="1620" w:type="dxa"/>
            <w:tcBorders>
              <w:bottom w:val="single" w:sz="4" w:space="0" w:color="auto"/>
            </w:tcBorders>
            <w:shd w:val="clear" w:color="auto" w:fill="auto"/>
            <w:vAlign w:val="center"/>
          </w:tcPr>
          <w:p w14:paraId="1D910409"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rPr>
            </w:pPr>
            <w:r w:rsidRPr="00A42882">
              <w:rPr>
                <w:b/>
                <w:bCs/>
                <w:noProof w:val="0"/>
                <w:color w:val="auto"/>
                <w:sz w:val="20"/>
                <w:szCs w:val="20"/>
              </w:rPr>
              <w:t>Our analysis</w:t>
            </w:r>
          </w:p>
        </w:tc>
        <w:tc>
          <w:tcPr>
            <w:tcW w:w="1890" w:type="dxa"/>
            <w:tcBorders>
              <w:bottom w:val="single" w:sz="4" w:space="0" w:color="auto"/>
            </w:tcBorders>
            <w:shd w:val="clear" w:color="auto" w:fill="auto"/>
            <w:vAlign w:val="center"/>
          </w:tcPr>
          <w:p w14:paraId="5F5496EC"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vertAlign w:val="superscript"/>
              </w:rPr>
            </w:pPr>
            <w:r w:rsidRPr="00A42882">
              <w:rPr>
                <w:b/>
                <w:bCs/>
                <w:noProof w:val="0"/>
                <w:color w:val="auto"/>
                <w:sz w:val="20"/>
                <w:szCs w:val="20"/>
              </w:rPr>
              <w:t>Naing et al., 2017</w:t>
            </w:r>
            <w:r w:rsidRPr="00A42882">
              <w:rPr>
                <w:b/>
                <w:bCs/>
                <w:noProof w:val="0"/>
                <w:color w:val="auto"/>
                <w:sz w:val="20"/>
                <w:szCs w:val="20"/>
                <w:vertAlign w:val="superscript"/>
              </w:rPr>
              <w:t>2</w:t>
            </w:r>
          </w:p>
        </w:tc>
        <w:tc>
          <w:tcPr>
            <w:tcW w:w="1710" w:type="dxa"/>
            <w:tcBorders>
              <w:bottom w:val="single" w:sz="4" w:space="0" w:color="auto"/>
            </w:tcBorders>
            <w:shd w:val="clear" w:color="auto" w:fill="auto"/>
            <w:vAlign w:val="center"/>
          </w:tcPr>
          <w:p w14:paraId="4B2ECAC7"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vertAlign w:val="superscript"/>
              </w:rPr>
            </w:pPr>
            <w:r w:rsidRPr="00A42882">
              <w:rPr>
                <w:b/>
                <w:bCs/>
                <w:noProof w:val="0"/>
                <w:color w:val="auto"/>
                <w:sz w:val="20"/>
                <w:szCs w:val="20"/>
              </w:rPr>
              <w:t>Zhu et al., 2016</w:t>
            </w:r>
            <w:r w:rsidRPr="00A42882">
              <w:rPr>
                <w:b/>
                <w:bCs/>
                <w:noProof w:val="0"/>
                <w:color w:val="auto"/>
                <w:sz w:val="20"/>
                <w:szCs w:val="20"/>
                <w:vertAlign w:val="superscript"/>
              </w:rPr>
              <w:t>2</w:t>
            </w:r>
          </w:p>
        </w:tc>
        <w:tc>
          <w:tcPr>
            <w:tcW w:w="1980" w:type="dxa"/>
            <w:tcBorders>
              <w:bottom w:val="single" w:sz="4" w:space="0" w:color="auto"/>
            </w:tcBorders>
            <w:shd w:val="clear" w:color="auto" w:fill="auto"/>
            <w:vAlign w:val="center"/>
          </w:tcPr>
          <w:p w14:paraId="5D261579" w14:textId="77777777" w:rsidR="00354832" w:rsidRPr="00A42882" w:rsidRDefault="00354832" w:rsidP="00A42882">
            <w:pPr>
              <w:autoSpaceDE w:val="0"/>
              <w:autoSpaceDN w:val="0"/>
              <w:adjustRightInd w:val="0"/>
              <w:snapToGrid w:val="0"/>
              <w:spacing w:line="240" w:lineRule="auto"/>
              <w:jc w:val="center"/>
              <w:rPr>
                <w:b/>
                <w:bCs/>
                <w:noProof w:val="0"/>
                <w:color w:val="auto"/>
                <w:sz w:val="20"/>
                <w:szCs w:val="20"/>
              </w:rPr>
            </w:pPr>
            <w:r w:rsidRPr="00A42882">
              <w:rPr>
                <w:b/>
                <w:bCs/>
                <w:noProof w:val="0"/>
                <w:color w:val="auto"/>
                <w:sz w:val="20"/>
                <w:szCs w:val="20"/>
              </w:rPr>
              <w:t>Zhang et al., 2017</w:t>
            </w:r>
          </w:p>
        </w:tc>
      </w:tr>
      <w:tr w:rsidR="00354832" w:rsidRPr="00A42882" w14:paraId="562566E2" w14:textId="77777777" w:rsidTr="00A42882">
        <w:trPr>
          <w:jc w:val="center"/>
        </w:trPr>
        <w:tc>
          <w:tcPr>
            <w:tcW w:w="1260" w:type="dxa"/>
            <w:tcBorders>
              <w:top w:val="single" w:sz="4" w:space="0" w:color="auto"/>
              <w:bottom w:val="single" w:sz="4" w:space="0" w:color="auto"/>
            </w:tcBorders>
            <w:shd w:val="clear" w:color="auto" w:fill="auto"/>
            <w:vAlign w:val="center"/>
          </w:tcPr>
          <w:p w14:paraId="7D7748DA" w14:textId="31C720F4" w:rsidR="00354832" w:rsidRPr="003C1684" w:rsidRDefault="00354832" w:rsidP="00A42882">
            <w:pPr>
              <w:autoSpaceDE w:val="0"/>
              <w:autoSpaceDN w:val="0"/>
              <w:adjustRightInd w:val="0"/>
              <w:snapToGrid w:val="0"/>
              <w:spacing w:line="240" w:lineRule="auto"/>
              <w:jc w:val="center"/>
              <w:rPr>
                <w:bCs/>
                <w:noProof w:val="0"/>
                <w:color w:val="auto"/>
                <w:sz w:val="20"/>
                <w:szCs w:val="20"/>
              </w:rPr>
            </w:pPr>
            <w:r w:rsidRPr="003C1684">
              <w:rPr>
                <w:bCs/>
                <w:noProof w:val="0"/>
                <w:sz w:val="20"/>
                <w:szCs w:val="20"/>
              </w:rPr>
              <w:t>Zee R.Y.L., 2009</w:t>
            </w:r>
            <w:r w:rsidR="003C1684">
              <w:rPr>
                <w:bCs/>
                <w:noProof w:val="0"/>
                <w:sz w:val="20"/>
                <w:szCs w:val="20"/>
              </w:rPr>
              <w:t xml:space="preserve"> [32]</w:t>
            </w:r>
          </w:p>
        </w:tc>
        <w:tc>
          <w:tcPr>
            <w:tcW w:w="1440" w:type="dxa"/>
            <w:tcBorders>
              <w:top w:val="single" w:sz="4" w:space="0" w:color="auto"/>
              <w:bottom w:val="single" w:sz="4" w:space="0" w:color="auto"/>
            </w:tcBorders>
            <w:shd w:val="clear" w:color="auto" w:fill="auto"/>
            <w:vAlign w:val="center"/>
          </w:tcPr>
          <w:p w14:paraId="6432C622" w14:textId="77777777" w:rsidR="00354832" w:rsidRPr="003C1684" w:rsidRDefault="00354832" w:rsidP="00A42882">
            <w:pPr>
              <w:autoSpaceDE w:val="0"/>
              <w:autoSpaceDN w:val="0"/>
              <w:adjustRightInd w:val="0"/>
              <w:snapToGrid w:val="0"/>
              <w:spacing w:line="240" w:lineRule="auto"/>
              <w:jc w:val="center"/>
              <w:rPr>
                <w:bCs/>
                <w:noProof w:val="0"/>
                <w:sz w:val="20"/>
                <w:szCs w:val="20"/>
              </w:rPr>
            </w:pPr>
            <w:r w:rsidRPr="003C1684">
              <w:rPr>
                <w:bCs/>
                <w:noProof w:val="0"/>
                <w:sz w:val="20"/>
                <w:szCs w:val="20"/>
              </w:rPr>
              <w:t>Continuous</w:t>
            </w:r>
          </w:p>
        </w:tc>
        <w:tc>
          <w:tcPr>
            <w:tcW w:w="1710" w:type="dxa"/>
            <w:tcBorders>
              <w:top w:val="single" w:sz="4" w:space="0" w:color="auto"/>
            </w:tcBorders>
            <w:shd w:val="clear" w:color="auto" w:fill="auto"/>
            <w:vAlign w:val="center"/>
          </w:tcPr>
          <w:p w14:paraId="0AE7F8C5"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1.25 (0.86-1.81)</w:t>
            </w:r>
          </w:p>
        </w:tc>
        <w:tc>
          <w:tcPr>
            <w:tcW w:w="1620" w:type="dxa"/>
            <w:tcBorders>
              <w:top w:val="single" w:sz="4" w:space="0" w:color="auto"/>
            </w:tcBorders>
            <w:shd w:val="clear" w:color="auto" w:fill="auto"/>
            <w:vAlign w:val="center"/>
          </w:tcPr>
          <w:p w14:paraId="003F5F0F"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1.35 (0.82-2.24)</w:t>
            </w:r>
          </w:p>
        </w:tc>
        <w:tc>
          <w:tcPr>
            <w:tcW w:w="1890" w:type="dxa"/>
            <w:tcBorders>
              <w:top w:val="single" w:sz="4" w:space="0" w:color="auto"/>
            </w:tcBorders>
            <w:shd w:val="clear" w:color="auto" w:fill="auto"/>
            <w:vAlign w:val="center"/>
          </w:tcPr>
          <w:p w14:paraId="1A2E6C7D"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1.25 (0.86-1.82)</w:t>
            </w:r>
          </w:p>
        </w:tc>
        <w:tc>
          <w:tcPr>
            <w:tcW w:w="1710" w:type="dxa"/>
            <w:tcBorders>
              <w:top w:val="single" w:sz="4" w:space="0" w:color="auto"/>
            </w:tcBorders>
            <w:shd w:val="clear" w:color="auto" w:fill="auto"/>
            <w:vAlign w:val="center"/>
          </w:tcPr>
          <w:p w14:paraId="0204A712"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c>
          <w:tcPr>
            <w:tcW w:w="1980" w:type="dxa"/>
            <w:tcBorders>
              <w:top w:val="single" w:sz="4" w:space="0" w:color="auto"/>
            </w:tcBorders>
            <w:shd w:val="clear" w:color="auto" w:fill="auto"/>
            <w:vAlign w:val="center"/>
          </w:tcPr>
          <w:p w14:paraId="078A0D1B"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r>
      <w:tr w:rsidR="00354832" w:rsidRPr="00A42882" w14:paraId="599F7FC4" w14:textId="77777777" w:rsidTr="00A42882">
        <w:trPr>
          <w:jc w:val="center"/>
        </w:trPr>
        <w:tc>
          <w:tcPr>
            <w:tcW w:w="1260" w:type="dxa"/>
            <w:tcBorders>
              <w:top w:val="single" w:sz="4" w:space="0" w:color="auto"/>
            </w:tcBorders>
            <w:shd w:val="clear" w:color="auto" w:fill="auto"/>
            <w:vAlign w:val="center"/>
          </w:tcPr>
          <w:p w14:paraId="73E8D738" w14:textId="20D01649"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lastRenderedPageBreak/>
              <w:t>Lee I-M., 2010</w:t>
            </w:r>
            <w:r w:rsidR="003C1684">
              <w:rPr>
                <w:noProof w:val="0"/>
                <w:color w:val="auto"/>
                <w:sz w:val="20"/>
                <w:szCs w:val="20"/>
              </w:rPr>
              <w:t xml:space="preserve"> [31]</w:t>
            </w:r>
          </w:p>
        </w:tc>
        <w:tc>
          <w:tcPr>
            <w:tcW w:w="1440" w:type="dxa"/>
            <w:tcBorders>
              <w:top w:val="single" w:sz="4" w:space="0" w:color="auto"/>
            </w:tcBorders>
            <w:shd w:val="clear" w:color="auto" w:fill="auto"/>
            <w:vAlign w:val="center"/>
          </w:tcPr>
          <w:p w14:paraId="46956E63" w14:textId="77777777" w:rsidR="00354832" w:rsidRPr="00A42882" w:rsidRDefault="00354832" w:rsidP="00A42882">
            <w:pPr>
              <w:autoSpaceDE w:val="0"/>
              <w:autoSpaceDN w:val="0"/>
              <w:adjustRightInd w:val="0"/>
              <w:snapToGrid w:val="0"/>
              <w:spacing w:line="240" w:lineRule="auto"/>
              <w:jc w:val="center"/>
              <w:rPr>
                <w:noProof w:val="0"/>
                <w:sz w:val="20"/>
                <w:szCs w:val="20"/>
              </w:rPr>
            </w:pPr>
            <w:r w:rsidRPr="00A42882">
              <w:rPr>
                <w:noProof w:val="0"/>
                <w:sz w:val="20"/>
                <w:szCs w:val="20"/>
              </w:rPr>
              <w:t>Continuous</w:t>
            </w:r>
          </w:p>
        </w:tc>
        <w:tc>
          <w:tcPr>
            <w:tcW w:w="1710" w:type="dxa"/>
            <w:shd w:val="clear" w:color="auto" w:fill="auto"/>
            <w:vAlign w:val="center"/>
          </w:tcPr>
          <w:p w14:paraId="6DB8AD4B"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0.94 (0.65-1.38)</w:t>
            </w:r>
          </w:p>
        </w:tc>
        <w:tc>
          <w:tcPr>
            <w:tcW w:w="1620" w:type="dxa"/>
            <w:shd w:val="clear" w:color="auto" w:fill="auto"/>
            <w:vAlign w:val="center"/>
          </w:tcPr>
          <w:p w14:paraId="60DD1493"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0.90 (0.46-1.76)</w:t>
            </w:r>
          </w:p>
        </w:tc>
        <w:tc>
          <w:tcPr>
            <w:tcW w:w="1890" w:type="dxa"/>
            <w:shd w:val="clear" w:color="auto" w:fill="auto"/>
            <w:vAlign w:val="center"/>
          </w:tcPr>
          <w:p w14:paraId="1C6B2ED6"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0.94 (0.73-1.54)</w:t>
            </w:r>
          </w:p>
        </w:tc>
        <w:tc>
          <w:tcPr>
            <w:tcW w:w="1710" w:type="dxa"/>
            <w:shd w:val="clear" w:color="auto" w:fill="auto"/>
            <w:vAlign w:val="center"/>
          </w:tcPr>
          <w:p w14:paraId="56F07CA4"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c>
          <w:tcPr>
            <w:tcW w:w="1980" w:type="dxa"/>
            <w:shd w:val="clear" w:color="auto" w:fill="auto"/>
            <w:vAlign w:val="center"/>
          </w:tcPr>
          <w:p w14:paraId="62EA828E"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1.08 (0.65-1.81)</w:t>
            </w:r>
          </w:p>
        </w:tc>
      </w:tr>
      <w:tr w:rsidR="00354832" w:rsidRPr="00A42882" w14:paraId="644B97FF" w14:textId="77777777" w:rsidTr="00A42882">
        <w:trPr>
          <w:jc w:val="center"/>
        </w:trPr>
        <w:tc>
          <w:tcPr>
            <w:tcW w:w="1260" w:type="dxa"/>
            <w:shd w:val="clear" w:color="auto" w:fill="auto"/>
            <w:vAlign w:val="center"/>
          </w:tcPr>
          <w:p w14:paraId="56F5578C" w14:textId="75D5254F"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Pooley K.A., 2010</w:t>
            </w:r>
            <w:r w:rsidR="003C1684">
              <w:rPr>
                <w:noProof w:val="0"/>
                <w:color w:val="auto"/>
                <w:sz w:val="20"/>
                <w:szCs w:val="20"/>
              </w:rPr>
              <w:t xml:space="preserve"> [33]</w:t>
            </w:r>
          </w:p>
        </w:tc>
        <w:tc>
          <w:tcPr>
            <w:tcW w:w="1440" w:type="dxa"/>
            <w:shd w:val="clear" w:color="auto" w:fill="auto"/>
            <w:vAlign w:val="center"/>
          </w:tcPr>
          <w:p w14:paraId="1D2C6B6E"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TL Q4 (shortest)/ Q1 (longest)</w:t>
            </w:r>
          </w:p>
        </w:tc>
        <w:tc>
          <w:tcPr>
            <w:tcW w:w="1710" w:type="dxa"/>
            <w:shd w:val="clear" w:color="auto" w:fill="auto"/>
            <w:vAlign w:val="center"/>
          </w:tcPr>
          <w:p w14:paraId="4C221F12"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1.13 (0.54-2.36)</w:t>
            </w:r>
          </w:p>
        </w:tc>
        <w:tc>
          <w:tcPr>
            <w:tcW w:w="1620" w:type="dxa"/>
            <w:shd w:val="clear" w:color="auto" w:fill="auto"/>
            <w:vAlign w:val="center"/>
          </w:tcPr>
          <w:p w14:paraId="540ED3A6"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0.89 (0.42-1.85)</w:t>
            </w:r>
          </w:p>
        </w:tc>
        <w:tc>
          <w:tcPr>
            <w:tcW w:w="1890" w:type="dxa"/>
            <w:shd w:val="clear" w:color="auto" w:fill="auto"/>
            <w:vAlign w:val="center"/>
          </w:tcPr>
          <w:p w14:paraId="57DA668A"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0.89 (0.42-1.85)</w:t>
            </w:r>
          </w:p>
        </w:tc>
        <w:tc>
          <w:tcPr>
            <w:tcW w:w="1710" w:type="dxa"/>
            <w:shd w:val="clear" w:color="auto" w:fill="auto"/>
            <w:vAlign w:val="center"/>
          </w:tcPr>
          <w:p w14:paraId="709C90CD"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c>
          <w:tcPr>
            <w:tcW w:w="1980" w:type="dxa"/>
            <w:shd w:val="clear" w:color="auto" w:fill="auto"/>
            <w:vAlign w:val="center"/>
          </w:tcPr>
          <w:p w14:paraId="416BEC0D"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0.90 (0.48-1.70)</w:t>
            </w:r>
          </w:p>
        </w:tc>
      </w:tr>
      <w:tr w:rsidR="00354832" w:rsidRPr="00A42882" w14:paraId="43109D2A" w14:textId="77777777" w:rsidTr="00A42882">
        <w:trPr>
          <w:jc w:val="center"/>
        </w:trPr>
        <w:tc>
          <w:tcPr>
            <w:tcW w:w="1260" w:type="dxa"/>
            <w:shd w:val="clear" w:color="auto" w:fill="auto"/>
            <w:vAlign w:val="center"/>
          </w:tcPr>
          <w:p w14:paraId="4312F358" w14:textId="568BBE8F"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Cui Y., 2012</w:t>
            </w:r>
            <w:r w:rsidR="003C1684">
              <w:rPr>
                <w:noProof w:val="0"/>
                <w:color w:val="auto"/>
                <w:sz w:val="20"/>
                <w:szCs w:val="20"/>
              </w:rPr>
              <w:t xml:space="preserve"> [34]</w:t>
            </w:r>
          </w:p>
        </w:tc>
        <w:tc>
          <w:tcPr>
            <w:tcW w:w="1440" w:type="dxa"/>
            <w:shd w:val="clear" w:color="auto" w:fill="auto"/>
            <w:vAlign w:val="center"/>
          </w:tcPr>
          <w:p w14:paraId="490E4B6A"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TL Q1 (shortest)/ Q3</w:t>
            </w:r>
          </w:p>
          <w:p w14:paraId="446FF02F"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TL Q5 (longest)/ Q3</w:t>
            </w:r>
          </w:p>
        </w:tc>
        <w:tc>
          <w:tcPr>
            <w:tcW w:w="1710" w:type="dxa"/>
            <w:shd w:val="clear" w:color="auto" w:fill="auto"/>
            <w:vAlign w:val="center"/>
          </w:tcPr>
          <w:p w14:paraId="155E0A47"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1.56 (0.92-2.64)</w:t>
            </w:r>
          </w:p>
          <w:p w14:paraId="53BCF90B"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1.61(0.94-2.75)</w:t>
            </w:r>
          </w:p>
        </w:tc>
        <w:tc>
          <w:tcPr>
            <w:tcW w:w="1620" w:type="dxa"/>
            <w:shd w:val="clear" w:color="auto" w:fill="auto"/>
            <w:vAlign w:val="center"/>
          </w:tcPr>
          <w:p w14:paraId="13AAFE21" w14:textId="77777777" w:rsidR="00354832" w:rsidRPr="00A42882" w:rsidRDefault="00354832" w:rsidP="00A42882">
            <w:pPr>
              <w:autoSpaceDE w:val="0"/>
              <w:autoSpaceDN w:val="0"/>
              <w:adjustRightInd w:val="0"/>
              <w:snapToGrid w:val="0"/>
              <w:spacing w:line="240" w:lineRule="auto"/>
              <w:jc w:val="center"/>
              <w:rPr>
                <w:iCs/>
                <w:noProof w:val="0"/>
                <w:color w:val="auto"/>
                <w:sz w:val="20"/>
                <w:szCs w:val="20"/>
              </w:rPr>
            </w:pPr>
            <w:r w:rsidRPr="00A42882">
              <w:rPr>
                <w:iCs/>
                <w:noProof w:val="0"/>
                <w:color w:val="auto"/>
                <w:sz w:val="20"/>
                <w:szCs w:val="20"/>
              </w:rPr>
              <w:t>1.04 (0.38-2.88)</w:t>
            </w:r>
          </w:p>
        </w:tc>
        <w:tc>
          <w:tcPr>
            <w:tcW w:w="1890" w:type="dxa"/>
            <w:shd w:val="clear" w:color="auto" w:fill="auto"/>
            <w:vAlign w:val="center"/>
          </w:tcPr>
          <w:p w14:paraId="21E3F761"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0.64 (0.38-1.09)</w:t>
            </w:r>
          </w:p>
        </w:tc>
        <w:tc>
          <w:tcPr>
            <w:tcW w:w="1710" w:type="dxa"/>
            <w:shd w:val="clear" w:color="auto" w:fill="auto"/>
            <w:vAlign w:val="center"/>
          </w:tcPr>
          <w:p w14:paraId="41961157"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0.83 (0.65-1.06)</w:t>
            </w:r>
          </w:p>
        </w:tc>
        <w:tc>
          <w:tcPr>
            <w:tcW w:w="1980" w:type="dxa"/>
            <w:shd w:val="clear" w:color="auto" w:fill="auto"/>
            <w:vAlign w:val="center"/>
          </w:tcPr>
          <w:p w14:paraId="35240CED"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r>
      <w:tr w:rsidR="00354832" w:rsidRPr="00A42882" w14:paraId="64131D35" w14:textId="77777777" w:rsidTr="00A42882">
        <w:trPr>
          <w:jc w:val="center"/>
        </w:trPr>
        <w:tc>
          <w:tcPr>
            <w:tcW w:w="1260" w:type="dxa"/>
            <w:shd w:val="clear" w:color="auto" w:fill="auto"/>
            <w:vAlign w:val="center"/>
          </w:tcPr>
          <w:p w14:paraId="6F6A2F85" w14:textId="364E7B76"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Boardman L., 2014</w:t>
            </w:r>
            <w:r w:rsidR="003C1684">
              <w:rPr>
                <w:noProof w:val="0"/>
                <w:color w:val="auto"/>
                <w:sz w:val="20"/>
                <w:szCs w:val="20"/>
              </w:rPr>
              <w:t xml:space="preserve"> [29]</w:t>
            </w:r>
          </w:p>
        </w:tc>
        <w:tc>
          <w:tcPr>
            <w:tcW w:w="1440" w:type="dxa"/>
            <w:shd w:val="clear" w:color="auto" w:fill="auto"/>
            <w:vAlign w:val="center"/>
          </w:tcPr>
          <w:p w14:paraId="57ADE44C" w14:textId="77777777" w:rsidR="00354832" w:rsidRPr="00A42882" w:rsidRDefault="00354832" w:rsidP="00A42882">
            <w:pPr>
              <w:autoSpaceDE w:val="0"/>
              <w:autoSpaceDN w:val="0"/>
              <w:adjustRightInd w:val="0"/>
              <w:snapToGrid w:val="0"/>
              <w:spacing w:line="240" w:lineRule="auto"/>
              <w:jc w:val="center"/>
              <w:rPr>
                <w:i/>
                <w:iCs/>
                <w:noProof w:val="0"/>
                <w:color w:val="auto"/>
                <w:sz w:val="20"/>
                <w:szCs w:val="20"/>
              </w:rPr>
            </w:pPr>
            <w:r w:rsidRPr="00A42882">
              <w:rPr>
                <w:i/>
                <w:iCs/>
                <w:noProof w:val="0"/>
                <w:color w:val="auto"/>
                <w:sz w:val="20"/>
                <w:szCs w:val="20"/>
              </w:rPr>
              <w:t>Age &gt;50</w:t>
            </w:r>
          </w:p>
          <w:p w14:paraId="451C0F80"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P5 (shorter)/ P50</w:t>
            </w:r>
          </w:p>
          <w:p w14:paraId="608B7DCF"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P95 (longer)/ P50</w:t>
            </w:r>
          </w:p>
        </w:tc>
        <w:tc>
          <w:tcPr>
            <w:tcW w:w="1710" w:type="dxa"/>
            <w:shd w:val="clear" w:color="auto" w:fill="auto"/>
            <w:vAlign w:val="center"/>
          </w:tcPr>
          <w:p w14:paraId="62666602"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p>
          <w:p w14:paraId="0D644594"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3.53 (1.35-9.25)</w:t>
            </w:r>
          </w:p>
          <w:p w14:paraId="5ACDF2FD"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1.36 (0.61-3.05)</w:t>
            </w:r>
          </w:p>
        </w:tc>
        <w:tc>
          <w:tcPr>
            <w:tcW w:w="1620" w:type="dxa"/>
            <w:shd w:val="clear" w:color="auto" w:fill="auto"/>
            <w:vAlign w:val="center"/>
          </w:tcPr>
          <w:p w14:paraId="29EFC4E7"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iCs/>
                <w:noProof w:val="0"/>
                <w:color w:val="auto"/>
                <w:sz w:val="20"/>
                <w:szCs w:val="20"/>
              </w:rPr>
              <w:t>0.56 (0.06-5.32)</w:t>
            </w:r>
          </w:p>
        </w:tc>
        <w:tc>
          <w:tcPr>
            <w:tcW w:w="1890" w:type="dxa"/>
            <w:shd w:val="clear" w:color="auto" w:fill="auto"/>
            <w:vAlign w:val="center"/>
          </w:tcPr>
          <w:p w14:paraId="6E61A875"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0.28 (0.11-0.75)</w:t>
            </w:r>
          </w:p>
        </w:tc>
        <w:tc>
          <w:tcPr>
            <w:tcW w:w="1710" w:type="dxa"/>
            <w:shd w:val="clear" w:color="auto" w:fill="auto"/>
            <w:vAlign w:val="center"/>
          </w:tcPr>
          <w:p w14:paraId="338888D7"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c>
          <w:tcPr>
            <w:tcW w:w="1980" w:type="dxa"/>
            <w:shd w:val="clear" w:color="auto" w:fill="auto"/>
            <w:vAlign w:val="center"/>
          </w:tcPr>
          <w:p w14:paraId="17F66F28"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r>
      <w:tr w:rsidR="00354832" w:rsidRPr="00A42882" w14:paraId="23228B62" w14:textId="77777777" w:rsidTr="00A42882">
        <w:trPr>
          <w:jc w:val="center"/>
        </w:trPr>
        <w:tc>
          <w:tcPr>
            <w:tcW w:w="1260" w:type="dxa"/>
            <w:tcBorders>
              <w:bottom w:val="single" w:sz="8" w:space="0" w:color="auto"/>
            </w:tcBorders>
            <w:shd w:val="clear" w:color="auto" w:fill="auto"/>
            <w:vAlign w:val="center"/>
          </w:tcPr>
          <w:p w14:paraId="4C5465A0" w14:textId="4D2EA758"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Qin Q., 2014</w:t>
            </w:r>
            <w:r w:rsidR="003C1684">
              <w:rPr>
                <w:noProof w:val="0"/>
                <w:color w:val="auto"/>
                <w:sz w:val="20"/>
                <w:szCs w:val="20"/>
              </w:rPr>
              <w:t xml:space="preserve"> [20]</w:t>
            </w:r>
          </w:p>
        </w:tc>
        <w:tc>
          <w:tcPr>
            <w:tcW w:w="1440" w:type="dxa"/>
            <w:tcBorders>
              <w:bottom w:val="single" w:sz="8" w:space="0" w:color="auto"/>
            </w:tcBorders>
            <w:shd w:val="clear" w:color="auto" w:fill="auto"/>
            <w:vAlign w:val="center"/>
          </w:tcPr>
          <w:p w14:paraId="5CCB9020"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TL shorter/ longer</w:t>
            </w:r>
          </w:p>
        </w:tc>
        <w:tc>
          <w:tcPr>
            <w:tcW w:w="1710" w:type="dxa"/>
            <w:tcBorders>
              <w:bottom w:val="single" w:sz="8" w:space="0" w:color="auto"/>
            </w:tcBorders>
            <w:shd w:val="clear" w:color="auto" w:fill="auto"/>
            <w:vAlign w:val="center"/>
          </w:tcPr>
          <w:p w14:paraId="08651623"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1.47 (1.09-1.99)</w:t>
            </w:r>
          </w:p>
        </w:tc>
        <w:tc>
          <w:tcPr>
            <w:tcW w:w="1620" w:type="dxa"/>
            <w:tcBorders>
              <w:bottom w:val="single" w:sz="8" w:space="0" w:color="auto"/>
            </w:tcBorders>
            <w:shd w:val="clear" w:color="auto" w:fill="auto"/>
            <w:vAlign w:val="center"/>
          </w:tcPr>
          <w:p w14:paraId="290EEF85"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0.68 (0.50-0.92)</w:t>
            </w:r>
          </w:p>
        </w:tc>
        <w:tc>
          <w:tcPr>
            <w:tcW w:w="1890" w:type="dxa"/>
            <w:tcBorders>
              <w:bottom w:val="single" w:sz="8" w:space="0" w:color="auto"/>
            </w:tcBorders>
            <w:shd w:val="clear" w:color="auto" w:fill="auto"/>
            <w:vAlign w:val="center"/>
          </w:tcPr>
          <w:p w14:paraId="3D077AA3"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0.68 (0.50-0.92)</w:t>
            </w:r>
          </w:p>
        </w:tc>
        <w:tc>
          <w:tcPr>
            <w:tcW w:w="1710" w:type="dxa"/>
            <w:tcBorders>
              <w:bottom w:val="single" w:sz="8" w:space="0" w:color="auto"/>
            </w:tcBorders>
            <w:shd w:val="clear" w:color="auto" w:fill="auto"/>
            <w:vAlign w:val="center"/>
          </w:tcPr>
          <w:p w14:paraId="62F89754"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0.78 (0.64-0.94)</w:t>
            </w:r>
          </w:p>
        </w:tc>
        <w:tc>
          <w:tcPr>
            <w:tcW w:w="1980" w:type="dxa"/>
            <w:tcBorders>
              <w:bottom w:val="single" w:sz="8" w:space="0" w:color="auto"/>
            </w:tcBorders>
            <w:shd w:val="clear" w:color="auto" w:fill="auto"/>
            <w:vAlign w:val="center"/>
          </w:tcPr>
          <w:p w14:paraId="75D262BB" w14:textId="77777777" w:rsidR="00354832" w:rsidRPr="00A42882" w:rsidRDefault="00354832" w:rsidP="00A42882">
            <w:pPr>
              <w:autoSpaceDE w:val="0"/>
              <w:autoSpaceDN w:val="0"/>
              <w:adjustRightInd w:val="0"/>
              <w:snapToGrid w:val="0"/>
              <w:spacing w:line="240" w:lineRule="auto"/>
              <w:jc w:val="center"/>
              <w:rPr>
                <w:noProof w:val="0"/>
                <w:color w:val="auto"/>
                <w:sz w:val="20"/>
                <w:szCs w:val="20"/>
              </w:rPr>
            </w:pPr>
            <w:r w:rsidRPr="00A42882">
              <w:rPr>
                <w:noProof w:val="0"/>
                <w:color w:val="auto"/>
                <w:sz w:val="20"/>
                <w:szCs w:val="20"/>
              </w:rPr>
              <w:t>Not included</w:t>
            </w:r>
          </w:p>
        </w:tc>
      </w:tr>
    </w:tbl>
    <w:p w14:paraId="507AF0C5" w14:textId="2EAD6836" w:rsidR="00354832" w:rsidRPr="00354832" w:rsidRDefault="00354832" w:rsidP="00A42882">
      <w:pPr>
        <w:pStyle w:val="MDPI43tablefooter"/>
        <w:rPr>
          <w:rFonts w:eastAsia="Calibri"/>
        </w:rPr>
      </w:pPr>
      <w:r w:rsidRPr="00354832">
        <w:rPr>
          <w:rFonts w:eastAsia="Calibri"/>
          <w:vertAlign w:val="superscript"/>
        </w:rPr>
        <w:t>1</w:t>
      </w:r>
      <w:r w:rsidRPr="00354832">
        <w:rPr>
          <w:rFonts w:eastAsia="Calibri"/>
        </w:rPr>
        <w:t xml:space="preserve">TL telomere length; </w:t>
      </w:r>
      <w:r w:rsidRPr="00354832">
        <w:rPr>
          <w:rFonts w:eastAsia="Calibri"/>
          <w:vertAlign w:val="superscript"/>
        </w:rPr>
        <w:t>2</w:t>
      </w:r>
      <w:r w:rsidRPr="00354832">
        <w:rPr>
          <w:rFonts w:eastAsia="Calibri"/>
        </w:rPr>
        <w:t>ORs displayed as reciprocal for comparison</w:t>
      </w:r>
      <w:r w:rsidR="00A42882">
        <w:rPr>
          <w:rFonts w:eastAsia="Calibri"/>
        </w:rPr>
        <w:t>.</w:t>
      </w:r>
    </w:p>
    <w:sectPr w:rsidR="00354832" w:rsidRPr="00354832" w:rsidSect="00496A9A">
      <w:headerReference w:type="even" r:id="rId9"/>
      <w:headerReference w:type="default" r:id="rId10"/>
      <w:footerReference w:type="default" r:id="rId11"/>
      <w:headerReference w:type="first" r:id="rId12"/>
      <w:footerReference w:type="first" r:id="rId13"/>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C088" w14:textId="77777777" w:rsidR="005C035F" w:rsidRDefault="005C035F">
      <w:pPr>
        <w:spacing w:line="240" w:lineRule="auto"/>
      </w:pPr>
      <w:r>
        <w:separator/>
      </w:r>
    </w:p>
  </w:endnote>
  <w:endnote w:type="continuationSeparator" w:id="0">
    <w:p w14:paraId="14309194" w14:textId="77777777" w:rsidR="005C035F" w:rsidRDefault="005C0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7592" w14:textId="77777777" w:rsidR="00AF7CE2" w:rsidRPr="00164C5C" w:rsidRDefault="00AF7CE2" w:rsidP="00AF7CE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27B4" w14:textId="77777777" w:rsidR="005F530C" w:rsidRDefault="005F530C" w:rsidP="00B16808">
    <w:pPr>
      <w:pStyle w:val="MDPIfooterfirstpage"/>
      <w:pBdr>
        <w:top w:val="single" w:sz="4" w:space="0" w:color="000000"/>
      </w:pBdr>
      <w:adjustRightInd w:val="0"/>
      <w:snapToGrid w:val="0"/>
      <w:spacing w:before="480" w:line="100" w:lineRule="exact"/>
      <w:rPr>
        <w:i/>
      </w:rPr>
    </w:pPr>
  </w:p>
  <w:p w14:paraId="3EB805F3" w14:textId="77777777" w:rsidR="00AF7CE2" w:rsidRPr="008B308E" w:rsidRDefault="00AF7CE2" w:rsidP="00AC5F82">
    <w:pPr>
      <w:pStyle w:val="MDPIfooterfirstpage"/>
      <w:tabs>
        <w:tab w:val="clear" w:pos="8845"/>
        <w:tab w:val="right" w:pos="10466"/>
      </w:tabs>
      <w:spacing w:line="240" w:lineRule="auto"/>
      <w:jc w:val="both"/>
      <w:rPr>
        <w:lang w:val="fr-CH"/>
      </w:rPr>
    </w:pPr>
    <w:r>
      <w:rPr>
        <w:i/>
      </w:rPr>
      <w:t xml:space="preserve">Cancers </w:t>
    </w:r>
    <w:r w:rsidR="00AD4A58">
      <w:rPr>
        <w:b/>
      </w:rPr>
      <w:t>2022</w:t>
    </w:r>
    <w:r w:rsidR="00F71A8C" w:rsidRPr="00F71A8C">
      <w:t>,</w:t>
    </w:r>
    <w:r w:rsidR="00AD4A58">
      <w:rPr>
        <w:i/>
      </w:rPr>
      <w:t xml:space="preserve"> 14</w:t>
    </w:r>
    <w:r w:rsidR="00F71A8C" w:rsidRPr="00F71A8C">
      <w:t xml:space="preserve">, </w:t>
    </w:r>
    <w:r w:rsidR="00534C4A">
      <w:t>x</w:t>
    </w:r>
    <w:r w:rsidR="005F530C">
      <w:t>. https://doi.org/10.3390/xxxxx</w:t>
    </w:r>
    <w:r w:rsidR="00AC5F82" w:rsidRPr="008B308E">
      <w:rPr>
        <w:lang w:val="fr-CH"/>
      </w:rPr>
      <w:tab/>
    </w:r>
    <w:r w:rsidRPr="008B308E">
      <w:rPr>
        <w:lang w:val="fr-CH"/>
      </w:rPr>
      <w:t>www.mdpi.com/journal/</w:t>
    </w:r>
    <w:r w:rsidRPr="00511F0B">
      <w:t>cancers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62C9B" w14:textId="77777777" w:rsidR="005C035F" w:rsidRDefault="005C035F">
      <w:pPr>
        <w:spacing w:line="240" w:lineRule="auto"/>
      </w:pPr>
      <w:r>
        <w:separator/>
      </w:r>
    </w:p>
  </w:footnote>
  <w:footnote w:type="continuationSeparator" w:id="0">
    <w:p w14:paraId="1D796960" w14:textId="77777777" w:rsidR="005C035F" w:rsidRDefault="005C03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5BB5" w14:textId="77777777" w:rsidR="00AF7CE2" w:rsidRDefault="00AF7CE2" w:rsidP="00AF7CE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A72C" w14:textId="77777777" w:rsidR="005F530C" w:rsidRDefault="00AF7CE2" w:rsidP="00AC5F82">
    <w:pPr>
      <w:tabs>
        <w:tab w:val="right" w:pos="10466"/>
      </w:tabs>
      <w:adjustRightInd w:val="0"/>
      <w:snapToGrid w:val="0"/>
      <w:spacing w:line="240" w:lineRule="auto"/>
      <w:rPr>
        <w:sz w:val="16"/>
      </w:rPr>
    </w:pPr>
    <w:r>
      <w:rPr>
        <w:i/>
        <w:sz w:val="16"/>
      </w:rPr>
      <w:t xml:space="preserve">Cancers </w:t>
    </w:r>
    <w:r w:rsidR="00AD4A58">
      <w:rPr>
        <w:b/>
        <w:sz w:val="16"/>
      </w:rPr>
      <w:t>2022</w:t>
    </w:r>
    <w:r w:rsidR="00F71A8C" w:rsidRPr="00F71A8C">
      <w:rPr>
        <w:sz w:val="16"/>
      </w:rPr>
      <w:t>,</w:t>
    </w:r>
    <w:r w:rsidR="00AD4A58">
      <w:rPr>
        <w:i/>
        <w:sz w:val="16"/>
      </w:rPr>
      <w:t xml:space="preserve"> 14</w:t>
    </w:r>
    <w:r w:rsidR="00534C4A">
      <w:rPr>
        <w:sz w:val="16"/>
      </w:rPr>
      <w:t>, x FOR PEER REVIEW</w:t>
    </w:r>
    <w:r w:rsidR="00AC5F82">
      <w:rPr>
        <w:sz w:val="16"/>
      </w:rPr>
      <w:tab/>
    </w:r>
    <w:r w:rsidR="00534C4A">
      <w:rPr>
        <w:sz w:val="16"/>
      </w:rPr>
      <w:fldChar w:fldCharType="begin"/>
    </w:r>
    <w:r w:rsidR="00534C4A">
      <w:rPr>
        <w:sz w:val="16"/>
      </w:rPr>
      <w:instrText xml:space="preserve"> PAGE   \* MERGEFORMAT </w:instrText>
    </w:r>
    <w:r w:rsidR="00534C4A">
      <w:rPr>
        <w:sz w:val="16"/>
      </w:rPr>
      <w:fldChar w:fldCharType="separate"/>
    </w:r>
    <w:r w:rsidR="00B43CFF">
      <w:rPr>
        <w:sz w:val="16"/>
      </w:rPr>
      <w:t>6</w:t>
    </w:r>
    <w:r w:rsidR="00534C4A">
      <w:rPr>
        <w:sz w:val="16"/>
      </w:rPr>
      <w:fldChar w:fldCharType="end"/>
    </w:r>
    <w:r w:rsidR="00534C4A">
      <w:rPr>
        <w:sz w:val="16"/>
      </w:rPr>
      <w:t xml:space="preserve"> of </w:t>
    </w:r>
    <w:r w:rsidR="00534C4A">
      <w:rPr>
        <w:sz w:val="16"/>
      </w:rPr>
      <w:fldChar w:fldCharType="begin"/>
    </w:r>
    <w:r w:rsidR="00534C4A">
      <w:rPr>
        <w:sz w:val="16"/>
      </w:rPr>
      <w:instrText xml:space="preserve"> NUMPAGES   \* MERGEFORMAT </w:instrText>
    </w:r>
    <w:r w:rsidR="00534C4A">
      <w:rPr>
        <w:sz w:val="16"/>
      </w:rPr>
      <w:fldChar w:fldCharType="separate"/>
    </w:r>
    <w:r w:rsidR="00B43CFF">
      <w:rPr>
        <w:sz w:val="16"/>
      </w:rPr>
      <w:t>6</w:t>
    </w:r>
    <w:r w:rsidR="00534C4A">
      <w:rPr>
        <w:sz w:val="16"/>
      </w:rPr>
      <w:fldChar w:fldCharType="end"/>
    </w:r>
  </w:p>
  <w:p w14:paraId="368D1495" w14:textId="77777777" w:rsidR="00AF7CE2" w:rsidRPr="00836BB8" w:rsidRDefault="00AF7CE2" w:rsidP="00B16808">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5F530C" w:rsidRPr="00AC5F82" w14:paraId="532C5A2C" w14:textId="77777777" w:rsidTr="00D6477B">
      <w:trPr>
        <w:trHeight w:val="686"/>
      </w:trPr>
      <w:tc>
        <w:tcPr>
          <w:tcW w:w="3679" w:type="dxa"/>
          <w:shd w:val="clear" w:color="auto" w:fill="auto"/>
          <w:vAlign w:val="center"/>
        </w:tcPr>
        <w:p w14:paraId="62E5315E" w14:textId="77777777" w:rsidR="005F530C" w:rsidRPr="00BD0BE9" w:rsidRDefault="00541837" w:rsidP="00AC5F82">
          <w:pPr>
            <w:pStyle w:val="Header"/>
            <w:pBdr>
              <w:bottom w:val="none" w:sz="0" w:space="0" w:color="auto"/>
            </w:pBdr>
            <w:jc w:val="left"/>
            <w:rPr>
              <w:rFonts w:eastAsia="等线"/>
              <w:b/>
              <w:bCs/>
            </w:rPr>
          </w:pPr>
          <w:r w:rsidRPr="00BD0BE9">
            <w:rPr>
              <w:rFonts w:eastAsia="等线"/>
              <w:b/>
              <w:bCs/>
            </w:rPr>
            <w:drawing>
              <wp:inline distT="0" distB="0" distL="0" distR="0" wp14:anchorId="70B88FA3" wp14:editId="736B40DF">
                <wp:extent cx="1683385" cy="429260"/>
                <wp:effectExtent l="0" t="0" r="0" b="0"/>
                <wp:docPr id="18" name="Picture 3" descr="C:\Users\home\Desktop\logos\cance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cancer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0DA3D8A4" w14:textId="77777777" w:rsidR="005F530C" w:rsidRPr="00BD0BE9" w:rsidRDefault="005F530C" w:rsidP="00AC5F82">
          <w:pPr>
            <w:pStyle w:val="Header"/>
            <w:pBdr>
              <w:bottom w:val="none" w:sz="0" w:space="0" w:color="auto"/>
            </w:pBdr>
            <w:rPr>
              <w:rFonts w:eastAsia="等线"/>
              <w:b/>
              <w:bCs/>
            </w:rPr>
          </w:pPr>
        </w:p>
      </w:tc>
      <w:tc>
        <w:tcPr>
          <w:tcW w:w="2273" w:type="dxa"/>
          <w:shd w:val="clear" w:color="auto" w:fill="auto"/>
          <w:vAlign w:val="center"/>
        </w:tcPr>
        <w:p w14:paraId="61BAB7DC" w14:textId="77777777" w:rsidR="005F530C" w:rsidRPr="00BD0BE9" w:rsidRDefault="00D6477B" w:rsidP="00D6477B">
          <w:pPr>
            <w:pStyle w:val="Header"/>
            <w:pBdr>
              <w:bottom w:val="none" w:sz="0" w:space="0" w:color="auto"/>
            </w:pBdr>
            <w:jc w:val="right"/>
            <w:rPr>
              <w:rFonts w:eastAsia="等线"/>
              <w:b/>
              <w:bCs/>
            </w:rPr>
          </w:pPr>
          <w:r>
            <w:rPr>
              <w:rFonts w:eastAsia="等线"/>
              <w:b/>
              <w:bCs/>
            </w:rPr>
            <w:drawing>
              <wp:inline distT="0" distB="0" distL="0" distR="0" wp14:anchorId="74A49123" wp14:editId="6860DBBB">
                <wp:extent cx="540000" cy="360000"/>
                <wp:effectExtent l="0" t="0" r="0" b="2540"/>
                <wp:docPr id="19" name="Picture 19"/>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78C2F5C" w14:textId="77777777" w:rsidR="00AF7CE2" w:rsidRPr="005F530C" w:rsidRDefault="00AF7CE2" w:rsidP="00B16808">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0F88"/>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6F7F4A"/>
    <w:multiLevelType w:val="hybridMultilevel"/>
    <w:tmpl w:val="5E48504A"/>
    <w:lvl w:ilvl="0" w:tplc="0F2A2F0C">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59E079DA"/>
    <w:lvl w:ilvl="0" w:tplc="48A68C36">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16F05918"/>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39925253"/>
    <w:multiLevelType w:val="hybridMultilevel"/>
    <w:tmpl w:val="4816D25A"/>
    <w:lvl w:ilvl="0" w:tplc="207EE52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9" w15:restartNumberingAfterBreak="0">
    <w:nsid w:val="4ADA639D"/>
    <w:multiLevelType w:val="hybridMultilevel"/>
    <w:tmpl w:val="6DDA9CE2"/>
    <w:lvl w:ilvl="0" w:tplc="9EC8C5C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57C3798"/>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56CF7C60"/>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93656E"/>
    <w:multiLevelType w:val="hybridMultilevel"/>
    <w:tmpl w:val="88BE560E"/>
    <w:lvl w:ilvl="0" w:tplc="79F06330">
      <w:start w:val="1"/>
      <w:numFmt w:val="decimal"/>
      <w:lvlText w:val="%1"/>
      <w:lvlJc w:val="left"/>
      <w:pPr>
        <w:ind w:left="2968" w:hanging="360"/>
      </w:pPr>
      <w:rPr>
        <w:rFonts w:hint="default"/>
      </w:r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14"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0970364">
    <w:abstractNumId w:val="5"/>
  </w:num>
  <w:num w:numId="2" w16cid:durableId="1868442531">
    <w:abstractNumId w:val="7"/>
  </w:num>
  <w:num w:numId="3" w16cid:durableId="1061634552">
    <w:abstractNumId w:val="4"/>
  </w:num>
  <w:num w:numId="4" w16cid:durableId="147672784">
    <w:abstractNumId w:val="6"/>
  </w:num>
  <w:num w:numId="5" w16cid:durableId="918834599">
    <w:abstractNumId w:val="11"/>
  </w:num>
  <w:num w:numId="6" w16cid:durableId="1182933530">
    <w:abstractNumId w:val="3"/>
  </w:num>
  <w:num w:numId="7" w16cid:durableId="1125078810">
    <w:abstractNumId w:val="11"/>
  </w:num>
  <w:num w:numId="8" w16cid:durableId="556284952">
    <w:abstractNumId w:val="3"/>
  </w:num>
  <w:num w:numId="9" w16cid:durableId="775444278">
    <w:abstractNumId w:val="11"/>
  </w:num>
  <w:num w:numId="10" w16cid:durableId="1767847814">
    <w:abstractNumId w:val="3"/>
  </w:num>
  <w:num w:numId="11" w16cid:durableId="4884018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4808671">
    <w:abstractNumId w:val="0"/>
  </w:num>
  <w:num w:numId="13" w16cid:durableId="940602481">
    <w:abstractNumId w:val="12"/>
  </w:num>
  <w:num w:numId="14" w16cid:durableId="2104957849">
    <w:abstractNumId w:val="14"/>
  </w:num>
  <w:num w:numId="15" w16cid:durableId="530068101">
    <w:abstractNumId w:val="11"/>
  </w:num>
  <w:num w:numId="16" w16cid:durableId="844974865">
    <w:abstractNumId w:val="3"/>
  </w:num>
  <w:num w:numId="17" w16cid:durableId="224264814">
    <w:abstractNumId w:val="2"/>
  </w:num>
  <w:num w:numId="18" w16cid:durableId="1388799282">
    <w:abstractNumId w:val="10"/>
  </w:num>
  <w:num w:numId="19" w16cid:durableId="1582911278">
    <w:abstractNumId w:val="0"/>
  </w:num>
  <w:num w:numId="20" w16cid:durableId="461384055">
    <w:abstractNumId w:val="11"/>
  </w:num>
  <w:num w:numId="21" w16cid:durableId="225146231">
    <w:abstractNumId w:val="3"/>
  </w:num>
  <w:num w:numId="22" w16cid:durableId="1548833240">
    <w:abstractNumId w:val="2"/>
  </w:num>
  <w:num w:numId="23" w16cid:durableId="174350397">
    <w:abstractNumId w:val="9"/>
  </w:num>
  <w:num w:numId="24" w16cid:durableId="346835046">
    <w:abstractNumId w:val="8"/>
  </w:num>
  <w:num w:numId="25" w16cid:durableId="449665085">
    <w:abstractNumId w:val="1"/>
  </w:num>
  <w:num w:numId="26" w16cid:durableId="17873825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59"/>
    <w:rsid w:val="00012523"/>
    <w:rsid w:val="0001310D"/>
    <w:rsid w:val="00014FE6"/>
    <w:rsid w:val="000366D1"/>
    <w:rsid w:val="000476A9"/>
    <w:rsid w:val="000618E3"/>
    <w:rsid w:val="000700D0"/>
    <w:rsid w:val="00076B05"/>
    <w:rsid w:val="00076F7E"/>
    <w:rsid w:val="00092478"/>
    <w:rsid w:val="000A6F47"/>
    <w:rsid w:val="000D4AE8"/>
    <w:rsid w:val="000D6839"/>
    <w:rsid w:val="000E1399"/>
    <w:rsid w:val="000F0E63"/>
    <w:rsid w:val="000F79E2"/>
    <w:rsid w:val="00103E20"/>
    <w:rsid w:val="001059C9"/>
    <w:rsid w:val="00110CC2"/>
    <w:rsid w:val="0011101E"/>
    <w:rsid w:val="0011371A"/>
    <w:rsid w:val="00117A58"/>
    <w:rsid w:val="00125CE1"/>
    <w:rsid w:val="00126C03"/>
    <w:rsid w:val="00135C67"/>
    <w:rsid w:val="00136443"/>
    <w:rsid w:val="001432AB"/>
    <w:rsid w:val="00145BCC"/>
    <w:rsid w:val="001475F2"/>
    <w:rsid w:val="00186691"/>
    <w:rsid w:val="001A3DE7"/>
    <w:rsid w:val="001B645A"/>
    <w:rsid w:val="001D0EB3"/>
    <w:rsid w:val="001D76CB"/>
    <w:rsid w:val="001E2AEB"/>
    <w:rsid w:val="001F7B9E"/>
    <w:rsid w:val="002026A3"/>
    <w:rsid w:val="00232A00"/>
    <w:rsid w:val="00235ECE"/>
    <w:rsid w:val="002431C5"/>
    <w:rsid w:val="00272F25"/>
    <w:rsid w:val="00284883"/>
    <w:rsid w:val="00293431"/>
    <w:rsid w:val="002A0D6E"/>
    <w:rsid w:val="002B5823"/>
    <w:rsid w:val="002D78E7"/>
    <w:rsid w:val="002E25EA"/>
    <w:rsid w:val="00316E1B"/>
    <w:rsid w:val="00321160"/>
    <w:rsid w:val="00326141"/>
    <w:rsid w:val="003271CA"/>
    <w:rsid w:val="00354832"/>
    <w:rsid w:val="003734CA"/>
    <w:rsid w:val="00375BAA"/>
    <w:rsid w:val="00394E80"/>
    <w:rsid w:val="003A004E"/>
    <w:rsid w:val="003A4792"/>
    <w:rsid w:val="003A55A8"/>
    <w:rsid w:val="003B0587"/>
    <w:rsid w:val="003B4E27"/>
    <w:rsid w:val="003C1684"/>
    <w:rsid w:val="003E5BF6"/>
    <w:rsid w:val="00401D30"/>
    <w:rsid w:val="00420B3D"/>
    <w:rsid w:val="00420E55"/>
    <w:rsid w:val="0044756D"/>
    <w:rsid w:val="004648D4"/>
    <w:rsid w:val="004807A8"/>
    <w:rsid w:val="00496A9A"/>
    <w:rsid w:val="004C1F28"/>
    <w:rsid w:val="004C465A"/>
    <w:rsid w:val="004D3593"/>
    <w:rsid w:val="004E0105"/>
    <w:rsid w:val="004E31DF"/>
    <w:rsid w:val="004F3629"/>
    <w:rsid w:val="00513C95"/>
    <w:rsid w:val="00517E5C"/>
    <w:rsid w:val="00534C4A"/>
    <w:rsid w:val="00535ADB"/>
    <w:rsid w:val="00541837"/>
    <w:rsid w:val="005425B6"/>
    <w:rsid w:val="00547F78"/>
    <w:rsid w:val="00550A1E"/>
    <w:rsid w:val="00557A2C"/>
    <w:rsid w:val="0059615D"/>
    <w:rsid w:val="00596A63"/>
    <w:rsid w:val="005A0BED"/>
    <w:rsid w:val="005A2FC5"/>
    <w:rsid w:val="005B2828"/>
    <w:rsid w:val="005C035F"/>
    <w:rsid w:val="005E2B1B"/>
    <w:rsid w:val="005F530C"/>
    <w:rsid w:val="006078DB"/>
    <w:rsid w:val="00611407"/>
    <w:rsid w:val="00613091"/>
    <w:rsid w:val="006160A3"/>
    <w:rsid w:val="00627D4F"/>
    <w:rsid w:val="0063570B"/>
    <w:rsid w:val="006457F2"/>
    <w:rsid w:val="00676FEB"/>
    <w:rsid w:val="006837C3"/>
    <w:rsid w:val="0069042A"/>
    <w:rsid w:val="00692393"/>
    <w:rsid w:val="0069273C"/>
    <w:rsid w:val="00695B12"/>
    <w:rsid w:val="006A25D2"/>
    <w:rsid w:val="006B71A5"/>
    <w:rsid w:val="006D37E0"/>
    <w:rsid w:val="006F7149"/>
    <w:rsid w:val="00713E8F"/>
    <w:rsid w:val="007346D0"/>
    <w:rsid w:val="00735EA3"/>
    <w:rsid w:val="00771C45"/>
    <w:rsid w:val="007A54A4"/>
    <w:rsid w:val="007B6D9A"/>
    <w:rsid w:val="007C17C4"/>
    <w:rsid w:val="007F6471"/>
    <w:rsid w:val="007F76FE"/>
    <w:rsid w:val="00817FC9"/>
    <w:rsid w:val="00851EBD"/>
    <w:rsid w:val="00874B5B"/>
    <w:rsid w:val="0089144A"/>
    <w:rsid w:val="008A58E0"/>
    <w:rsid w:val="008A5BFD"/>
    <w:rsid w:val="008B0E4D"/>
    <w:rsid w:val="008B6C95"/>
    <w:rsid w:val="008D036F"/>
    <w:rsid w:val="008D09DD"/>
    <w:rsid w:val="008D19C7"/>
    <w:rsid w:val="008D4BA0"/>
    <w:rsid w:val="008F4843"/>
    <w:rsid w:val="00925B94"/>
    <w:rsid w:val="00963346"/>
    <w:rsid w:val="00964FB2"/>
    <w:rsid w:val="009849DE"/>
    <w:rsid w:val="00987172"/>
    <w:rsid w:val="00994ED4"/>
    <w:rsid w:val="009A00A4"/>
    <w:rsid w:val="009A5A53"/>
    <w:rsid w:val="009A7C8B"/>
    <w:rsid w:val="009B0211"/>
    <w:rsid w:val="009B080B"/>
    <w:rsid w:val="009B3704"/>
    <w:rsid w:val="009D4726"/>
    <w:rsid w:val="009D4839"/>
    <w:rsid w:val="009D74AE"/>
    <w:rsid w:val="009E0359"/>
    <w:rsid w:val="009E69E6"/>
    <w:rsid w:val="009F70E6"/>
    <w:rsid w:val="00A004BA"/>
    <w:rsid w:val="00A02616"/>
    <w:rsid w:val="00A040D1"/>
    <w:rsid w:val="00A06051"/>
    <w:rsid w:val="00A42882"/>
    <w:rsid w:val="00A453A4"/>
    <w:rsid w:val="00A45543"/>
    <w:rsid w:val="00A53B15"/>
    <w:rsid w:val="00A54818"/>
    <w:rsid w:val="00A56CF6"/>
    <w:rsid w:val="00A57B3E"/>
    <w:rsid w:val="00A70EAB"/>
    <w:rsid w:val="00A72D48"/>
    <w:rsid w:val="00A935B2"/>
    <w:rsid w:val="00AB68AF"/>
    <w:rsid w:val="00AC1C84"/>
    <w:rsid w:val="00AC1D99"/>
    <w:rsid w:val="00AC2C4A"/>
    <w:rsid w:val="00AC5F82"/>
    <w:rsid w:val="00AD4A58"/>
    <w:rsid w:val="00AE4777"/>
    <w:rsid w:val="00AE48A6"/>
    <w:rsid w:val="00AF4AAA"/>
    <w:rsid w:val="00AF7CE2"/>
    <w:rsid w:val="00B005DB"/>
    <w:rsid w:val="00B00C21"/>
    <w:rsid w:val="00B16352"/>
    <w:rsid w:val="00B16808"/>
    <w:rsid w:val="00B22C35"/>
    <w:rsid w:val="00B26679"/>
    <w:rsid w:val="00B3068E"/>
    <w:rsid w:val="00B41681"/>
    <w:rsid w:val="00B43CFF"/>
    <w:rsid w:val="00B63037"/>
    <w:rsid w:val="00B74A9D"/>
    <w:rsid w:val="00B874CF"/>
    <w:rsid w:val="00B904C6"/>
    <w:rsid w:val="00B94A81"/>
    <w:rsid w:val="00B9529E"/>
    <w:rsid w:val="00B96737"/>
    <w:rsid w:val="00BA34A2"/>
    <w:rsid w:val="00BB5186"/>
    <w:rsid w:val="00BC29D4"/>
    <w:rsid w:val="00BD0BE9"/>
    <w:rsid w:val="00BE061D"/>
    <w:rsid w:val="00BF020E"/>
    <w:rsid w:val="00C16173"/>
    <w:rsid w:val="00C32442"/>
    <w:rsid w:val="00C343B1"/>
    <w:rsid w:val="00C34630"/>
    <w:rsid w:val="00C37447"/>
    <w:rsid w:val="00C40546"/>
    <w:rsid w:val="00C44C10"/>
    <w:rsid w:val="00C50EF9"/>
    <w:rsid w:val="00C770AD"/>
    <w:rsid w:val="00C81248"/>
    <w:rsid w:val="00C827F4"/>
    <w:rsid w:val="00C862EE"/>
    <w:rsid w:val="00C90FA1"/>
    <w:rsid w:val="00CA11A5"/>
    <w:rsid w:val="00CA20CA"/>
    <w:rsid w:val="00CA391B"/>
    <w:rsid w:val="00CB5381"/>
    <w:rsid w:val="00CB5C68"/>
    <w:rsid w:val="00CD4EB1"/>
    <w:rsid w:val="00CE3D9A"/>
    <w:rsid w:val="00CF4C27"/>
    <w:rsid w:val="00D109C8"/>
    <w:rsid w:val="00D16CDC"/>
    <w:rsid w:val="00D416E2"/>
    <w:rsid w:val="00D45117"/>
    <w:rsid w:val="00D47808"/>
    <w:rsid w:val="00D52E07"/>
    <w:rsid w:val="00D60F68"/>
    <w:rsid w:val="00D6477B"/>
    <w:rsid w:val="00D6737D"/>
    <w:rsid w:val="00D67A84"/>
    <w:rsid w:val="00D81694"/>
    <w:rsid w:val="00D8185A"/>
    <w:rsid w:val="00D867E0"/>
    <w:rsid w:val="00DA0C78"/>
    <w:rsid w:val="00DA4414"/>
    <w:rsid w:val="00DA4D27"/>
    <w:rsid w:val="00DB35A6"/>
    <w:rsid w:val="00DE3283"/>
    <w:rsid w:val="00E13705"/>
    <w:rsid w:val="00E2144B"/>
    <w:rsid w:val="00E21A0D"/>
    <w:rsid w:val="00E21B5D"/>
    <w:rsid w:val="00E26A1C"/>
    <w:rsid w:val="00E317F8"/>
    <w:rsid w:val="00E521BD"/>
    <w:rsid w:val="00E71C6B"/>
    <w:rsid w:val="00E73A24"/>
    <w:rsid w:val="00EC2D4D"/>
    <w:rsid w:val="00F06986"/>
    <w:rsid w:val="00F17E93"/>
    <w:rsid w:val="00F22713"/>
    <w:rsid w:val="00F5117F"/>
    <w:rsid w:val="00F528E5"/>
    <w:rsid w:val="00F55B53"/>
    <w:rsid w:val="00F71A8C"/>
    <w:rsid w:val="00F8644F"/>
    <w:rsid w:val="00F90736"/>
    <w:rsid w:val="00FA6B5A"/>
    <w:rsid w:val="00FB2D45"/>
    <w:rsid w:val="00FC2569"/>
    <w:rsid w:val="00FD62BA"/>
    <w:rsid w:val="00FE1E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8CEDF"/>
  <w15:chartTrackingRefBased/>
  <w15:docId w15:val="{7C94584C-D602-4238-9376-7530B203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839"/>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0D683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D683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D683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D683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D683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D683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D683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D6839"/>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3A55A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0D683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D683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0D6839"/>
    <w:rPr>
      <w:rFonts w:ascii="Palatino Linotype" w:hAnsi="Palatino Linotype"/>
      <w:noProof/>
      <w:color w:val="000000"/>
      <w:szCs w:val="18"/>
    </w:rPr>
  </w:style>
  <w:style w:type="paragraph" w:styleId="Header">
    <w:name w:val="header"/>
    <w:basedOn w:val="Normal"/>
    <w:link w:val="HeaderChar"/>
    <w:uiPriority w:val="99"/>
    <w:rsid w:val="000D683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0D6839"/>
    <w:rPr>
      <w:rFonts w:ascii="Palatino Linotype" w:hAnsi="Palatino Linotype"/>
      <w:noProof/>
      <w:color w:val="000000"/>
      <w:szCs w:val="18"/>
    </w:rPr>
  </w:style>
  <w:style w:type="paragraph" w:customStyle="1" w:styleId="MDPIheaderjournallogo">
    <w:name w:val="MDPI_header_journal_logo"/>
    <w:qFormat/>
    <w:rsid w:val="000D683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D6839"/>
    <w:pPr>
      <w:ind w:firstLine="0"/>
    </w:pPr>
  </w:style>
  <w:style w:type="paragraph" w:customStyle="1" w:styleId="MDPI31text">
    <w:name w:val="MDPI_3.1_text"/>
    <w:qFormat/>
    <w:rsid w:val="009B021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D683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0D683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D683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D683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6477B"/>
    <w:pPr>
      <w:numPr>
        <w:numId w:val="2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6477B"/>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D683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D683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D6839"/>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6F714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D6839"/>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D6839"/>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0D683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0D683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D683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0D6839"/>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0D683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D683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D683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84883"/>
    <w:pPr>
      <w:numPr>
        <w:numId w:val="2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0D6839"/>
    <w:rPr>
      <w:rFonts w:cs="Tahoma"/>
      <w:szCs w:val="18"/>
    </w:rPr>
  </w:style>
  <w:style w:type="character" w:customStyle="1" w:styleId="BalloonTextChar">
    <w:name w:val="Balloon Text Char"/>
    <w:link w:val="BalloonText"/>
    <w:uiPriority w:val="99"/>
    <w:rsid w:val="000D6839"/>
    <w:rPr>
      <w:rFonts w:ascii="Palatino Linotype" w:hAnsi="Palatino Linotype" w:cs="Tahoma"/>
      <w:noProof/>
      <w:color w:val="000000"/>
      <w:szCs w:val="18"/>
    </w:rPr>
  </w:style>
  <w:style w:type="character" w:styleId="LineNumber">
    <w:name w:val="line number"/>
    <w:uiPriority w:val="99"/>
    <w:rsid w:val="00C343B1"/>
    <w:rPr>
      <w:rFonts w:ascii="Palatino Linotype" w:hAnsi="Palatino Linotype"/>
      <w:sz w:val="16"/>
    </w:rPr>
  </w:style>
  <w:style w:type="table" w:customStyle="1" w:styleId="MDPI41threelinetable">
    <w:name w:val="MDPI_4.1_three_line_table"/>
    <w:basedOn w:val="TableNormal"/>
    <w:uiPriority w:val="99"/>
    <w:rsid w:val="000D683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0D6839"/>
    <w:rPr>
      <w:color w:val="0000FF"/>
      <w:u w:val="single"/>
    </w:rPr>
  </w:style>
  <w:style w:type="character" w:styleId="UnresolvedMention">
    <w:name w:val="Unresolved Mention"/>
    <w:uiPriority w:val="99"/>
    <w:semiHidden/>
    <w:unhideWhenUsed/>
    <w:rsid w:val="00963346"/>
    <w:rPr>
      <w:color w:val="605E5C"/>
      <w:shd w:val="clear" w:color="auto" w:fill="E1DFDD"/>
    </w:rPr>
  </w:style>
  <w:style w:type="table" w:styleId="PlainTable4">
    <w:name w:val="Plain Table 4"/>
    <w:basedOn w:val="TableNormal"/>
    <w:uiPriority w:val="44"/>
    <w:rsid w:val="00F71A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0D6839"/>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0D6839"/>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D6839"/>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AD4A58"/>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D683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D6839"/>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0D6839"/>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0D683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D683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D683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D683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0D683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D683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D683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D6839"/>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0D683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D683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0D6839"/>
  </w:style>
  <w:style w:type="paragraph" w:styleId="Bibliography">
    <w:name w:val="Bibliography"/>
    <w:basedOn w:val="Normal"/>
    <w:next w:val="Normal"/>
    <w:uiPriority w:val="37"/>
    <w:semiHidden/>
    <w:unhideWhenUsed/>
    <w:rsid w:val="000D6839"/>
  </w:style>
  <w:style w:type="paragraph" w:styleId="BodyText">
    <w:name w:val="Body Text"/>
    <w:link w:val="BodyTextChar"/>
    <w:rsid w:val="000D683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0D6839"/>
    <w:rPr>
      <w:rFonts w:ascii="Palatino Linotype" w:hAnsi="Palatino Linotype"/>
      <w:color w:val="000000"/>
      <w:sz w:val="24"/>
      <w:lang w:eastAsia="de-DE"/>
    </w:rPr>
  </w:style>
  <w:style w:type="character" w:styleId="CommentReference">
    <w:name w:val="annotation reference"/>
    <w:rsid w:val="000D6839"/>
    <w:rPr>
      <w:sz w:val="21"/>
      <w:szCs w:val="21"/>
    </w:rPr>
  </w:style>
  <w:style w:type="paragraph" w:styleId="CommentText">
    <w:name w:val="annotation text"/>
    <w:basedOn w:val="Normal"/>
    <w:link w:val="CommentTextChar"/>
    <w:rsid w:val="000D6839"/>
  </w:style>
  <w:style w:type="character" w:customStyle="1" w:styleId="CommentTextChar">
    <w:name w:val="Comment Text Char"/>
    <w:link w:val="CommentText"/>
    <w:rsid w:val="000D6839"/>
    <w:rPr>
      <w:rFonts w:ascii="Palatino Linotype" w:hAnsi="Palatino Linotype"/>
      <w:noProof/>
      <w:color w:val="000000"/>
    </w:rPr>
  </w:style>
  <w:style w:type="paragraph" w:styleId="CommentSubject">
    <w:name w:val="annotation subject"/>
    <w:basedOn w:val="CommentText"/>
    <w:next w:val="CommentText"/>
    <w:link w:val="CommentSubjectChar"/>
    <w:rsid w:val="000D6839"/>
    <w:rPr>
      <w:b/>
      <w:bCs/>
    </w:rPr>
  </w:style>
  <w:style w:type="character" w:customStyle="1" w:styleId="CommentSubjectChar">
    <w:name w:val="Comment Subject Char"/>
    <w:link w:val="CommentSubject"/>
    <w:rsid w:val="000D6839"/>
    <w:rPr>
      <w:rFonts w:ascii="Palatino Linotype" w:hAnsi="Palatino Linotype"/>
      <w:b/>
      <w:bCs/>
      <w:noProof/>
      <w:color w:val="000000"/>
    </w:rPr>
  </w:style>
  <w:style w:type="character" w:styleId="EndnoteReference">
    <w:name w:val="endnote reference"/>
    <w:rsid w:val="000D6839"/>
    <w:rPr>
      <w:vertAlign w:val="superscript"/>
    </w:rPr>
  </w:style>
  <w:style w:type="paragraph" w:styleId="EndnoteText">
    <w:name w:val="endnote text"/>
    <w:basedOn w:val="Normal"/>
    <w:link w:val="EndnoteTextChar"/>
    <w:semiHidden/>
    <w:unhideWhenUsed/>
    <w:rsid w:val="000D6839"/>
    <w:pPr>
      <w:spacing w:line="240" w:lineRule="auto"/>
    </w:pPr>
  </w:style>
  <w:style w:type="character" w:customStyle="1" w:styleId="EndnoteTextChar">
    <w:name w:val="Endnote Text Char"/>
    <w:link w:val="EndnoteText"/>
    <w:semiHidden/>
    <w:rsid w:val="000D6839"/>
    <w:rPr>
      <w:rFonts w:ascii="Palatino Linotype" w:hAnsi="Palatino Linotype"/>
      <w:noProof/>
      <w:color w:val="000000"/>
    </w:rPr>
  </w:style>
  <w:style w:type="character" w:styleId="FollowedHyperlink">
    <w:name w:val="FollowedHyperlink"/>
    <w:rsid w:val="000D6839"/>
    <w:rPr>
      <w:color w:val="954F72"/>
      <w:u w:val="single"/>
    </w:rPr>
  </w:style>
  <w:style w:type="paragraph" w:styleId="FootnoteText">
    <w:name w:val="footnote text"/>
    <w:basedOn w:val="Normal"/>
    <w:link w:val="FootnoteTextChar"/>
    <w:semiHidden/>
    <w:unhideWhenUsed/>
    <w:rsid w:val="000D6839"/>
    <w:pPr>
      <w:spacing w:line="240" w:lineRule="auto"/>
    </w:pPr>
  </w:style>
  <w:style w:type="character" w:customStyle="1" w:styleId="FootnoteTextChar">
    <w:name w:val="Footnote Text Char"/>
    <w:link w:val="FootnoteText"/>
    <w:semiHidden/>
    <w:rsid w:val="000D6839"/>
    <w:rPr>
      <w:rFonts w:ascii="Palatino Linotype" w:hAnsi="Palatino Linotype"/>
      <w:noProof/>
      <w:color w:val="000000"/>
    </w:rPr>
  </w:style>
  <w:style w:type="paragraph" w:styleId="NormalWeb">
    <w:name w:val="Normal (Web)"/>
    <w:basedOn w:val="Normal"/>
    <w:uiPriority w:val="99"/>
    <w:rsid w:val="000D6839"/>
    <w:rPr>
      <w:szCs w:val="24"/>
    </w:rPr>
  </w:style>
  <w:style w:type="paragraph" w:customStyle="1" w:styleId="MsoFootnoteText0">
    <w:name w:val="MsoFootnoteText"/>
    <w:basedOn w:val="NormalWeb"/>
    <w:qFormat/>
    <w:rsid w:val="000D6839"/>
    <w:rPr>
      <w:rFonts w:ascii="Times New Roman" w:hAnsi="Times New Roman"/>
    </w:rPr>
  </w:style>
  <w:style w:type="character" w:styleId="PageNumber">
    <w:name w:val="page number"/>
    <w:rsid w:val="000D6839"/>
  </w:style>
  <w:style w:type="character" w:styleId="PlaceholderText">
    <w:name w:val="Placeholder Text"/>
    <w:uiPriority w:val="99"/>
    <w:semiHidden/>
    <w:rsid w:val="000D6839"/>
    <w:rPr>
      <w:color w:val="808080"/>
    </w:rPr>
  </w:style>
  <w:style w:type="paragraph" w:customStyle="1" w:styleId="MDPI71FootNotes">
    <w:name w:val="MDPI_7.1_FootNotes"/>
    <w:qFormat/>
    <w:rsid w:val="003B4E27"/>
    <w:pPr>
      <w:numPr>
        <w:numId w:val="22"/>
      </w:numPr>
      <w:adjustRightInd w:val="0"/>
      <w:snapToGrid w:val="0"/>
      <w:spacing w:line="228" w:lineRule="auto"/>
    </w:pPr>
    <w:rPr>
      <w:rFonts w:ascii="Palatino Linotype" w:eastAsiaTheme="minorEastAsia" w:hAnsi="Palatino Linotype"/>
      <w:noProof/>
      <w:color w:val="000000"/>
      <w:sz w:val="18"/>
    </w:rPr>
  </w:style>
  <w:style w:type="table" w:customStyle="1" w:styleId="TableGrid1">
    <w:name w:val="Table Grid1"/>
    <w:basedOn w:val="TableNormal"/>
    <w:next w:val="TableGrid"/>
    <w:uiPriority w:val="39"/>
    <w:rsid w:val="00D41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A47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81248"/>
    <w:pPr>
      <w:spacing w:after="200" w:line="240" w:lineRule="auto"/>
      <w:jc w:val="left"/>
    </w:pPr>
    <w:rPr>
      <w:rFonts w:asciiTheme="minorHAnsi" w:eastAsiaTheme="minorHAnsi" w:hAnsiTheme="minorHAnsi" w:cstheme="minorBidi"/>
      <w:i/>
      <w:iCs/>
      <w:noProof w:val="0"/>
      <w:color w:val="44546A" w:themeColor="text2"/>
      <w:sz w:val="18"/>
      <w:szCs w:val="18"/>
      <w:lang w:eastAsia="en-US"/>
    </w:rPr>
  </w:style>
  <w:style w:type="table" w:customStyle="1" w:styleId="TableGrid3">
    <w:name w:val="Table Grid3"/>
    <w:basedOn w:val="TableNormal"/>
    <w:next w:val="TableGrid"/>
    <w:uiPriority w:val="39"/>
    <w:rsid w:val="00C81248"/>
    <w:rPr>
      <w:rFonts w:eastAsia="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54832"/>
    <w:rPr>
      <w:rFonts w:eastAsia="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444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j\OneDrive\Desktop\Submission%20to%20Cancers\cancer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cancers-template.dot</Template>
  <TotalTime>11</TotalTime>
  <Pages>4</Pages>
  <Words>940</Words>
  <Characters>6327</Characters>
  <Application>Microsoft Office Word</Application>
  <DocSecurity>0</DocSecurity>
  <Lines>156</Lines>
  <Paragraphs>74</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Svenja Pauleck</dc:creator>
  <cp:keywords/>
  <dc:description/>
  <cp:lastModifiedBy>MDPI</cp:lastModifiedBy>
  <cp:revision>16</cp:revision>
  <dcterms:created xsi:type="dcterms:W3CDTF">2022-12-18T10:39:00Z</dcterms:created>
  <dcterms:modified xsi:type="dcterms:W3CDTF">2023-02-10T16:19:00Z</dcterms:modified>
</cp:coreProperties>
</file>