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ind w:left="0" w:leftChars="0" w:right="0" w:rightChars="0" w:firstLine="0" w:firstLineChars="0"/>
        <w:jc w:val="center"/>
        <w:textAlignment w:val="auto"/>
        <w:outlineLvl w:val="9"/>
      </w:pPr>
      <w:r>
        <w:rPr>
          <w:rFonts w:ascii="Times New Roman" w:hAnsi="Times New Roman"/>
          <w:b/>
          <w:bCs/>
          <w:color w:val="000000"/>
        </w:rPr>
        <w:t>Supplementary</w:t>
      </w:r>
      <w:r>
        <w:rPr>
          <w:rFonts w:hint="eastAsia" w:ascii="Times New Roman" w:hAnsi="Times New Roman"/>
          <w:b/>
          <w:bCs/>
          <w:color w:val="000000"/>
          <w:lang w:val="en-US" w:eastAsia="zh-CN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Materials</w:t>
      </w:r>
    </w:p>
    <w:p>
      <w:pPr>
        <w:pStyle w:val="11"/>
        <w:spacing w:line="440" w:lineRule="exact"/>
        <w:jc w:val="center"/>
        <w:rPr>
          <w:rFonts w:ascii="Times New Roman" w:hAnsi="Times New Roman"/>
          <w:b w:val="0"/>
          <w:bCs w:val="0"/>
          <w:color w:val="000000"/>
        </w:rPr>
      </w:pPr>
      <w:r>
        <w:rPr>
          <w:rFonts w:hint="eastAsia" w:ascii="Times New Roman" w:hAnsi="Times New Roman"/>
          <w:b/>
          <w:bCs/>
          <w:color w:val="000000"/>
          <w:lang w:val="en-US" w:eastAsia="zh-CN"/>
        </w:rPr>
        <w:t xml:space="preserve"> </w:t>
      </w:r>
      <w:r>
        <w:rPr>
          <w:rFonts w:ascii="Times New Roman" w:hAnsi="Times New Roman"/>
          <w:b w:val="0"/>
          <w:bCs w:val="0"/>
          <w:color w:val="000000"/>
        </w:rPr>
        <w:t>Mn-Ce-V-WOx/TiO</w:t>
      </w:r>
      <w:r>
        <w:rPr>
          <w:rFonts w:ascii="Times New Roman" w:hAnsi="Times New Roman"/>
          <w:b w:val="0"/>
          <w:bCs w:val="0"/>
          <w:color w:val="000000"/>
          <w:vertAlign w:val="subscript"/>
        </w:rPr>
        <w:t>2</w:t>
      </w:r>
      <w:r>
        <w:rPr>
          <w:rFonts w:hint="eastAsia" w:ascii="Times New Roman" w:hAnsi="Times New Roman"/>
          <w:b w:val="0"/>
          <w:bCs w:val="0"/>
          <w:color w:val="000000"/>
          <w:vertAlign w:val="subscript"/>
          <w:lang w:val="en-US" w:eastAsia="zh-CN"/>
        </w:rPr>
        <w:t xml:space="preserve"> </w:t>
      </w:r>
      <w:r>
        <w:rPr>
          <w:rFonts w:ascii="Times New Roman" w:hAnsi="Times New Roman"/>
          <w:b w:val="0"/>
          <w:bCs w:val="0"/>
          <w:color w:val="000000"/>
        </w:rPr>
        <w:t>catalysts:</w:t>
      </w:r>
      <w:r>
        <w:rPr>
          <w:rFonts w:hint="eastAsia" w:ascii="Times New Roman" w:hAnsi="Times New Roman"/>
          <w:b w:val="0"/>
          <w:bCs w:val="0"/>
          <w:color w:val="000000"/>
          <w:lang w:val="en-US" w:eastAsia="zh-CN"/>
        </w:rPr>
        <w:t xml:space="preserve"> </w:t>
      </w:r>
      <w:r>
        <w:rPr>
          <w:rFonts w:ascii="Times New Roman" w:hAnsi="Times New Roman"/>
          <w:b w:val="0"/>
          <w:bCs w:val="0"/>
          <w:color w:val="000000"/>
        </w:rPr>
        <w:t>catalytic activity, stability and</w:t>
      </w:r>
      <w:r>
        <w:rPr>
          <w:rFonts w:hint="eastAsia" w:ascii="Times New Roman" w:hAnsi="Times New Roman"/>
          <w:b w:val="0"/>
          <w:bCs w:val="0"/>
          <w:color w:val="000000"/>
          <w:lang w:val="en-US" w:eastAsia="zh-CN"/>
        </w:rPr>
        <w:t xml:space="preserve"> </w:t>
      </w:r>
      <w:r>
        <w:rPr>
          <w:rFonts w:ascii="Times New Roman" w:hAnsi="Times New Roman"/>
          <w:b w:val="0"/>
          <w:bCs w:val="0"/>
          <w:color w:val="000000"/>
        </w:rPr>
        <w:t>interaction among catalytic</w:t>
      </w:r>
      <w:r>
        <w:rPr>
          <w:rFonts w:hint="eastAsia" w:ascii="Times New Roman" w:hAnsi="Times New Roman"/>
          <w:b w:val="0"/>
          <w:bCs w:val="0"/>
          <w:color w:val="000000"/>
          <w:lang w:val="en-US" w:eastAsia="zh-CN"/>
        </w:rPr>
        <w:t xml:space="preserve"> </w:t>
      </w:r>
      <w:r>
        <w:rPr>
          <w:rFonts w:ascii="Times New Roman" w:hAnsi="Times New Roman"/>
          <w:b w:val="0"/>
          <w:bCs w:val="0"/>
          <w:color w:val="000000"/>
        </w:rPr>
        <w:t>oxides</w:t>
      </w:r>
    </w:p>
    <w:p>
      <w:pPr>
        <w:pStyle w:val="12"/>
        <w:spacing w:before="0" w:after="0" w:line="440" w:lineRule="exact"/>
        <w:jc w:val="center"/>
        <w:rPr>
          <w:rFonts w:cs="Times New Roman"/>
          <w:b w:val="0"/>
          <w:bCs w:val="0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Xuteng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Zhao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, 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Lei Mao, </w:t>
      </w:r>
      <w:r>
        <w:rPr>
          <w:rFonts w:ascii="Times New Roman" w:hAnsi="Times New Roman"/>
          <w:b w:val="0"/>
          <w:bCs w:val="0"/>
          <w:sz w:val="24"/>
          <w:szCs w:val="24"/>
        </w:rPr>
        <w:t>Guojun Dong</w:t>
      </w:r>
    </w:p>
    <w:p>
      <w:pPr>
        <w:pStyle w:val="16"/>
        <w:keepNext w:val="0"/>
        <w:keepLines w:val="0"/>
        <w:pageBreakBefore w:val="0"/>
        <w:widowControl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right="0" w:rightChars="0"/>
        <w:jc w:val="center"/>
        <w:textAlignment w:val="auto"/>
        <w:outlineLvl w:val="9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4185" cy="3307715"/>
            <wp:effectExtent l="0" t="0" r="12065" b="6985"/>
            <wp:docPr id="2" name="图片 2" descr="催化剂参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催化剂参比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4185" cy="330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pStyle w:val="16"/>
        <w:keepNext w:val="0"/>
        <w:keepLines w:val="0"/>
        <w:pageBreakBefore w:val="0"/>
        <w:widowControl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right="0" w:rightChars="0"/>
        <w:jc w:val="center"/>
        <w:textAlignment w:val="auto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Figure S1. SCR activity of two/three-components composite oxide catalysts</w:t>
      </w:r>
    </w:p>
    <w:p>
      <w:pPr>
        <w:pStyle w:val="16"/>
        <w:keepNext w:val="0"/>
        <w:keepLines w:val="0"/>
        <w:pageBreakBefore w:val="0"/>
        <w:widowControl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right="0" w:rightChars="0"/>
        <w:jc w:val="center"/>
        <w:textAlignment w:val="auto"/>
        <w:outlineLvl w:val="9"/>
        <w:rPr>
          <w:rFonts w:cs="Times New Roman"/>
        </w:rPr>
      </w:pPr>
      <w:r>
        <w:rPr>
          <w:rFonts w:cs="Times New Roman"/>
        </w:rPr>
        <w:drawing>
          <wp:inline distT="0" distB="0" distL="0" distR="0">
            <wp:extent cx="3657600" cy="2874010"/>
            <wp:effectExtent l="0" t="0" r="0" b="2540"/>
            <wp:docPr id="5" name="图片 5" descr="E:\实验数据\研究生\大论文\图片\XRD-参比催化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:\实验数据\研究生\大论文\图片\XRD-参比催化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93" t="10070" r="12417" b="491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87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keepNext w:val="0"/>
        <w:keepLines w:val="0"/>
        <w:pageBreakBefore w:val="0"/>
        <w:widowControl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right="0" w:rightChars="0" w:firstLine="518" w:firstLineChars="200"/>
        <w:jc w:val="center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Figure S2. X-ray diffraction patterns of </w:t>
      </w:r>
      <w:r>
        <w:rPr>
          <w:rFonts w:hint="eastAsia"/>
          <w:sz w:val="24"/>
          <w:szCs w:val="24"/>
          <w:lang w:val="en-US" w:eastAsia="zh-CN"/>
        </w:rPr>
        <w:t>reference catalysts</w:t>
      </w:r>
    </w:p>
    <w:p>
      <w:pPr>
        <w:pStyle w:val="16"/>
        <w:keepNext w:val="0"/>
        <w:keepLines w:val="0"/>
        <w:pageBreakBefore w:val="0"/>
        <w:widowControl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right="0" w:rightChars="0" w:firstLine="388" w:firstLineChars="200"/>
        <w:jc w:val="center"/>
        <w:textAlignment w:val="auto"/>
        <w:outlineLvl w:val="9"/>
        <w:rPr>
          <w:rFonts w:cs="Times New Roman"/>
        </w:rPr>
      </w:pPr>
      <w:r>
        <w:rPr>
          <w:rFonts w:cs="Times New Roman"/>
        </w:rPr>
        <w:drawing>
          <wp:inline distT="0" distB="0" distL="0" distR="0">
            <wp:extent cx="3674745" cy="5335905"/>
            <wp:effectExtent l="0" t="0" r="1905" b="17145"/>
            <wp:docPr id="13" name="图片 13" descr="E:\实验数据\研究生\TEM\HRTEM-大论文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E:\实验数据\研究生\TEM\HRTEM-大论文-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745" cy="533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keepNext w:val="0"/>
        <w:keepLines w:val="0"/>
        <w:pageBreakBefore w:val="0"/>
        <w:widowControl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right="0" w:rightChars="0" w:firstLine="518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Figure S3. HRTEM images of the composite oxide catalysts: (a) a molar ratio of 0.2; (b) a molar ratio of 0.6.</w:t>
      </w:r>
    </w:p>
    <w:p>
      <w:pPr>
        <w:pStyle w:val="16"/>
        <w:keepNext w:val="0"/>
        <w:keepLines w:val="0"/>
        <w:pageBreakBefore w:val="0"/>
        <w:widowControl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right="0" w:rightChars="0" w:firstLine="518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The lattice spacing of 0.363 nm corresponds to the (200) crystal plane of WO</w:t>
      </w:r>
      <w:r>
        <w:rPr>
          <w:rFonts w:hint="eastAsia"/>
          <w:sz w:val="24"/>
          <w:szCs w:val="24"/>
          <w:vertAlign w:val="subscript"/>
          <w:lang w:val="en-US" w:eastAsia="zh-CN"/>
        </w:rPr>
        <w:t>3;</w:t>
      </w:r>
      <w:r>
        <w:rPr>
          <w:rFonts w:hint="eastAsia"/>
          <w:sz w:val="24"/>
          <w:szCs w:val="24"/>
          <w:lang w:val="en-US" w:eastAsia="zh-CN"/>
        </w:rPr>
        <w:t xml:space="preserve"> the lattice spacing of 0.302 nm corresponds to the (100) crystal plane of Mn</w:t>
      </w:r>
      <w:r>
        <w:rPr>
          <w:rFonts w:hint="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/>
          <w:sz w:val="24"/>
          <w:szCs w:val="24"/>
          <w:lang w:val="en-US" w:eastAsia="zh-CN"/>
        </w:rPr>
        <w:t>O</w:t>
      </w:r>
      <w:r>
        <w:rPr>
          <w:rFonts w:hint="eastAsia"/>
          <w:sz w:val="24"/>
          <w:szCs w:val="24"/>
          <w:vertAlign w:val="subscript"/>
          <w:lang w:val="en-US" w:eastAsia="zh-CN"/>
        </w:rPr>
        <w:t>4;</w:t>
      </w:r>
      <w:r>
        <w:rPr>
          <w:rFonts w:hint="eastAsia"/>
          <w:sz w:val="24"/>
          <w:szCs w:val="24"/>
          <w:lang w:val="en-US" w:eastAsia="zh-CN"/>
        </w:rPr>
        <w:t xml:space="preserve"> the lattice spacing of 0.318 nm corresponds to the (111) crystal plane of V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O</w:t>
      </w:r>
      <w:r>
        <w:rPr>
          <w:rFonts w:hint="eastAsia"/>
          <w:sz w:val="24"/>
          <w:szCs w:val="24"/>
          <w:vertAlign w:val="subscript"/>
          <w:lang w:val="en-US" w:eastAsia="zh-CN"/>
        </w:rPr>
        <w:t>5</w:t>
      </w:r>
      <w:r>
        <w:rPr>
          <w:rFonts w:hint="eastAsia"/>
          <w:sz w:val="24"/>
          <w:szCs w:val="24"/>
          <w:lang w:val="en-US" w:eastAsia="zh-CN"/>
        </w:rPr>
        <w:t>, the lattice spacing of 0.288 nm corresponds to the</w:t>
      </w:r>
      <w:r>
        <w:rPr>
          <w:rFonts w:hint="eastAsia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(200) crystal piane of Mn</w:t>
      </w:r>
      <w:r>
        <w:rPr>
          <w:rFonts w:hint="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/>
          <w:sz w:val="24"/>
          <w:szCs w:val="24"/>
          <w:lang w:val="en-US" w:eastAsia="zh-CN"/>
        </w:rPr>
        <w:t>O</w:t>
      </w:r>
      <w:r>
        <w:rPr>
          <w:rFonts w:hint="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/>
          <w:sz w:val="24"/>
          <w:szCs w:val="24"/>
          <w:lang w:val="en-US" w:eastAsia="zh-CN"/>
        </w:rPr>
        <w:t>, the lattice spacing of 0.326nm corresponds to the (112) crystal plane of CeO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, the lattice spacing of 0.272 nm corresponds to the (222) crystal plane of Mn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O</w:t>
      </w:r>
      <w:r>
        <w:rPr>
          <w:rFonts w:hint="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/>
          <w:sz w:val="24"/>
          <w:szCs w:val="24"/>
          <w:lang w:val="en-US" w:eastAsia="zh-CN"/>
        </w:rPr>
        <w:t>.</w:t>
      </w:r>
    </w:p>
    <w:p>
      <w:pPr>
        <w:pStyle w:val="16"/>
        <w:keepNext w:val="0"/>
        <w:keepLines w:val="0"/>
        <w:pageBreakBefore w:val="0"/>
        <w:widowControl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right="0" w:rightChars="0"/>
        <w:jc w:val="center"/>
        <w:textAlignment w:val="auto"/>
        <w:outlineLvl w:val="9"/>
      </w:pPr>
      <w:r>
        <w:drawing>
          <wp:inline distT="0" distB="0" distL="114300" distR="114300">
            <wp:extent cx="3775710" cy="2787015"/>
            <wp:effectExtent l="0" t="0" r="1524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5710" cy="2787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keepNext w:val="0"/>
        <w:keepLines w:val="0"/>
        <w:pageBreakBefore w:val="0"/>
        <w:widowControl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right="0" w:rightChars="0" w:firstLine="518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Figure S4. The lifetime of Mn-Ce-V-WOx/TiO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 xml:space="preserve"> composite oxide catalysts with molar ratio of 0.2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MS Shell Dlg">
    <w:altName w:val="Microsoft Sans Serif"/>
    <w:panose1 w:val="020B0604020202020204"/>
    <w:charset w:val="00"/>
    <w:family w:val="modern"/>
    <w:pitch w:val="default"/>
    <w:sig w:usb0="00000000" w:usb1="00000000" w:usb2="00000008" w:usb3="00000000" w:csb0="000101F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yriad Pro Light">
    <w:altName w:val="Arial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Myriad Pro">
    <w:altName w:val="Corbel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GulliverR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ompei">
    <w:altName w:val="Times New Roman"/>
    <w:panose1 w:val="00000000000000000000"/>
    <w:charset w:val="00"/>
    <w:family w:val="roman"/>
    <w:pitch w:val="default"/>
    <w:sig w:usb0="00000000" w:usb1="00000000" w:usb2="00000000" w:usb3="00000000" w:csb0="00000009" w:csb1="00000000"/>
  </w:font>
  <w:font w:name="MTS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2e364b1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596495f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Gulliv-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596495f2 + 2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596495f2 + 2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PSSy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lliverI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AdvOT8608a8d1 + 2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dd3b7348 . I + 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latinoLinotype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27EC0"/>
    <w:rsid w:val="0E0914DF"/>
    <w:rsid w:val="11927EC0"/>
    <w:rsid w:val="1AAB4470"/>
    <w:rsid w:val="1F7D2D4A"/>
    <w:rsid w:val="24EE1173"/>
    <w:rsid w:val="26C165F2"/>
    <w:rsid w:val="292F46A9"/>
    <w:rsid w:val="29D003FE"/>
    <w:rsid w:val="312F6AA8"/>
    <w:rsid w:val="367A01B6"/>
    <w:rsid w:val="389B514E"/>
    <w:rsid w:val="398A1A61"/>
    <w:rsid w:val="398E6269"/>
    <w:rsid w:val="3EF27741"/>
    <w:rsid w:val="414A201A"/>
    <w:rsid w:val="45712D50"/>
    <w:rsid w:val="49906190"/>
    <w:rsid w:val="4B834E9F"/>
    <w:rsid w:val="4F336069"/>
    <w:rsid w:val="53C35B45"/>
    <w:rsid w:val="578254B3"/>
    <w:rsid w:val="59F547EE"/>
    <w:rsid w:val="5D7842B5"/>
    <w:rsid w:val="5F000235"/>
    <w:rsid w:val="60A104CD"/>
    <w:rsid w:val="65761468"/>
    <w:rsid w:val="661B5679"/>
    <w:rsid w:val="66F44E23"/>
    <w:rsid w:val="70DA3D87"/>
    <w:rsid w:val="7F0E3C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黑体" w:cs="Times New Roman"/>
      <w:kern w:val="44"/>
      <w:sz w:val="36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10">
    <w:name w:val="标题 1 Char"/>
    <w:link w:val="2"/>
    <w:qFormat/>
    <w:uiPriority w:val="0"/>
    <w:rPr>
      <w:rFonts w:ascii="Calibri" w:hAnsi="Calibri" w:eastAsia="黑体" w:cs="Times New Roman"/>
      <w:b/>
      <w:kern w:val="44"/>
      <w:sz w:val="36"/>
      <w:szCs w:val="22"/>
    </w:rPr>
  </w:style>
  <w:style w:type="paragraph" w:customStyle="1" w:styleId="11">
    <w:name w:val="01 Paper Title"/>
    <w:basedOn w:val="1"/>
    <w:next w:val="12"/>
    <w:qFormat/>
    <w:uiPriority w:val="0"/>
    <w:pPr>
      <w:spacing w:after="0" w:line="400" w:lineRule="exact"/>
    </w:pPr>
    <w:rPr>
      <w:rFonts w:ascii="Myriad Pro Light" w:hAnsi="Myriad Pro Light"/>
      <w:b/>
      <w:spacing w:val="4"/>
      <w:sz w:val="32"/>
      <w:szCs w:val="32"/>
    </w:rPr>
  </w:style>
  <w:style w:type="paragraph" w:customStyle="1" w:styleId="12">
    <w:name w:val="02 Paper Authors"/>
    <w:basedOn w:val="1"/>
    <w:next w:val="13"/>
    <w:qFormat/>
    <w:uiPriority w:val="0"/>
    <w:pPr>
      <w:spacing w:before="200" w:after="480" w:line="240" w:lineRule="exact"/>
    </w:pPr>
    <w:rPr>
      <w:rFonts w:ascii="Myriad Pro" w:hAnsi="Myriad Pro"/>
      <w:spacing w:val="4"/>
    </w:rPr>
  </w:style>
  <w:style w:type="paragraph" w:customStyle="1" w:styleId="13">
    <w:name w:val="03 Abstract"/>
    <w:basedOn w:val="12"/>
    <w:qFormat/>
    <w:uiPriority w:val="0"/>
    <w:pPr>
      <w:jc w:val="both"/>
    </w:pPr>
    <w:rPr>
      <w:w w:val="105"/>
      <w:sz w:val="16"/>
      <w:szCs w:val="16"/>
    </w:rPr>
  </w:style>
  <w:style w:type="paragraph" w:customStyle="1" w:styleId="14">
    <w:name w:val="N1 Author Address"/>
    <w:basedOn w:val="1"/>
    <w:qFormat/>
    <w:uiPriority w:val="0"/>
    <w:pPr>
      <w:spacing w:after="0" w:line="180" w:lineRule="exact"/>
      <w:jc w:val="both"/>
    </w:pPr>
    <w:rPr>
      <w:rFonts w:ascii="Times New Roman" w:hAnsi="Times New Roman"/>
      <w:w w:val="105"/>
      <w:sz w:val="16"/>
      <w:szCs w:val="16"/>
    </w:rPr>
  </w:style>
  <w:style w:type="paragraph" w:customStyle="1" w:styleId="15">
    <w:name w:val="N2 Footnotes"/>
    <w:basedOn w:val="1"/>
    <w:qFormat/>
    <w:uiPriority w:val="0"/>
    <w:pPr>
      <w:tabs>
        <w:tab w:val="left" w:pos="284"/>
      </w:tabs>
      <w:spacing w:after="0" w:line="240" w:lineRule="exact"/>
      <w:jc w:val="both"/>
    </w:pPr>
    <w:rPr>
      <w:rFonts w:ascii="Times New Roman" w:hAnsi="Times New Roman"/>
      <w:w w:val="105"/>
      <w:sz w:val="16"/>
      <w:szCs w:val="16"/>
    </w:rPr>
  </w:style>
  <w:style w:type="paragraph" w:customStyle="1" w:styleId="16">
    <w:name w:val="08 Article Text"/>
    <w:basedOn w:val="1"/>
    <w:qFormat/>
    <w:uiPriority w:val="0"/>
    <w:pPr>
      <w:spacing w:after="0" w:line="240" w:lineRule="exact"/>
      <w:jc w:val="both"/>
    </w:pPr>
    <w:rPr>
      <w:rFonts w:ascii="Times New Roman" w:hAnsi="Times New Roman"/>
      <w:w w:val="108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2017-10-28T13:29:00Z</dcterms:created>
  <dc:creator>admin</dc:creator>
  <cp:lastModifiedBy>admin</cp:lastModifiedBy>
  <dcterms:modified xsi:type="dcterms:W3CDTF">2018-01-27T13:39:20Z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