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emf" ContentType="image/x-emf"/>
  <Default Extension="tiff" ContentType="image/tiff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Palatino Linotype" w:hAnsi="Palatino Linotype" w:cs="Times New Roman"/>
          <w:color w:val="000000"/>
          <w:kern w:val="0"/>
          <w:sz w:val="24"/>
          <w:szCs w:val="24"/>
        </w:rPr>
      </w:pPr>
      <w:bookmarkStart w:id="13" w:name="_GoBack"/>
      <w:bookmarkEnd w:id="13"/>
      <w:bookmarkStart w:id="0" w:name="OLE_LINK18"/>
      <w:r>
        <w:rPr>
          <w:rFonts w:ascii="Palatino Linotype" w:hAnsi="Palatino Linotype" w:eastAsia="MS Mincho" w:cs="Times New Roman"/>
          <w:color w:val="000000"/>
          <w:kern w:val="0"/>
          <w:sz w:val="24"/>
          <w:szCs w:val="24"/>
          <w:lang w:eastAsia="ja-JP"/>
        </w:rPr>
        <w:t>Supporting Information</w:t>
      </w:r>
    </w:p>
    <w:p>
      <w:pPr>
        <w:widowControl/>
        <w:rPr>
          <w:rFonts w:ascii="Palatino Linotype" w:hAnsi="Palatino Linotype" w:cs="Times New Roman"/>
          <w:b/>
          <w:kern w:val="0"/>
          <w:sz w:val="24"/>
          <w:szCs w:val="24"/>
        </w:rPr>
      </w:pPr>
      <w:r>
        <w:rPr>
          <w:rFonts w:ascii="Palatino Linotype" w:hAnsi="Palatino Linotype" w:cs="Times New Roman"/>
          <w:b/>
          <w:kern w:val="0"/>
          <w:sz w:val="24"/>
          <w:szCs w:val="24"/>
          <w:lang w:val="de-DE"/>
        </w:rPr>
        <w:t>CHCl</w:t>
      </w:r>
      <w:r>
        <w:rPr>
          <w:rFonts w:ascii="Palatino Linotype" w:hAnsi="Palatino Linotype" w:cs="Times New Roman"/>
          <w:b/>
          <w:kern w:val="0"/>
          <w:sz w:val="24"/>
          <w:szCs w:val="24"/>
          <w:vertAlign w:val="subscript"/>
          <w:lang w:val="de-DE"/>
        </w:rPr>
        <w:t>3</w:t>
      </w:r>
      <w:r>
        <w:rPr>
          <w:rFonts w:ascii="Palatino Linotype" w:hAnsi="Palatino Linotype" w:cs="Times New Roman"/>
          <w:b/>
          <w:kern w:val="0"/>
          <w:sz w:val="24"/>
          <w:szCs w:val="24"/>
          <w:lang w:val="de-DE"/>
        </w:rPr>
        <w:t xml:space="preserve">-Dependent Emission Color and Jumping Behavior of Cyclic Chalcone Single Crystals: the </w:t>
      </w:r>
      <w:bookmarkStart w:id="1" w:name="OLE_LINK14"/>
      <w:bookmarkStart w:id="2" w:name="OLE_LINK13"/>
      <w:r>
        <w:rPr>
          <w:rFonts w:ascii="Palatino Linotype" w:hAnsi="Palatino Linotype" w:cs="Times New Roman"/>
          <w:b/>
          <w:kern w:val="0"/>
          <w:sz w:val="24"/>
          <w:szCs w:val="24"/>
          <w:lang w:val="de-DE"/>
        </w:rPr>
        <w:t>Halogen Bond Network</w:t>
      </w:r>
      <w:bookmarkEnd w:id="1"/>
      <w:bookmarkEnd w:id="2"/>
      <w:r>
        <w:rPr>
          <w:rFonts w:ascii="Palatino Linotype" w:hAnsi="Palatino Linotype" w:cs="Times New Roman"/>
          <w:b/>
          <w:kern w:val="0"/>
          <w:sz w:val="24"/>
          <w:szCs w:val="24"/>
          <w:lang w:val="de-DE"/>
        </w:rPr>
        <w:t xml:space="preserve"> Effect</w:t>
      </w:r>
    </w:p>
    <w:p>
      <w:pPr>
        <w:widowControl/>
        <w:jc w:val="left"/>
        <w:rPr>
          <w:rFonts w:ascii="Palatino Linotype" w:hAnsi="Palatino Linotype" w:cs="Times New Roman"/>
          <w:kern w:val="0"/>
          <w:sz w:val="24"/>
          <w:szCs w:val="24"/>
          <w:lang w:val="de-DE"/>
        </w:rPr>
      </w:pPr>
      <w:r>
        <w:rPr>
          <w:rFonts w:ascii="Palatino Linotype" w:hAnsi="Palatino Linotype" w:eastAsia="MS Mincho" w:cs="Times New Roman"/>
          <w:i/>
          <w:kern w:val="0"/>
          <w:sz w:val="24"/>
          <w:szCs w:val="24"/>
          <w:lang w:val="en-GB" w:eastAsia="ja-JP"/>
        </w:rPr>
        <w:t>Zeqing Tan, Jian Zhao, Jing Zhi Sun,</w:t>
      </w:r>
      <w:r>
        <w:rPr>
          <w:rFonts w:ascii="Palatino Linotype" w:hAnsi="Palatino Linotype" w:eastAsia="宋体" w:cs="Times New Roman"/>
          <w:i/>
          <w:kern w:val="0"/>
          <w:sz w:val="24"/>
          <w:szCs w:val="24"/>
        </w:rPr>
        <w:t xml:space="preserve"> </w:t>
      </w:r>
      <w:r>
        <w:rPr>
          <w:rFonts w:ascii="Palatino Linotype" w:hAnsi="Palatino Linotype" w:eastAsia="MS Mincho" w:cs="Times New Roman"/>
          <w:i/>
          <w:kern w:val="0"/>
          <w:sz w:val="24"/>
          <w:szCs w:val="24"/>
          <w:lang w:val="en-GB" w:eastAsia="ja-JP"/>
        </w:rPr>
        <w:t>Jiaxin Zhao, Xinrui He, Zhe Liu, Lin Zhu, Xiao Cheng*</w:t>
      </w:r>
      <w:r>
        <w:rPr>
          <w:rFonts w:ascii="Palatino Linotype" w:hAnsi="Palatino Linotype" w:eastAsia="宋体" w:cs="Times New Roman"/>
          <w:i/>
          <w:kern w:val="0"/>
          <w:sz w:val="24"/>
          <w:szCs w:val="24"/>
        </w:rPr>
        <w:t xml:space="preserve"> </w:t>
      </w:r>
      <w:r>
        <w:rPr>
          <w:rFonts w:ascii="Palatino Linotype" w:hAnsi="Palatino Linotype" w:eastAsia="MS Mincho" w:cs="Times New Roman"/>
          <w:i/>
          <w:kern w:val="0"/>
          <w:sz w:val="24"/>
          <w:szCs w:val="24"/>
          <w:lang w:val="en-GB" w:eastAsia="ja-JP"/>
        </w:rPr>
        <w:t>and Chuanjian Zhou</w:t>
      </w:r>
      <w:r>
        <w:rPr>
          <w:rFonts w:ascii="Palatino Linotype" w:hAnsi="Palatino Linotype" w:eastAsia="宋体" w:cs="Times New Roman"/>
          <w:i/>
          <w:kern w:val="0"/>
          <w:sz w:val="24"/>
          <w:szCs w:val="24"/>
        </w:rPr>
        <w:t>*</w:t>
      </w:r>
      <w:r>
        <w:rPr>
          <w:rFonts w:ascii="Palatino Linotype" w:hAnsi="Palatino Linotype" w:eastAsia="MS Mincho" w:cs="Times New Roman"/>
          <w:i/>
          <w:kern w:val="0"/>
          <w:sz w:val="24"/>
          <w:szCs w:val="24"/>
          <w:lang w:val="en-GB" w:eastAsia="ja-JP"/>
        </w:rPr>
        <w:t xml:space="preserve">  </w:t>
      </w:r>
      <w:bookmarkEnd w:id="0"/>
    </w:p>
    <w:p>
      <w:pPr>
        <w:pStyle w:val="15"/>
        <w:spacing w:line="360" w:lineRule="auto"/>
        <w:jc w:val="center"/>
        <w:rPr>
          <w:rFonts w:ascii="Palatino Linotype" w:hAnsi="Palatino Linotype" w:eastAsiaTheme="minorEastAsia"/>
          <w:b/>
          <w:lang w:val="de-DE" w:eastAsia="zh-CN"/>
        </w:rPr>
      </w:pPr>
      <w:r>
        <w:rPr>
          <w:rFonts w:ascii="Palatino Linotype" w:hAnsi="Palatino Linotype" w:eastAsiaTheme="minorEastAsia"/>
          <w:b/>
          <w:lang w:val="de-DE" w:eastAsia="zh-CN"/>
        </w:rPr>
        <w:t>Table of Contents</w:t>
      </w:r>
    </w:p>
    <w:p>
      <w:pPr>
        <w:pStyle w:val="15"/>
        <w:numPr>
          <w:ilvl w:val="0"/>
          <w:numId w:val="1"/>
        </w:numPr>
        <w:spacing w:line="360" w:lineRule="auto"/>
        <w:rPr>
          <w:rFonts w:ascii="Palatino Linotype" w:hAnsi="Palatino Linotype" w:eastAsiaTheme="minorEastAsia"/>
          <w:lang w:val="de-DE" w:eastAsia="zh-CN"/>
        </w:rPr>
      </w:pPr>
      <w:r>
        <w:rPr>
          <w:rFonts w:ascii="Palatino Linotype" w:hAnsi="Palatino Linotype" w:eastAsiaTheme="minorEastAsia"/>
          <w:lang w:val="de-DE" w:eastAsia="zh-CN"/>
        </w:rPr>
        <w:t>General information                                            S2-3</w:t>
      </w:r>
    </w:p>
    <w:p>
      <w:pPr>
        <w:pStyle w:val="15"/>
        <w:numPr>
          <w:ilvl w:val="0"/>
          <w:numId w:val="1"/>
        </w:numPr>
        <w:spacing w:line="360" w:lineRule="auto"/>
        <w:rPr>
          <w:rFonts w:ascii="Palatino Linotype" w:hAnsi="Palatino Linotype" w:eastAsiaTheme="minorEastAsia"/>
          <w:b/>
          <w:lang w:val="de-DE" w:eastAsia="zh-CN"/>
        </w:rPr>
      </w:pPr>
      <w:r>
        <w:rPr>
          <w:rFonts w:ascii="Palatino Linotype" w:hAnsi="Palatino Linotype"/>
          <w:lang w:val="en-GB"/>
        </w:rPr>
        <w:t xml:space="preserve">Transient PL decay curve of compound </w:t>
      </w:r>
      <w:r>
        <w:rPr>
          <w:rFonts w:ascii="Palatino Linotype" w:hAnsi="Palatino Linotype"/>
          <w:b/>
          <w:lang w:val="en-GB"/>
        </w:rPr>
        <w:t>1</w:t>
      </w:r>
      <w:r>
        <w:rPr>
          <w:rFonts w:ascii="Palatino Linotype" w:hAnsi="Palatino Linotype"/>
          <w:lang w:val="en-GB"/>
        </w:rPr>
        <w:t xml:space="preserve"> </w:t>
      </w:r>
      <w:r>
        <w:rPr>
          <w:rFonts w:ascii="Palatino Linotype" w:hAnsi="Palatino Linotype"/>
        </w:rPr>
        <w:t xml:space="preserve">in crystal phase </w:t>
      </w:r>
      <w:r>
        <w:rPr>
          <w:rFonts w:ascii="Palatino Linotype" w:hAnsi="Palatino Linotype"/>
          <w:b/>
        </w:rPr>
        <w:t>1</w:t>
      </w:r>
      <w:r>
        <w:rPr>
          <w:rFonts w:ascii="Palatino Linotype" w:hAnsi="Palatino Linotype"/>
        </w:rPr>
        <w:t xml:space="preserve"> state.</w:t>
      </w:r>
      <w:r>
        <w:rPr>
          <w:rFonts w:ascii="Palatino Linotype" w:hAnsi="Palatino Linotype" w:eastAsiaTheme="minorEastAsia"/>
          <w:lang w:eastAsia="zh-CN"/>
        </w:rPr>
        <w:t xml:space="preserve">     S4</w:t>
      </w:r>
    </w:p>
    <w:p>
      <w:pPr>
        <w:pStyle w:val="15"/>
        <w:numPr>
          <w:ilvl w:val="0"/>
          <w:numId w:val="1"/>
        </w:numPr>
        <w:spacing w:line="360" w:lineRule="auto"/>
        <w:rPr>
          <w:rFonts w:ascii="Palatino Linotype" w:hAnsi="Palatino Linotype" w:eastAsiaTheme="minorEastAsia"/>
          <w:b/>
          <w:lang w:val="de-DE" w:eastAsia="zh-CN"/>
        </w:rPr>
      </w:pPr>
      <w:r>
        <w:rPr>
          <w:rFonts w:ascii="Palatino Linotype" w:hAnsi="Palatino Linotype" w:eastAsiaTheme="minorEastAsia"/>
          <w:lang w:val="de-DE" w:eastAsia="zh-CN"/>
        </w:rPr>
        <w:t xml:space="preserve">Color </w:t>
      </w:r>
      <w:r>
        <w:rPr>
          <w:rFonts w:ascii="Palatino Linotype" w:hAnsi="Palatino Linotype"/>
          <w:lang w:val="de-DE"/>
        </w:rPr>
        <w:t xml:space="preserve">change of the </w:t>
      </w:r>
      <w:r>
        <w:rPr>
          <w:rFonts w:ascii="Palatino Linotype" w:hAnsi="Palatino Linotype"/>
        </w:rPr>
        <w:t>desolvated</w:t>
      </w:r>
      <w:r>
        <w:rPr>
          <w:rFonts w:ascii="Palatino Linotype" w:hAnsi="Palatino Linotype"/>
          <w:lang w:val="de-DE"/>
        </w:rPr>
        <w:t xml:space="preserve"> yellow block</w:t>
      </w:r>
      <w:r>
        <w:rPr>
          <w:rFonts w:ascii="Palatino Linotype" w:hAnsi="Palatino Linotype" w:eastAsiaTheme="minorEastAsia"/>
          <w:lang w:val="de-DE" w:eastAsia="zh-CN"/>
        </w:rPr>
        <w:t xml:space="preserve">                       </w:t>
      </w:r>
      <w:r>
        <w:rPr>
          <w:rFonts w:ascii="Palatino Linotype" w:hAnsi="Palatino Linotype" w:eastAsiaTheme="minorEastAsia"/>
          <w:lang w:eastAsia="zh-CN"/>
        </w:rPr>
        <w:t>S5</w:t>
      </w:r>
    </w:p>
    <w:p>
      <w:pPr>
        <w:pStyle w:val="15"/>
        <w:numPr>
          <w:ilvl w:val="0"/>
          <w:numId w:val="1"/>
        </w:numPr>
        <w:spacing w:line="360" w:lineRule="auto"/>
        <w:rPr>
          <w:rFonts w:ascii="Palatino Linotype" w:hAnsi="Palatino Linotype" w:eastAsiaTheme="minorEastAsia"/>
          <w:b/>
          <w:lang w:val="de-DE" w:eastAsia="zh-CN"/>
        </w:rPr>
      </w:pPr>
      <w:r>
        <w:rPr>
          <w:rFonts w:ascii="Palatino Linotype" w:hAnsi="Palatino Linotype"/>
          <w:vertAlign w:val="superscript"/>
        </w:rPr>
        <w:t>1</w:t>
      </w:r>
      <w:r>
        <w:rPr>
          <w:rFonts w:ascii="Palatino Linotype" w:hAnsi="Palatino Linotype"/>
          <w:lang w:val="en-GB"/>
        </w:rPr>
        <w:t xml:space="preserve">H-NMR spectra of crystal </w:t>
      </w:r>
      <w:r>
        <w:rPr>
          <w:rFonts w:ascii="Palatino Linotype" w:hAnsi="Palatino Linotype"/>
          <w:b/>
          <w:lang w:val="en-GB"/>
        </w:rPr>
        <w:t>1</w:t>
      </w:r>
      <w:r>
        <w:rPr>
          <w:rFonts w:ascii="Palatino Linotype" w:hAnsi="Palatino Linotype"/>
          <w:lang w:val="en-GB"/>
        </w:rPr>
        <w:t xml:space="preserve"> </w:t>
      </w:r>
      <w:r>
        <w:rPr>
          <w:rFonts w:ascii="Palatino Linotype" w:hAnsi="Palatino Linotype" w:eastAsiaTheme="minorEastAsia"/>
          <w:lang w:val="en-GB" w:eastAsia="zh-CN"/>
        </w:rPr>
        <w:t xml:space="preserve">before and </w:t>
      </w:r>
      <w:r>
        <w:rPr>
          <w:rFonts w:ascii="Palatino Linotype" w:hAnsi="Palatino Linotype"/>
        </w:rPr>
        <w:t>after UV irridiation</w:t>
      </w:r>
      <w:r>
        <w:rPr>
          <w:rFonts w:ascii="Palatino Linotype" w:hAnsi="Palatino Linotype" w:eastAsiaTheme="minorEastAsia"/>
          <w:lang w:eastAsia="zh-CN"/>
        </w:rPr>
        <w:t xml:space="preserve">          S6</w:t>
      </w:r>
    </w:p>
    <w:p>
      <w:pPr>
        <w:pStyle w:val="15"/>
        <w:numPr>
          <w:ilvl w:val="0"/>
          <w:numId w:val="1"/>
        </w:numPr>
        <w:spacing w:line="360" w:lineRule="auto"/>
        <w:rPr>
          <w:rFonts w:ascii="Palatino Linotype" w:hAnsi="Palatino Linotype" w:eastAsiaTheme="minorEastAsia"/>
          <w:lang w:val="de-DE" w:eastAsia="zh-CN"/>
        </w:rPr>
      </w:pPr>
      <w:r>
        <w:rPr>
          <w:rFonts w:ascii="Palatino Linotype" w:hAnsi="Palatino Linotype" w:eastAsiaTheme="minorEastAsia"/>
          <w:lang w:val="de-DE" w:eastAsia="zh-CN"/>
        </w:rPr>
        <w:t xml:space="preserve">Crystal structures of </w:t>
      </w:r>
      <w:r>
        <w:rPr>
          <w:rFonts w:ascii="Palatino Linotype" w:hAnsi="Palatino Linotype"/>
          <w:lang w:val="en-GB"/>
        </w:rPr>
        <w:t xml:space="preserve">crystal </w:t>
      </w:r>
      <w:r>
        <w:rPr>
          <w:rFonts w:ascii="Palatino Linotype" w:hAnsi="Palatino Linotype"/>
          <w:b/>
          <w:lang w:val="en-GB"/>
        </w:rPr>
        <w:t>1</w:t>
      </w:r>
      <w:r>
        <w:rPr>
          <w:rFonts w:ascii="Palatino Linotype" w:hAnsi="Palatino Linotype" w:eastAsiaTheme="minorEastAsia"/>
          <w:b/>
          <w:lang w:val="en-GB" w:eastAsia="zh-CN"/>
        </w:rPr>
        <w:t xml:space="preserve"> </w:t>
      </w:r>
      <w:r>
        <w:rPr>
          <w:rFonts w:ascii="Palatino Linotype" w:hAnsi="Palatino Linotype" w:eastAsiaTheme="minorEastAsia"/>
          <w:lang w:val="en-GB" w:eastAsia="zh-CN"/>
        </w:rPr>
        <w:t xml:space="preserve">and </w:t>
      </w:r>
      <w:r>
        <w:rPr>
          <w:rFonts w:ascii="Palatino Linotype" w:hAnsi="Palatino Linotype"/>
          <w:b/>
        </w:rPr>
        <w:t>1</w:t>
      </w:r>
      <w:r>
        <w:rPr>
          <w:rFonts w:ascii="Palatino Linotype" w:hAnsi="Palatino Linotype" w:eastAsia="宋体"/>
          <w:b/>
          <w:lang w:eastAsia="zh-CN"/>
        </w:rPr>
        <w:t>•</w:t>
      </w:r>
      <w:r>
        <w:rPr>
          <w:rFonts w:ascii="Palatino Linotype" w:hAnsi="Palatino Linotype" w:eastAsiaTheme="minorEastAsia"/>
          <w:b/>
          <w:lang w:eastAsia="zh-CN"/>
        </w:rPr>
        <w:t>2CHCl</w:t>
      </w:r>
      <w:r>
        <w:rPr>
          <w:rFonts w:ascii="Palatino Linotype" w:hAnsi="Palatino Linotype" w:eastAsiaTheme="minorEastAsia"/>
          <w:b/>
          <w:vertAlign w:val="subscript"/>
          <w:lang w:eastAsia="zh-CN"/>
        </w:rPr>
        <w:t>3</w:t>
      </w:r>
      <w:r>
        <w:rPr>
          <w:rFonts w:ascii="Palatino Linotype" w:hAnsi="Palatino Linotype" w:eastAsiaTheme="minorEastAsia"/>
          <w:lang w:eastAsia="zh-CN"/>
        </w:rPr>
        <w:t xml:space="preserve">                       S7-8</w:t>
      </w:r>
    </w:p>
    <w:p>
      <w:pPr>
        <w:pStyle w:val="15"/>
        <w:numPr>
          <w:ilvl w:val="0"/>
          <w:numId w:val="1"/>
        </w:numPr>
        <w:spacing w:line="360" w:lineRule="auto"/>
        <w:rPr>
          <w:rFonts w:ascii="Palatino Linotype" w:hAnsi="Palatino Linotype" w:eastAsiaTheme="minorEastAsia"/>
          <w:b/>
          <w:lang w:val="de-DE" w:eastAsia="zh-CN"/>
        </w:rPr>
      </w:pPr>
      <w:r>
        <w:rPr>
          <w:rFonts w:ascii="Palatino Linotype" w:hAnsi="Palatino Linotype"/>
          <w:lang w:val="de-DE"/>
        </w:rPr>
        <w:t xml:space="preserve">Absorption and emission spectra of compounds </w:t>
      </w:r>
      <w:r>
        <w:rPr>
          <w:rFonts w:ascii="Palatino Linotype" w:hAnsi="Palatino Linotype"/>
          <w:b/>
          <w:bCs/>
          <w:lang w:val="de-DE"/>
        </w:rPr>
        <w:t>1</w:t>
      </w:r>
      <w:r>
        <w:rPr>
          <w:rFonts w:ascii="Palatino Linotype" w:hAnsi="Palatino Linotype"/>
          <w:lang w:val="de-DE"/>
        </w:rPr>
        <w:t xml:space="preserve"> in various solvents</w:t>
      </w:r>
      <w:r>
        <w:rPr>
          <w:rFonts w:ascii="Palatino Linotype" w:hAnsi="Palatino Linotype" w:eastAsiaTheme="minorEastAsia"/>
          <w:lang w:val="de-DE" w:eastAsia="zh-CN"/>
        </w:rPr>
        <w:t xml:space="preserve">  </w:t>
      </w:r>
      <w:r>
        <w:rPr>
          <w:rFonts w:ascii="Palatino Linotype" w:hAnsi="Palatino Linotype" w:eastAsiaTheme="minorEastAsia"/>
          <w:lang w:eastAsia="zh-CN"/>
        </w:rPr>
        <w:t>S9</w:t>
      </w:r>
    </w:p>
    <w:p>
      <w:pPr>
        <w:pStyle w:val="15"/>
        <w:numPr>
          <w:ilvl w:val="0"/>
          <w:numId w:val="1"/>
        </w:numPr>
        <w:spacing w:line="360" w:lineRule="auto"/>
        <w:rPr>
          <w:rFonts w:ascii="Palatino Linotype" w:hAnsi="Palatino Linotype" w:eastAsiaTheme="minorEastAsia"/>
          <w:lang w:val="de-DE" w:eastAsia="zh-CN"/>
        </w:rPr>
      </w:pPr>
      <w:r>
        <w:rPr>
          <w:rFonts w:ascii="Palatino Linotype" w:hAnsi="Palatino Linotype" w:eastAsiaTheme="minorEastAsia"/>
          <w:lang w:eastAsia="zh-CN"/>
        </w:rPr>
        <w:t xml:space="preserve">Theoretical </w:t>
      </w:r>
      <w:r>
        <w:rPr>
          <w:rFonts w:ascii="Palatino Linotype" w:hAnsi="Palatino Linotype"/>
        </w:rPr>
        <w:t>calculat</w:t>
      </w:r>
      <w:r>
        <w:rPr>
          <w:rFonts w:ascii="Palatino Linotype" w:hAnsi="Palatino Linotype" w:eastAsiaTheme="minorEastAsia"/>
          <w:lang w:eastAsia="zh-CN"/>
        </w:rPr>
        <w:t>ions</w:t>
      </w:r>
      <w:r>
        <w:rPr>
          <w:rFonts w:ascii="Palatino Linotype" w:hAnsi="Palatino Linotype"/>
        </w:rPr>
        <w:t xml:space="preserve"> </w:t>
      </w:r>
      <w:r>
        <w:rPr>
          <w:rFonts w:ascii="Palatino Linotype" w:hAnsi="Palatino Linotype" w:eastAsiaTheme="minorEastAsia"/>
          <w:lang w:eastAsia="zh-CN"/>
        </w:rPr>
        <w:t xml:space="preserve">of the CHCl3-containing </w:t>
      </w:r>
      <w:r>
        <w:rPr>
          <w:rFonts w:ascii="Palatino Linotype" w:hAnsi="Palatino Linotype"/>
        </w:rPr>
        <w:t>“complex”</w:t>
      </w:r>
      <w:r>
        <w:rPr>
          <w:rFonts w:ascii="Palatino Linotype" w:hAnsi="Palatino Linotype" w:eastAsiaTheme="minorEastAsia"/>
          <w:lang w:eastAsia="zh-CN"/>
        </w:rPr>
        <w:t xml:space="preserve">          S10</w:t>
      </w:r>
    </w:p>
    <w:p>
      <w:pPr>
        <w:pStyle w:val="15"/>
        <w:numPr>
          <w:ilvl w:val="0"/>
          <w:numId w:val="1"/>
        </w:numPr>
        <w:spacing w:line="360" w:lineRule="auto"/>
        <w:rPr>
          <w:rFonts w:ascii="Palatino Linotype" w:hAnsi="Palatino Linotype" w:eastAsiaTheme="minorEastAsia"/>
          <w:lang w:val="de-DE" w:eastAsia="zh-CN"/>
        </w:rPr>
      </w:pPr>
      <w:r>
        <w:rPr>
          <w:rFonts w:ascii="Palatino Linotype" w:hAnsi="Palatino Linotype" w:eastAsiaTheme="minorEastAsia"/>
          <w:lang w:eastAsia="zh-CN"/>
        </w:rPr>
        <w:t xml:space="preserve">NMR spectra of compound </w:t>
      </w:r>
      <w:r>
        <w:rPr>
          <w:rFonts w:ascii="Palatino Linotype" w:hAnsi="Palatino Linotype" w:eastAsiaTheme="minorEastAsia"/>
          <w:b/>
          <w:lang w:eastAsia="zh-CN"/>
        </w:rPr>
        <w:t>1</w:t>
      </w:r>
      <w:r>
        <w:rPr>
          <w:rFonts w:ascii="Palatino Linotype" w:hAnsi="Palatino Linotype" w:eastAsiaTheme="minorEastAsia"/>
          <w:lang w:eastAsia="zh-CN"/>
        </w:rPr>
        <w:t xml:space="preserve">                                  S11-12</w:t>
      </w:r>
    </w:p>
    <w:p>
      <w:pPr>
        <w:pStyle w:val="15"/>
        <w:spacing w:line="360" w:lineRule="auto"/>
        <w:ind w:left="360"/>
        <w:rPr>
          <w:rFonts w:ascii="Palatino Linotype" w:hAnsi="Palatino Linotype" w:eastAsiaTheme="minorEastAsia"/>
          <w:lang w:val="de-DE" w:eastAsia="zh-CN"/>
        </w:rPr>
      </w:pPr>
    </w:p>
    <w:p>
      <w:pPr>
        <w:widowControl/>
        <w:spacing w:line="360" w:lineRule="auto"/>
        <w:jc w:val="left"/>
        <w:rPr>
          <w:rFonts w:ascii="Palatino Linotype" w:hAnsi="Palatino Linotype" w:cs="Times New Roman"/>
          <w:b/>
          <w:kern w:val="0"/>
          <w:sz w:val="24"/>
          <w:szCs w:val="24"/>
          <w:lang w:val="de-DE"/>
        </w:rPr>
      </w:pPr>
      <w:r>
        <w:rPr>
          <w:rFonts w:ascii="Palatino Linotype" w:hAnsi="Palatino Linotype" w:cs="Times New Roman"/>
          <w:b/>
          <w:kern w:val="0"/>
          <w:sz w:val="24"/>
          <w:szCs w:val="24"/>
          <w:lang w:val="de-DE"/>
        </w:rPr>
        <w:br w:type="page"/>
      </w:r>
    </w:p>
    <w:p>
      <w:pPr>
        <w:pStyle w:val="15"/>
        <w:spacing w:line="360" w:lineRule="auto"/>
        <w:rPr>
          <w:rFonts w:ascii="Palatino Linotype" w:hAnsi="Palatino Linotype"/>
          <w:b/>
          <w:lang w:val="de-DE"/>
        </w:rPr>
      </w:pPr>
      <w:r>
        <w:rPr>
          <w:rFonts w:ascii="Palatino Linotype" w:hAnsi="Palatino Linotype"/>
          <w:b/>
          <w:lang w:val="de-DE"/>
        </w:rPr>
        <w:t>General Information</w:t>
      </w:r>
    </w:p>
    <w:p>
      <w:pPr>
        <w:pStyle w:val="15"/>
        <w:spacing w:line="360" w:lineRule="auto"/>
        <w:jc w:val="both"/>
        <w:rPr>
          <w:rFonts w:ascii="Palatino Linotype" w:hAnsi="Palatino Linotype" w:eastAsiaTheme="minorEastAsia"/>
          <w:color w:val="FF0000"/>
          <w:lang w:eastAsia="zh-CN"/>
        </w:rPr>
      </w:pPr>
      <w:r>
        <w:rPr>
          <w:rFonts w:ascii="Palatino Linotype" w:hAnsi="Palatino Linotype" w:eastAsiaTheme="minorEastAsia"/>
          <w:b/>
          <w:lang w:val="de-DE" w:eastAsia="zh-CN"/>
        </w:rPr>
        <w:t>Materials and Instruments</w:t>
      </w:r>
      <w:r>
        <w:rPr>
          <w:rFonts w:ascii="Palatino Linotype" w:hAnsi="Palatino Linotype" w:eastAsiaTheme="minorEastAsia"/>
          <w:b/>
          <w:lang w:eastAsia="zh-CN"/>
        </w:rPr>
        <w:t xml:space="preserve">: 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 xml:space="preserve">Chemicals of the highest purity level available were obtained from Acros, Sigma-Aldrich, or </w:t>
      </w: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>J&amp;K Scientific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, and were used without further purification. NMR spectra were recorded on a Bruker Avance 400 MHz spectrometer with tetramethylsilane as the internal standard</w:t>
      </w:r>
      <w:r>
        <w:rPr>
          <w:rFonts w:ascii="Palatino Linotype" w:hAnsi="Palatino Linotype" w:eastAsiaTheme="minorEastAsia"/>
          <w:lang w:eastAsia="zh-CN"/>
        </w:rPr>
        <w:t xml:space="preserve">, while mass spectra were recorded on a Thermo Fisher ITQ1100 mass spectrometer. 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Elemental analyses were performed on a FlashEA1112 spectrometer. UV-vis absorption spectra were recorded on a Shimadzu UV-2550 spectrophotometer, emission spectra were recorded using a Shimadzu RF-5301 PC spectrometer. Absolute fluorescence quantum yields and lifetimes were measured on an Edinburgh FLS920 with or without an integrating sphere</w:t>
      </w: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>.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 xml:space="preserve"> All measurements were carried out at room temperature under ambient conditions.</w:t>
      </w:r>
      <w:r>
        <w:rPr>
          <w:rFonts w:ascii="Palatino Linotype" w:hAnsi="Palatino Linotype" w:eastAsiaTheme="minorEastAsia"/>
          <w:color w:val="FF0000"/>
          <w:lang w:eastAsia="zh-CN"/>
        </w:rPr>
        <w:t xml:space="preserve"> </w:t>
      </w:r>
    </w:p>
    <w:p>
      <w:pPr>
        <w:pStyle w:val="15"/>
        <w:spacing w:line="360" w:lineRule="auto"/>
        <w:jc w:val="both"/>
        <w:rPr>
          <w:rFonts w:ascii="Palatino Linotype" w:hAnsi="Palatino Linotype" w:eastAsiaTheme="minorEastAsia"/>
          <w:color w:val="FF0000"/>
          <w:lang w:eastAsia="zh-CN"/>
        </w:rPr>
      </w:pPr>
      <w:commentRangeStart w:id="0"/>
      <w:r>
        <w:rPr>
          <w:rFonts w:ascii="Palatino Linotype" w:hAnsi="Palatino Linotype" w:eastAsiaTheme="minorEastAsia"/>
          <w:color w:val="000000" w:themeColor="text1"/>
          <w:highlight w:val="yellow"/>
          <w:lang w:eastAsia="zh-CN"/>
          <w14:textFill>
            <w14:solidFill>
              <w14:schemeClr w14:val="tx1"/>
            </w14:solidFill>
          </w14:textFill>
        </w:rPr>
        <w:t>(2</w:t>
      </w:r>
      <w:r>
        <w:rPr>
          <w:rFonts w:ascii="Palatino Linotype" w:hAnsi="Palatino Linotype" w:eastAsiaTheme="minorEastAsia"/>
          <w:i/>
          <w:iCs/>
          <w:color w:val="000000" w:themeColor="text1"/>
          <w:highlight w:val="yellow"/>
          <w:lang w:eastAsia="zh-CN"/>
          <w14:textFill>
            <w14:solidFill>
              <w14:schemeClr w14:val="tx1"/>
            </w14:solidFill>
          </w14:textFill>
        </w:rPr>
        <w:t>E</w:t>
      </w:r>
      <w:r>
        <w:rPr>
          <w:rFonts w:ascii="Palatino Linotype" w:hAnsi="Palatino Linotype" w:eastAsiaTheme="minorEastAsia"/>
          <w:color w:val="000000" w:themeColor="text1"/>
          <w:highlight w:val="yellow"/>
          <w:lang w:eastAsia="zh-CN"/>
          <w14:textFill>
            <w14:solidFill>
              <w14:schemeClr w14:val="tx1"/>
            </w14:solidFill>
          </w14:textFill>
        </w:rPr>
        <w:t>)​-5-​</w:t>
      </w:r>
      <w:r>
        <w:rPr>
          <w:rFonts w:ascii="Palatino Linotype" w:hAnsi="Palatino Linotype" w:eastAsiaTheme="minorEastAsia"/>
          <w:color w:val="000000" w:themeColor="text1"/>
          <w:highlight w:val="yellow"/>
          <w:lang w:val="de-DE" w:eastAsia="zh-CN"/>
          <w14:textFill>
            <w14:solidFill>
              <w14:schemeClr w14:val="tx1"/>
            </w14:solidFill>
          </w14:textFill>
        </w:rPr>
        <w:t>chloro</w:t>
      </w:r>
      <w:r>
        <w:rPr>
          <w:rFonts w:ascii="Palatino Linotype" w:hAnsi="Palatino Linotype" w:eastAsiaTheme="minorEastAsia"/>
          <w:color w:val="000000" w:themeColor="text1"/>
          <w:highlight w:val="yellow"/>
          <w:lang w:eastAsia="zh-CN"/>
          <w14:textFill>
            <w14:solidFill>
              <w14:schemeClr w14:val="tx1"/>
            </w14:solidFill>
          </w14:textFill>
        </w:rPr>
        <w:t>-​2-​[[4-​(diphenylamino)​phenyl]​methylene]​-​2,​3-​dihydro-​1</w:t>
      </w:r>
      <w:r>
        <w:rPr>
          <w:rFonts w:ascii="Palatino Linotype" w:hAnsi="Palatino Linotype" w:eastAsiaTheme="minorEastAsia"/>
          <w:i/>
          <w:iCs/>
          <w:color w:val="000000" w:themeColor="text1"/>
          <w:highlight w:val="yellow"/>
          <w:lang w:eastAsia="zh-CN"/>
          <w14:textFill>
            <w14:solidFill>
              <w14:schemeClr w14:val="tx1"/>
            </w14:solidFill>
          </w14:textFill>
        </w:rPr>
        <w:t>H</w:t>
      </w:r>
      <w:r>
        <w:rPr>
          <w:rFonts w:ascii="Palatino Linotype" w:hAnsi="Palatino Linotype" w:eastAsiaTheme="minorEastAsia"/>
          <w:color w:val="000000" w:themeColor="text1"/>
          <w:highlight w:val="yellow"/>
          <w:lang w:eastAsia="zh-CN"/>
          <w14:textFill>
            <w14:solidFill>
              <w14:schemeClr w14:val="tx1"/>
            </w14:solidFill>
          </w14:textFill>
        </w:rPr>
        <w:t xml:space="preserve">-​inden-​1-​one </w:t>
      </w:r>
      <w:commentRangeEnd w:id="0"/>
      <w:r>
        <w:rPr>
          <w:rStyle w:val="11"/>
          <w:rFonts w:ascii="Palatino Linotype" w:hAnsi="Palatino Linotype" w:eastAsiaTheme="minorEastAsia" w:cstheme="minorBidi"/>
          <w:kern w:val="2"/>
          <w:lang w:eastAsia="zh-CN"/>
        </w:rPr>
        <w:commentReference w:id="0"/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(</w:t>
      </w:r>
      <w:r>
        <w:rPr>
          <w:rFonts w:ascii="Palatino Linotype" w:hAnsi="Palatino Linotype" w:eastAsiaTheme="minorEastAsia"/>
          <w:b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1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). Yiel</w:t>
      </w:r>
      <w:r>
        <w:rPr>
          <w:rFonts w:ascii="Palatino Linotype" w:hAnsi="Palatino Linotype" w:eastAsiaTheme="minorEastAsia"/>
          <w:lang w:eastAsia="zh-CN"/>
        </w:rPr>
        <w:t xml:space="preserve">d: 79%. </w:t>
      </w:r>
      <w:r>
        <w:rPr>
          <w:rFonts w:ascii="Palatino Linotype" w:hAnsi="Palatino Linotype" w:eastAsiaTheme="minorEastAsia"/>
          <w:vertAlign w:val="superscript"/>
          <w:lang w:eastAsia="zh-CN"/>
        </w:rPr>
        <w:t>1</w:t>
      </w:r>
      <w:r>
        <w:rPr>
          <w:rFonts w:ascii="Palatino Linotype" w:hAnsi="Palatino Linotype" w:eastAsiaTheme="minorEastAsia"/>
          <w:lang w:eastAsia="zh-CN"/>
        </w:rPr>
        <w:t>H NMR (400 MHz, CDCl</w:t>
      </w:r>
      <w:r>
        <w:rPr>
          <w:rFonts w:ascii="Palatino Linotype" w:hAnsi="Palatino Linotype" w:eastAsiaTheme="minorEastAsia"/>
          <w:vertAlign w:val="subscript"/>
          <w:lang w:eastAsia="zh-CN"/>
        </w:rPr>
        <w:t>3</w:t>
      </w:r>
      <w:r>
        <w:rPr>
          <w:rFonts w:ascii="Palatino Linotype" w:hAnsi="Palatino Linotype" w:eastAsiaTheme="minorEastAsia"/>
          <w:lang w:eastAsia="zh-CN"/>
        </w:rPr>
        <w:t xml:space="preserve">): </w:t>
      </w:r>
      <w:r>
        <w:rPr>
          <w:rFonts w:ascii="Palatino Linotype" w:hAnsi="Palatino Linotype" w:eastAsiaTheme="minorEastAsia"/>
          <w:i/>
          <w:lang w:eastAsia="zh-CN"/>
        </w:rPr>
        <w:t xml:space="preserve">δ </w:t>
      </w:r>
      <w:r>
        <w:rPr>
          <w:rFonts w:ascii="Palatino Linotype" w:hAnsi="Palatino Linotype" w:eastAsiaTheme="minorEastAsia"/>
          <w:lang w:eastAsia="zh-CN"/>
        </w:rPr>
        <w:t xml:space="preserve">7.76 (d, </w:t>
      </w:r>
      <w:r>
        <w:rPr>
          <w:rFonts w:ascii="Palatino Linotype" w:hAnsi="Palatino Linotype" w:eastAsiaTheme="minorEastAsia"/>
          <w:i/>
          <w:lang w:eastAsia="zh-CN"/>
        </w:rPr>
        <w:t>J</w:t>
      </w:r>
      <w:r>
        <w:rPr>
          <w:rFonts w:ascii="Palatino Linotype" w:hAnsi="Palatino Linotype" w:eastAsiaTheme="minorEastAsia"/>
          <w:lang w:eastAsia="zh-CN"/>
        </w:rPr>
        <w:t xml:space="preserve"> = 8.4 Hz, 1H), 7.56 (s, 1H), 7.44 (m, 3H), 7.40 (dd, </w:t>
      </w:r>
      <w:r>
        <w:rPr>
          <w:rFonts w:ascii="Palatino Linotype" w:hAnsi="Palatino Linotype" w:eastAsiaTheme="minorEastAsia"/>
          <w:i/>
          <w:lang w:eastAsia="zh-CN"/>
        </w:rPr>
        <w:t>J</w:t>
      </w:r>
      <w:r>
        <w:rPr>
          <w:rFonts w:ascii="Palatino Linotype" w:hAnsi="Palatino Linotype" w:eastAsiaTheme="minorEastAsia"/>
          <w:lang w:eastAsia="zh-CN"/>
        </w:rPr>
        <w:t xml:space="preserve"> = 8.0 Hz, 1.6 Hz, 1H), 7.25 (m, 4H), 7.07 (m, 6H), 7.00 (d, </w:t>
      </w:r>
      <w:r>
        <w:rPr>
          <w:rFonts w:ascii="Palatino Linotype" w:hAnsi="Palatino Linotype" w:eastAsiaTheme="minorEastAsia"/>
          <w:i/>
          <w:lang w:eastAsia="zh-CN"/>
        </w:rPr>
        <w:t>J</w:t>
      </w:r>
      <w:r>
        <w:rPr>
          <w:rFonts w:ascii="Palatino Linotype" w:hAnsi="Palatino Linotype" w:eastAsiaTheme="minorEastAsia"/>
          <w:lang w:eastAsia="zh-CN"/>
        </w:rPr>
        <w:t xml:space="preserve"> = 8.8 Hz, 2H), 3.90 (s, 2H)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Palatino Linotype" w:hAnsi="Palatino Linotype" w:eastAsiaTheme="minorEastAsia"/>
          <w:color w:val="000000" w:themeColor="text1"/>
          <w:vertAlign w:val="superscript"/>
          <w:lang w:eastAsia="zh-CN"/>
          <w14:textFill>
            <w14:solidFill>
              <w14:schemeClr w14:val="tx1"/>
            </w14:solidFill>
          </w14:textFill>
        </w:rPr>
        <w:t>13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C NMR (100 MHz, CDCl</w:t>
      </w:r>
      <w:r>
        <w:rPr>
          <w:rFonts w:ascii="Palatino Linotype" w:hAnsi="Palatino Linotype" w:eastAsiaTheme="minorEastAsia"/>
          <w:color w:val="000000" w:themeColor="text1"/>
          <w:vertAlign w:val="subscript"/>
          <w:lang w:eastAsia="zh-CN"/>
          <w14:textFill>
            <w14:solidFill>
              <w14:schemeClr w14:val="tx1"/>
            </w14:solidFill>
          </w14:textFill>
        </w:rPr>
        <w:t>3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 xml:space="preserve">): </w:t>
      </w:r>
      <w:r>
        <w:rPr>
          <w:rFonts w:ascii="Palatino Linotype" w:hAnsi="Palatino Linotype" w:eastAsiaTheme="minorEastAsia"/>
          <w:i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 xml:space="preserve">δ 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 xml:space="preserve">191.8, 149.8, 148.5, 145.6, 139.3, 135.8, 133.5, 131.1, 130.3, 128.5, 127.2, 126.8, 125.2, 124.6, 124.3, 123.3, 120.2, 31.3. </w:t>
      </w:r>
      <w:r>
        <w:rPr>
          <w:rFonts w:ascii="Palatino Linotype" w:hAnsi="Palatino Linotype" w:eastAsiaTheme="minorEastAsia"/>
          <w:lang w:eastAsia="zh-CN"/>
        </w:rPr>
        <w:t>MS m/z: 422.13</w:t>
      </w:r>
      <w:r>
        <w:rPr>
          <w:rFonts w:ascii="Palatino Linotype" w:hAnsi="Palatino Linotype" w:eastAsiaTheme="minorEastAsia"/>
          <w:color w:val="FF0000"/>
          <w:lang w:eastAsia="zh-CN"/>
        </w:rPr>
        <w:t xml:space="preserve"> 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[M]</w:t>
      </w:r>
      <w:r>
        <w:rPr>
          <w:rFonts w:ascii="Palatino Linotype" w:hAnsi="Palatino Linotype" w:eastAsiaTheme="minorEastAsia"/>
          <w:color w:val="000000" w:themeColor="text1"/>
          <w:vertAlign w:val="superscript"/>
          <w:lang w:eastAsia="zh-CN"/>
          <w14:textFill>
            <w14:solidFill>
              <w14:schemeClr w14:val="tx1"/>
            </w14:solidFill>
          </w14:textFill>
        </w:rPr>
        <w:t>+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 xml:space="preserve"> (calcd: 421.92</w:t>
      </w:r>
      <w:r>
        <w:rPr>
          <w:rFonts w:ascii="Palatino Linotype" w:hAnsi="Palatino Linotype" w:eastAsiaTheme="minorEastAsia"/>
          <w:lang w:eastAsia="zh-CN"/>
        </w:rPr>
        <w:t>).</w:t>
      </w:r>
      <w:r>
        <w:rPr>
          <w:rFonts w:ascii="Palatino Linotype" w:hAnsi="Palatino Linotype" w:eastAsiaTheme="minorEastAsia"/>
          <w:color w:val="FF0000"/>
          <w:lang w:eastAsia="zh-CN"/>
        </w:rPr>
        <w:t xml:space="preserve"> 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Anal. Calcd (%) for C</w:t>
      </w:r>
      <w:r>
        <w:rPr>
          <w:rFonts w:ascii="Palatino Linotype" w:hAnsi="Palatino Linotype" w:eastAsiaTheme="minorEastAsia"/>
          <w:color w:val="000000" w:themeColor="text1"/>
          <w:vertAlign w:val="subscript"/>
          <w:lang w:eastAsia="zh-CN"/>
          <w14:textFill>
            <w14:solidFill>
              <w14:schemeClr w14:val="tx1"/>
            </w14:solidFill>
          </w14:textFill>
        </w:rPr>
        <w:t>28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H</w:t>
      </w:r>
      <w:r>
        <w:rPr>
          <w:rFonts w:ascii="Palatino Linotype" w:hAnsi="Palatino Linotype" w:eastAsiaTheme="minorEastAsia"/>
          <w:color w:val="000000" w:themeColor="text1"/>
          <w:vertAlign w:val="subscript"/>
          <w:lang w:eastAsia="zh-CN"/>
          <w14:textFill>
            <w14:solidFill>
              <w14:schemeClr w14:val="tx1"/>
            </w14:solidFill>
          </w14:textFill>
        </w:rPr>
        <w:t>20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ClNO: C, 79.71; H, 4.78; N, 3.32. Found: C, 78.05; H, 4.65; N, 3.27.</w:t>
      </w:r>
    </w:p>
    <w:p>
      <w:pPr>
        <w:pStyle w:val="15"/>
        <w:spacing w:line="360" w:lineRule="auto"/>
        <w:jc w:val="both"/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Palatino Linotype" w:hAnsi="Palatino Linotype" w:eastAsiaTheme="minorEastAsia"/>
          <w:b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 xml:space="preserve">Single-crystal X-ray Diffraction: </w:t>
      </w: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 xml:space="preserve">Single-crystal X-ray diffraction data were collected on a Rigaku RAXIS-PRID diffractometer in ω-scan mode using graphite-monochromated Mo-Kα radiation. Structures were solved with direct methods using the SHELXTL program and refined with full-matrix least squares on </w:t>
      </w:r>
      <w:r>
        <w:rPr>
          <w:rFonts w:ascii="Palatino Linotype" w:hAnsi="Palatino Linotype" w:eastAsiaTheme="minorEastAsia"/>
          <w:i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>F</w:t>
      </w:r>
      <w:r>
        <w:rPr>
          <w:rFonts w:ascii="Palatino Linotype" w:hAnsi="Palatino Linotype" w:eastAsiaTheme="minorEastAsia"/>
          <w:color w:val="000000" w:themeColor="text1"/>
          <w:vertAlign w:val="superscript"/>
          <w:lang w:val="de-DE" w:eastAsia="zh-CN"/>
          <w14:textFill>
            <w14:solidFill>
              <w14:schemeClr w14:val="tx1"/>
            </w14:solidFill>
          </w14:textFill>
        </w:rPr>
        <w:t>2</w:t>
      </w: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>. Non-hydrogen atoms were refined anisotropically, while the positions of hydrogen atoms were calculated and refined isotropically.</w:t>
      </w:r>
    </w:p>
    <w:p>
      <w:pPr>
        <w:pStyle w:val="15"/>
        <w:spacing w:line="360" w:lineRule="auto"/>
        <w:jc w:val="both"/>
        <w:rPr>
          <w:rFonts w:ascii="Palatino Linotype" w:hAnsi="Palatino Linotype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Palatino Linotype" w:hAnsi="Palatino Linotype"/>
          <w:color w:val="000000" w:themeColor="text1"/>
          <w14:textFill>
            <w14:solidFill>
              <w14:schemeClr w14:val="tx1"/>
            </w14:solidFill>
          </w14:textFill>
        </w:rPr>
        <w:t xml:space="preserve">[CCDC </w:t>
      </w:r>
      <w:r>
        <w:rPr>
          <w:rFonts w:ascii="Palatino Linotype" w:hAnsi="Palatino Linotype" w:eastAsia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1975830</w:t>
      </w:r>
      <w:r>
        <w:rPr>
          <w:rFonts w:ascii="Palatino Linotype" w:hAnsi="Palatino Linotype" w:eastAsia="宋体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 xml:space="preserve"> for </w:t>
      </w:r>
      <w:r>
        <w:rPr>
          <w:rFonts w:ascii="Palatino Linotype" w:hAnsi="Palatino Linotype" w:eastAsia="宋体"/>
          <w:b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>1</w:t>
      </w:r>
      <w:r>
        <w:rPr>
          <w:rFonts w:ascii="Palatino Linotype" w:hAnsi="Palatino Linotype" w:eastAsia="宋体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 xml:space="preserve"> and </w:t>
      </w:r>
      <w:r>
        <w:rPr>
          <w:rFonts w:ascii="Palatino Linotype" w:hAnsi="Palatino Linotype" w:eastAsia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1975831</w:t>
      </w:r>
      <w:r>
        <w:rPr>
          <w:rFonts w:ascii="Palatino Linotype" w:hAnsi="Palatino Linotype" w:eastAsia="宋体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 xml:space="preserve"> for </w:t>
      </w:r>
      <w:r>
        <w:rPr>
          <w:rFonts w:ascii="Palatino Linotype" w:hAnsi="Palatino Linotype"/>
          <w:b/>
        </w:rPr>
        <w:t>1</w:t>
      </w:r>
      <w:r>
        <w:rPr>
          <w:rFonts w:ascii="Palatino Linotype" w:hAnsi="Palatino Linotype" w:eastAsia="宋体"/>
          <w:b/>
          <w:lang w:eastAsia="zh-CN"/>
        </w:rPr>
        <w:t>•</w:t>
      </w:r>
      <w:r>
        <w:rPr>
          <w:rFonts w:ascii="Palatino Linotype" w:hAnsi="Palatino Linotype" w:eastAsiaTheme="minorEastAsia"/>
          <w:b/>
          <w:lang w:eastAsia="zh-CN"/>
        </w:rPr>
        <w:t>2CHCl</w:t>
      </w:r>
      <w:r>
        <w:rPr>
          <w:rFonts w:ascii="Palatino Linotype" w:hAnsi="Palatino Linotype" w:eastAsiaTheme="minorEastAsia"/>
          <w:b/>
          <w:vertAlign w:val="subscript"/>
          <w:lang w:eastAsia="zh-CN"/>
        </w:rPr>
        <w:t>3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Palatino Linotype" w:hAnsi="Palatino Linotype"/>
          <w:color w:val="000000" w:themeColor="text1"/>
          <w14:textFill>
            <w14:solidFill>
              <w14:schemeClr w14:val="tx1"/>
            </w14:solidFill>
          </w14:textFill>
        </w:rPr>
        <w:t xml:space="preserve">contain the supplementary crystallographic data for this paper. These data can be obtained free of charge from The Cambridge Crystallographic Data Centre via www.ccdc.cam.ac.uk/data_request/cif.] </w:t>
      </w:r>
    </w:p>
    <w:p>
      <w:pPr>
        <w:pStyle w:val="15"/>
        <w:spacing w:line="360" w:lineRule="auto"/>
        <w:jc w:val="both"/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</w:pPr>
      <w:r>
        <w:rPr>
          <w:rFonts w:ascii="Palatino Linotype" w:hAnsi="Palatino Linotype"/>
          <w:b/>
        </w:rPr>
        <w:t>Computational Details</w:t>
      </w:r>
      <w:r>
        <w:rPr>
          <w:rFonts w:ascii="Palatino Linotype" w:hAnsi="Palatino Linotype" w:eastAsiaTheme="minorEastAsia"/>
          <w:b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 xml:space="preserve">: </w:t>
      </w: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>All the geometries came from the single crystal data, and the calculations were performed by ORCA 4.1.0</w:t>
      </w:r>
      <w:r>
        <w:rPr>
          <w:rFonts w:ascii="Palatino Linotype" w:hAnsi="Palatino Linotype" w:eastAsiaTheme="minorEastAsia"/>
          <w:color w:val="000000" w:themeColor="text1"/>
          <w:vertAlign w:val="superscript"/>
          <w:lang w:val="de-DE" w:eastAsia="zh-CN"/>
          <w14:textFill>
            <w14:solidFill>
              <w14:schemeClr w14:val="tx1"/>
            </w14:solidFill>
          </w14:textFill>
        </w:rPr>
        <w:t>[1,2]</w:t>
      </w: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 xml:space="preserve"> at RI-B3LYP/def2-TZVP level of theory with fine integration grid for both B3LYP and RICOSX, containing the atom-pairwise dispersion correction with the Becke-Johnson damping scheme (D3BJ)</w:t>
      </w:r>
      <w:r>
        <w:rPr>
          <w:rFonts w:ascii="Palatino Linotype" w:hAnsi="Palatino Linotype" w:eastAsiaTheme="minorEastAsia"/>
          <w:color w:val="000000" w:themeColor="text1"/>
          <w:vertAlign w:val="superscript"/>
          <w:lang w:val="de-DE" w:eastAsia="zh-CN"/>
          <w14:textFill>
            <w14:solidFill>
              <w14:schemeClr w14:val="tx1"/>
            </w14:solidFill>
          </w14:textFill>
        </w:rPr>
        <w:t>[3]</w:t>
      </w: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>. The Multiwfn 3.6 package</w:t>
      </w:r>
      <w:r>
        <w:rPr>
          <w:rFonts w:ascii="Palatino Linotype" w:hAnsi="Palatino Linotype" w:eastAsiaTheme="minorEastAsia"/>
          <w:color w:val="000000" w:themeColor="text1"/>
          <w:vertAlign w:val="superscript"/>
          <w:lang w:val="de-DE" w:eastAsia="zh-CN"/>
          <w14:textFill>
            <w14:solidFill>
              <w14:schemeClr w14:val="tx1"/>
            </w14:solidFill>
          </w14:textFill>
        </w:rPr>
        <w:t>[4]</w:t>
      </w: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 xml:space="preserve"> was utilized to extract the cube file of the value of orbital wavefunction and reduced density gradient (RDG)</w:t>
      </w:r>
      <w:r>
        <w:rPr>
          <w:rFonts w:ascii="Palatino Linotype" w:hAnsi="Palatino Linotype" w:eastAsiaTheme="minorEastAsia"/>
          <w:color w:val="000000" w:themeColor="text1"/>
          <w:vertAlign w:val="superscript"/>
          <w:lang w:val="de-DE" w:eastAsia="zh-CN"/>
          <w14:textFill>
            <w14:solidFill>
              <w14:schemeClr w14:val="tx1"/>
            </w14:solidFill>
          </w14:textFill>
        </w:rPr>
        <w:t>[5]</w:t>
      </w: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 xml:space="preserve"> by using the molden file generated from the ORCA calculation. The cube files were regarded as the input file for VMD 1.9.3</w:t>
      </w:r>
      <w:r>
        <w:rPr>
          <w:rFonts w:ascii="Palatino Linotype" w:hAnsi="Palatino Linotype" w:eastAsiaTheme="minorEastAsia"/>
          <w:color w:val="000000" w:themeColor="text1"/>
          <w:vertAlign w:val="superscript"/>
          <w:lang w:val="de-DE" w:eastAsia="zh-CN"/>
          <w14:textFill>
            <w14:solidFill>
              <w14:schemeClr w14:val="tx1"/>
            </w14:solidFill>
          </w14:textFill>
        </w:rPr>
        <w:t>[6]</w:t>
      </w: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>, which was used to visualize the graphs of HOMO and LUMO as well as the RDG at the isosurface at 0.01 and 0.50, respectively.</w:t>
      </w:r>
    </w:p>
    <w:p>
      <w:pPr>
        <w:pStyle w:val="15"/>
        <w:spacing w:line="360" w:lineRule="auto"/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</w:pPr>
    </w:p>
    <w:p>
      <w:pPr>
        <w:pStyle w:val="17"/>
        <w:jc w:val="both"/>
        <w:rPr>
          <w:rFonts w:ascii="Palatino Linotype" w:hAnsi="Palatino Linotype"/>
          <w:b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Palatino Linotype" w:hAnsi="Palatino Linotype" w:eastAsiaTheme="minorEastAsia"/>
          <w:b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R</w:t>
      </w:r>
      <w:r>
        <w:rPr>
          <w:rFonts w:ascii="Palatino Linotype" w:hAnsi="Palatino Linotype"/>
          <w:b/>
          <w:color w:val="000000" w:themeColor="text1"/>
          <w14:textFill>
            <w14:solidFill>
              <w14:schemeClr w14:val="tx1"/>
            </w14:solidFill>
          </w14:textFill>
        </w:rPr>
        <w:t>eferences</w:t>
      </w:r>
    </w:p>
    <w:p>
      <w:pPr>
        <w:pStyle w:val="15"/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[1] Neese, F. The ORCA program system" Wiley Interdisciplinary Reviews: Computational Molecular Science,2012, Vol. 2, Issue 1, Pages 73-78.</w:t>
      </w:r>
    </w:p>
    <w:p>
      <w:pPr>
        <w:pStyle w:val="15"/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[2] Neese, F. Software update: the ORCA program system, version 4.0" Wiley Interdisciplinary Reviews:Computational Molecular Science, 2017, Vol. 8, Issue 1, p. e1327.</w:t>
      </w:r>
    </w:p>
    <w:p>
      <w:pPr>
        <w:pStyle w:val="15"/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 xml:space="preserve">[3] S. Grimme, S. Ehrlich, and L. Goerigk. 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 xml:space="preserve">“Effect of the damping function in dispersion corrected density functional theory”. In: </w:t>
      </w:r>
      <w:r>
        <w:rPr>
          <w:rFonts w:ascii="Palatino Linotype" w:hAnsi="Palatino Linotype" w:eastAsiaTheme="minorEastAsia"/>
          <w:i/>
          <w:iCs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 xml:space="preserve">J. Comp. Chem. 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32 (2011), pages 1456–65 (cited on pages 100, 102, 227).</w:t>
      </w:r>
    </w:p>
    <w:p>
      <w:pPr>
        <w:pStyle w:val="15"/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 xml:space="preserve">[4] T. Lu, F. Chen, </w:t>
      </w:r>
      <w:r>
        <w:rPr>
          <w:rFonts w:ascii="Palatino Linotype" w:hAnsi="Palatino Linotype" w:eastAsiaTheme="minorEastAsia"/>
          <w:i/>
          <w:iCs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 xml:space="preserve">Journal of computational chemistry </w:t>
      </w:r>
      <w:r>
        <w:rPr>
          <w:rFonts w:ascii="Palatino Linotype" w:hAnsi="Palatino Linotype" w:eastAsiaTheme="minorEastAsia"/>
          <w:b/>
          <w:bCs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2012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 xml:space="preserve">, </w:t>
      </w:r>
      <w:r>
        <w:rPr>
          <w:rFonts w:ascii="Palatino Linotype" w:hAnsi="Palatino Linotype" w:eastAsiaTheme="minorEastAsia"/>
          <w:i/>
          <w:iCs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33</w:t>
      </w: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, 580.</w:t>
      </w:r>
    </w:p>
    <w:p>
      <w:pPr>
        <w:pStyle w:val="15"/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Palatino Linotype" w:hAnsi="Palatino Linotype" w:eastAsiaTheme="minorEastAsia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[5] Johnson, E. R.; Keinan, S.; Mori-Sanchez, P.; Contreras-Garcia, J.; Cohen, A. J.; Yang, W. Revealing noncovalent interactions. J. Am. Chem. Soc. 2010, 132, 6498−6506.</w:t>
      </w:r>
    </w:p>
    <w:p>
      <w:pPr>
        <w:pStyle w:val="15"/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</w:pP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 xml:space="preserve">[6] W. Humphrey, A. Dalke, K. Schulten, </w:t>
      </w:r>
      <w:r>
        <w:rPr>
          <w:rFonts w:ascii="Palatino Linotype" w:hAnsi="Palatino Linotype" w:eastAsiaTheme="minorEastAsia"/>
          <w:i/>
          <w:iCs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 xml:space="preserve">Journal of molecular graphics </w:t>
      </w:r>
      <w:r>
        <w:rPr>
          <w:rFonts w:ascii="Palatino Linotype" w:hAnsi="Palatino Linotype" w:eastAsiaTheme="minorEastAsia"/>
          <w:b/>
          <w:bCs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>1996</w:t>
      </w: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 xml:space="preserve">, </w:t>
      </w:r>
      <w:r>
        <w:rPr>
          <w:rFonts w:ascii="Palatino Linotype" w:hAnsi="Palatino Linotype" w:eastAsiaTheme="minorEastAsia"/>
          <w:i/>
          <w:iCs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>14</w:t>
      </w:r>
      <w:r>
        <w:rPr>
          <w:rFonts w:ascii="Palatino Linotype" w:hAnsi="Palatino Linotype" w:eastAsiaTheme="minorEastAsia"/>
          <w:color w:val="000000" w:themeColor="text1"/>
          <w:lang w:val="de-DE" w:eastAsia="zh-CN"/>
          <w14:textFill>
            <w14:solidFill>
              <w14:schemeClr w14:val="tx1"/>
            </w14:solidFill>
          </w14:textFill>
        </w:rPr>
        <w:t>, 33.</w:t>
      </w:r>
    </w:p>
    <w:p>
      <w:pPr>
        <w:jc w:val="center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object>
          <v:shape id="_x0000_i1025" o:spt="75" type="#_x0000_t75" style="height:279.45pt;width:364.25pt;" o:ole="t" filled="f" o:preferrelative="t" stroked="f" coordsize="21600,21600">
            <v:path/>
            <v:fill on="f" focussize="0,0"/>
            <v:stroke on="f" joinstyle="miter"/>
            <v:imagedata r:id="rId8" cropright="17261f" cropbottom="12151f" o:title=""/>
            <o:lock v:ext="edit" aspectratio="t"/>
            <w10:wrap type="none"/>
            <w10:anchorlock/>
          </v:shape>
          <o:OLEObject Type="Embed" ProgID="Origin50.Graph" ShapeID="_x0000_i1025" DrawAspect="Content" ObjectID="_1468075725" r:id="rId7">
            <o:LockedField>false</o:LockedField>
          </o:OLEObject>
        </w:object>
      </w:r>
    </w:p>
    <w:p>
      <w:pPr>
        <w:jc w:val="center"/>
        <w:rPr>
          <w:rFonts w:ascii="Palatino Linotype" w:hAnsi="Palatino Linotype" w:cs="Times New Roman"/>
        </w:rPr>
      </w:pPr>
      <w:bookmarkStart w:id="3" w:name="_Hlk71305708"/>
      <w:r>
        <w:rPr>
          <w:rFonts w:ascii="Palatino Linotype" w:hAnsi="Palatino Linotype" w:cs="Times New Roman"/>
        </w:rPr>
        <w:t xml:space="preserve">Figure S1. </w:t>
      </w:r>
      <w:r>
        <w:rPr>
          <w:rFonts w:ascii="Palatino Linotype" w:hAnsi="Palatino Linotype" w:cs="Times New Roman"/>
          <w:lang w:val="en-GB"/>
        </w:rPr>
        <w:t xml:space="preserve">Transient PL decay curve of compound </w:t>
      </w:r>
      <w:r>
        <w:rPr>
          <w:rFonts w:ascii="Palatino Linotype" w:hAnsi="Palatino Linotype" w:cs="Times New Roman"/>
          <w:b/>
          <w:lang w:val="en-GB"/>
        </w:rPr>
        <w:t>1</w:t>
      </w:r>
      <w:r>
        <w:rPr>
          <w:rFonts w:ascii="Palatino Linotype" w:hAnsi="Palatino Linotype" w:cs="Times New Roman"/>
          <w:lang w:val="en-GB"/>
        </w:rPr>
        <w:t xml:space="preserve"> </w:t>
      </w:r>
      <w:r>
        <w:rPr>
          <w:rFonts w:ascii="Palatino Linotype" w:hAnsi="Palatino Linotype" w:cs="Times New Roman"/>
        </w:rPr>
        <w:t xml:space="preserve">in crystal phase </w:t>
      </w:r>
      <w:r>
        <w:rPr>
          <w:rFonts w:ascii="Palatino Linotype" w:hAnsi="Palatino Linotype" w:cs="Times New Roman"/>
          <w:b/>
        </w:rPr>
        <w:t>1</w:t>
      </w:r>
      <w:r>
        <w:rPr>
          <w:rFonts w:ascii="Palatino Linotype" w:hAnsi="Palatino Linotype" w:cs="Times New Roman"/>
        </w:rPr>
        <w:t xml:space="preserve"> state.</w:t>
      </w:r>
    </w:p>
    <w:bookmarkEnd w:id="3"/>
    <w:p>
      <w:pPr>
        <w:widowControl/>
        <w:jc w:val="left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br w:type="page"/>
      </w:r>
    </w:p>
    <w:p>
      <w:pPr>
        <w:widowControl/>
        <w:jc w:val="center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drawing>
          <wp:inline distT="0" distB="0" distL="0" distR="0">
            <wp:extent cx="3599815" cy="855980"/>
            <wp:effectExtent l="0" t="0" r="635" b="127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856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Palatino Linotype" w:hAnsi="Palatino Linotype" w:cs="Times New Roman"/>
        </w:rPr>
      </w:pPr>
      <w:bookmarkStart w:id="4" w:name="_Hlk71305734"/>
      <w:r>
        <w:rPr>
          <w:rFonts w:ascii="Palatino Linotype" w:hAnsi="Palatino Linotype" w:cs="Times New Roman"/>
        </w:rPr>
        <w:t>Figure S2.</w:t>
      </w:r>
      <w:r>
        <w:rPr>
          <w:rFonts w:ascii="Palatino Linotype" w:hAnsi="Palatino Linotype" w:cs="Times New Roman"/>
          <w:lang w:val="de-DE"/>
        </w:rPr>
        <w:t xml:space="preserve"> The change of the </w:t>
      </w:r>
      <w:r>
        <w:rPr>
          <w:rFonts w:ascii="Palatino Linotype" w:hAnsi="Palatino Linotype" w:cs="Times New Roman"/>
        </w:rPr>
        <w:t>desolvated</w:t>
      </w:r>
      <w:r>
        <w:rPr>
          <w:rFonts w:ascii="Palatino Linotype" w:hAnsi="Palatino Linotype" w:cs="Times New Roman"/>
          <w:lang w:val="de-DE"/>
        </w:rPr>
        <w:t xml:space="preserve"> yellow block (</w:t>
      </w:r>
      <w:r>
        <w:rPr>
          <w:rFonts w:ascii="Palatino Linotype" w:hAnsi="Palatino Linotype" w:cs="Times New Roman"/>
          <w:b/>
          <w:lang w:val="de-DE"/>
        </w:rPr>
        <w:t>1•2CHCl</w:t>
      </w:r>
      <w:r>
        <w:rPr>
          <w:rFonts w:ascii="Palatino Linotype" w:hAnsi="Palatino Linotype" w:cs="Times New Roman"/>
          <w:b/>
          <w:vertAlign w:val="subscript"/>
          <w:lang w:val="de-DE"/>
        </w:rPr>
        <w:t>3</w:t>
      </w:r>
      <w:r>
        <w:rPr>
          <w:rFonts w:ascii="Palatino Linotype" w:hAnsi="Palatino Linotype" w:cs="Times New Roman"/>
          <w:lang w:val="de-DE"/>
        </w:rPr>
        <w:t xml:space="preserve"> when losed CHCl</w:t>
      </w:r>
      <w:r>
        <w:rPr>
          <w:rFonts w:ascii="Palatino Linotype" w:hAnsi="Palatino Linotype" w:cs="Times New Roman"/>
          <w:vertAlign w:val="subscript"/>
          <w:lang w:val="de-DE"/>
        </w:rPr>
        <w:t>3</w:t>
      </w:r>
      <w:r>
        <w:rPr>
          <w:rFonts w:ascii="Palatino Linotype" w:hAnsi="Palatino Linotype" w:cs="Times New Roman"/>
          <w:lang w:val="de-DE"/>
        </w:rPr>
        <w:t>) when fuming with CHCl</w:t>
      </w:r>
      <w:r>
        <w:rPr>
          <w:rFonts w:ascii="Palatino Linotype" w:hAnsi="Palatino Linotype" w:cs="Times New Roman"/>
          <w:vertAlign w:val="subscript"/>
          <w:lang w:val="de-DE"/>
        </w:rPr>
        <w:t>3</w:t>
      </w:r>
      <w:r>
        <w:rPr>
          <w:rFonts w:ascii="Palatino Linotype" w:hAnsi="Palatino Linotype" w:cs="Times New Roman"/>
        </w:rPr>
        <w:t>.</w:t>
      </w:r>
    </w:p>
    <w:bookmarkEnd w:id="4"/>
    <w:p>
      <w:pPr>
        <w:widowControl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widowControl/>
        <w:jc w:val="left"/>
        <w:rPr>
          <w:rFonts w:ascii="Palatino Linotype" w:hAnsi="Palatino Linotype" w:cs="Times New Roman"/>
        </w:rPr>
      </w:pPr>
    </w:p>
    <w:p>
      <w:pPr>
        <w:rPr>
          <w:rFonts w:ascii="Palatino Linotype" w:hAnsi="Palatino Linotype" w:cs="Times New Roman"/>
        </w:rPr>
      </w:pPr>
      <w:r>
        <w:rPr>
          <w:rFonts w:ascii="Palatino Linotype" w:hAnsi="Palatino Linotype"/>
        </w:rPr>
        <w:object>
          <v:shape id="_x0000_i1026" o:spt="75" type="#_x0000_t75" style="height:260.25pt;width:417.6pt;" o:ole="t" filled="f" o:preferrelative="t" stroked="f" coordsize="21600,21600">
            <v:path/>
            <v:fill on="f" focussize="0,0"/>
            <v:stroke on="f" joinstyle="miter"/>
            <v:imagedata r:id="rId11" cropleft="830f" cropright="21332f" o:title=""/>
            <o:lock v:ext="edit" aspectratio="t"/>
            <w10:wrap type="none"/>
            <w10:anchorlock/>
          </v:shape>
          <o:OLEObject Type="Embed" ProgID="Origin50.Graph" ShapeID="_x0000_i1026" DrawAspect="Content" ObjectID="_1468075726" r:id="rId10">
            <o:LockedField>false</o:LockedField>
          </o:OLEObject>
        </w:object>
      </w:r>
    </w:p>
    <w:p>
      <w:pPr>
        <w:jc w:val="center"/>
        <w:rPr>
          <w:rFonts w:ascii="Palatino Linotype" w:hAnsi="Palatino Linotype" w:cs="Times New Roman"/>
        </w:rPr>
      </w:pPr>
      <w:bookmarkStart w:id="5" w:name="_Hlk71305797"/>
      <w:r>
        <w:rPr>
          <w:rFonts w:ascii="Palatino Linotype" w:hAnsi="Palatino Linotype" w:cs="Times New Roman"/>
        </w:rPr>
        <w:t xml:space="preserve">Figure S3. </w:t>
      </w:r>
      <w:r>
        <w:rPr>
          <w:rFonts w:ascii="Palatino Linotype" w:hAnsi="Palatino Linotype" w:cs="Times New Roman"/>
          <w:vertAlign w:val="superscript"/>
        </w:rPr>
        <w:t>1</w:t>
      </w:r>
      <w:r>
        <w:rPr>
          <w:rFonts w:ascii="Palatino Linotype" w:hAnsi="Palatino Linotype" w:cs="Times New Roman"/>
          <w:lang w:val="en-GB"/>
        </w:rPr>
        <w:t>H-NMR spectra (400 MHz, CD</w:t>
      </w:r>
      <w:r>
        <w:rPr>
          <w:rFonts w:ascii="Palatino Linotype" w:hAnsi="Palatino Linotype" w:cs="Times New Roman"/>
          <w:vertAlign w:val="subscript"/>
          <w:lang w:val="en-GB"/>
        </w:rPr>
        <w:t>2</w:t>
      </w:r>
      <w:r>
        <w:rPr>
          <w:rFonts w:ascii="Palatino Linotype" w:hAnsi="Palatino Linotype" w:cs="Times New Roman"/>
          <w:lang w:val="en-GB"/>
        </w:rPr>
        <w:t>Cl</w:t>
      </w:r>
      <w:r>
        <w:rPr>
          <w:rFonts w:ascii="Palatino Linotype" w:hAnsi="Palatino Linotype" w:cs="Times New Roman"/>
          <w:vertAlign w:val="subscript"/>
          <w:lang w:val="en-GB"/>
        </w:rPr>
        <w:t>2</w:t>
      </w:r>
      <w:r>
        <w:rPr>
          <w:rFonts w:ascii="Palatino Linotype" w:hAnsi="Palatino Linotype" w:cs="Times New Roman"/>
          <w:lang w:val="en-GB"/>
        </w:rPr>
        <w:t xml:space="preserve">) of crystal </w:t>
      </w:r>
      <w:r>
        <w:rPr>
          <w:rFonts w:ascii="Palatino Linotype" w:hAnsi="Palatino Linotype" w:cs="Times New Roman"/>
          <w:b/>
          <w:lang w:val="en-GB"/>
        </w:rPr>
        <w:t>1</w:t>
      </w:r>
      <w:r>
        <w:rPr>
          <w:rFonts w:ascii="Palatino Linotype" w:hAnsi="Palatino Linotype" w:cs="Times New Roman"/>
          <w:lang w:val="en-GB"/>
        </w:rPr>
        <w:t xml:space="preserve"> </w:t>
      </w:r>
      <w:r>
        <w:rPr>
          <w:rFonts w:ascii="Palatino Linotype" w:hAnsi="Palatino Linotype" w:cs="Times New Roman"/>
        </w:rPr>
        <w:t>after UV irridiation (the red curve) and the untreated sample (the black curve).</w:t>
      </w:r>
    </w:p>
    <w:bookmarkEnd w:id="5"/>
    <w:p>
      <w:pPr>
        <w:widowControl/>
        <w:jc w:val="center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br w:type="page"/>
      </w:r>
      <w:r>
        <w:rPr>
          <w:rFonts w:ascii="Palatino Linotype" w:hAnsi="Palatino Linotype" w:cs="Times New Roman"/>
        </w:rPr>
        <w:drawing>
          <wp:inline distT="0" distB="0" distL="0" distR="0">
            <wp:extent cx="3599815" cy="2440305"/>
            <wp:effectExtent l="0" t="0" r="63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4408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Palatino Linotype" w:hAnsi="Palatino Linotype" w:cs="Times New Roman"/>
        </w:rPr>
      </w:pPr>
      <w:bookmarkStart w:id="6" w:name="_Hlk71305834"/>
      <w:r>
        <w:rPr>
          <w:rFonts w:ascii="Palatino Linotype" w:hAnsi="Palatino Linotype" w:cs="Times New Roman"/>
        </w:rPr>
        <w:t xml:space="preserve">Figure S4. </w:t>
      </w:r>
      <w:r>
        <w:rPr>
          <w:rFonts w:ascii="Palatino Linotype" w:hAnsi="Palatino Linotype" w:cs="Times New Roman"/>
          <w:lang w:val="en-GB"/>
        </w:rPr>
        <w:t xml:space="preserve">Unit cells of crystal </w:t>
      </w:r>
      <w:r>
        <w:rPr>
          <w:rFonts w:ascii="Palatino Linotype" w:hAnsi="Palatino Linotype" w:cs="Times New Roman"/>
          <w:b/>
          <w:lang w:val="en-GB"/>
        </w:rPr>
        <w:t>1</w:t>
      </w:r>
      <w:r>
        <w:rPr>
          <w:rFonts w:ascii="Palatino Linotype" w:hAnsi="Palatino Linotype" w:cs="Times New Roman"/>
          <w:lang w:val="en-GB"/>
        </w:rPr>
        <w:t xml:space="preserve"> and </w:t>
      </w:r>
      <w:r>
        <w:rPr>
          <w:rFonts w:ascii="Palatino Linotype" w:hAnsi="Palatino Linotype" w:cs="Times New Roman"/>
          <w:b/>
          <w:lang w:val="de-DE"/>
        </w:rPr>
        <w:t>1•2CHCl</w:t>
      </w:r>
      <w:r>
        <w:rPr>
          <w:rFonts w:ascii="Palatino Linotype" w:hAnsi="Palatino Linotype" w:cs="Times New Roman"/>
          <w:b/>
          <w:vertAlign w:val="subscript"/>
          <w:lang w:val="de-DE"/>
        </w:rPr>
        <w:t>3</w:t>
      </w:r>
      <w:r>
        <w:rPr>
          <w:rFonts w:ascii="Palatino Linotype" w:hAnsi="Palatino Linotype" w:cs="Times New Roman"/>
        </w:rPr>
        <w:t>.</w:t>
      </w:r>
    </w:p>
    <w:bookmarkEnd w:id="6"/>
    <w:p>
      <w:pPr>
        <w:widowControl/>
        <w:jc w:val="left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br w:type="page"/>
      </w:r>
    </w:p>
    <w:p>
      <w:pPr>
        <w:jc w:val="center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drawing>
          <wp:inline distT="0" distB="0" distL="0" distR="0">
            <wp:extent cx="4906010" cy="4204335"/>
            <wp:effectExtent l="0" t="0" r="8890" b="5715"/>
            <wp:docPr id="307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11964" cy="4209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Palatino Linotype" w:hAnsi="Palatino Linotype" w:cs="Times New Roman"/>
        </w:rPr>
      </w:pPr>
      <w:bookmarkStart w:id="7" w:name="_Hlk71305862"/>
      <w:r>
        <w:rPr>
          <w:rFonts w:ascii="Palatino Linotype" w:hAnsi="Palatino Linotype" w:cs="Times New Roman"/>
        </w:rPr>
        <w:t xml:space="preserve">Figure S5. </w:t>
      </w:r>
      <w:r>
        <w:rPr>
          <w:rFonts w:ascii="Palatino Linotype" w:hAnsi="Palatino Linotype" w:cs="Times New Roman"/>
          <w:lang w:val="en-GB"/>
        </w:rPr>
        <w:t xml:space="preserve">Infinite halogen bond network packing structure in crystal </w:t>
      </w:r>
      <w:r>
        <w:rPr>
          <w:rFonts w:ascii="Palatino Linotype" w:hAnsi="Palatino Linotype" w:cs="Times New Roman"/>
          <w:b/>
          <w:lang w:val="de-DE"/>
        </w:rPr>
        <w:t>1•2CHCl</w:t>
      </w:r>
      <w:r>
        <w:rPr>
          <w:rFonts w:ascii="Palatino Linotype" w:hAnsi="Palatino Linotype" w:cs="Times New Roman"/>
          <w:b/>
          <w:vertAlign w:val="subscript"/>
          <w:lang w:val="de-DE"/>
        </w:rPr>
        <w:t>3</w:t>
      </w:r>
      <w:r>
        <w:rPr>
          <w:rFonts w:ascii="Palatino Linotype" w:hAnsi="Palatino Linotype" w:cs="Times New Roman"/>
        </w:rPr>
        <w:t>.</w:t>
      </w:r>
    </w:p>
    <w:bookmarkEnd w:id="7"/>
    <w:p>
      <w:pPr>
        <w:widowControl/>
        <w:jc w:val="left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br w:type="page"/>
      </w:r>
    </w:p>
    <w:p>
      <w:pPr>
        <w:jc w:val="center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drawing>
          <wp:inline distT="0" distB="0" distL="0" distR="0">
            <wp:extent cx="5268595" cy="1939925"/>
            <wp:effectExtent l="0" t="0" r="8255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992" b="189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4220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Palatino Linotype" w:hAnsi="Palatino Linotype" w:cs="Times New Roman"/>
          <w:lang w:val="de-DE"/>
        </w:rPr>
      </w:pPr>
      <w:bookmarkStart w:id="8" w:name="_Hlk71305883"/>
      <w:r>
        <w:rPr>
          <w:rFonts w:ascii="Palatino Linotype" w:hAnsi="Palatino Linotype" w:cs="Times New Roman"/>
        </w:rPr>
        <w:t>Figure S6.</w:t>
      </w:r>
      <w:r>
        <w:rPr>
          <w:rFonts w:ascii="Palatino Linotype" w:hAnsi="Palatino Linotype" w:cs="Times New Roman"/>
          <w:color w:val="000000" w:themeColor="text1"/>
          <w:kern w:val="24"/>
          <w:sz w:val="40"/>
          <w:szCs w:val="40"/>
          <w:lang w:val="de-D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Palatino Linotype" w:hAnsi="Palatino Linotype" w:cs="Times New Roman"/>
          <w:lang w:val="de-DE"/>
        </w:rPr>
        <w:t xml:space="preserve">Absorption and emission spectra of compounds </w:t>
      </w:r>
      <w:r>
        <w:rPr>
          <w:rFonts w:ascii="Palatino Linotype" w:hAnsi="Palatino Linotype" w:cs="Times New Roman"/>
          <w:b/>
          <w:bCs/>
          <w:lang w:val="de-DE"/>
        </w:rPr>
        <w:t>1</w:t>
      </w:r>
      <w:r>
        <w:rPr>
          <w:rFonts w:ascii="Palatino Linotype" w:hAnsi="Palatino Linotype" w:cs="Times New Roman"/>
          <w:lang w:val="de-DE"/>
        </w:rPr>
        <w:t xml:space="preserve"> in various solvents (THF: tetrahydrofuran; EA: ethyl acetate; DMSO: dimethylsulfoxide) with different polarity.</w:t>
      </w:r>
      <w:bookmarkEnd w:id="8"/>
    </w:p>
    <w:p>
      <w:pPr>
        <w:jc w:val="center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Table S1. </w:t>
      </w:r>
      <w:bookmarkStart w:id="9" w:name="_Hlk71305997"/>
      <w:r>
        <w:rPr>
          <w:rFonts w:ascii="Palatino Linotype" w:hAnsi="Palatino Linotype" w:cs="Times New Roman"/>
        </w:rPr>
        <w:t>The maximum absorption wavelength λ</w:t>
      </w:r>
      <w:r>
        <w:rPr>
          <w:rFonts w:ascii="Palatino Linotype" w:hAnsi="Palatino Linotype" w:cs="Times New Roman"/>
          <w:vertAlign w:val="subscript"/>
        </w:rPr>
        <w:t>abs</w:t>
      </w:r>
      <w:r>
        <w:rPr>
          <w:rFonts w:ascii="Palatino Linotype" w:hAnsi="Palatino Linotype" w:cs="Times New Roman"/>
        </w:rPr>
        <w:t xml:space="preserve"> and maximum emission wavelength λ</w:t>
      </w:r>
      <w:r>
        <w:rPr>
          <w:rFonts w:ascii="Palatino Linotype" w:hAnsi="Palatino Linotype" w:cs="Times New Roman"/>
          <w:vertAlign w:val="subscript"/>
        </w:rPr>
        <w:t>em</w:t>
      </w:r>
      <w:r>
        <w:rPr>
          <w:rFonts w:ascii="Palatino Linotype" w:hAnsi="Palatino Linotype" w:cs="Times New Roman"/>
        </w:rPr>
        <w:t xml:space="preserve"> of compound 1 in different solvents.</w:t>
      </w:r>
    </w:p>
    <w:bookmarkEnd w:id="9"/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40"/>
        <w:gridCol w:w="2841"/>
        <w:gridCol w:w="28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solvent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λ</w:t>
            </w:r>
            <w:r>
              <w:rPr>
                <w:rFonts w:ascii="Palatino Linotype" w:hAnsi="Palatino Linotype" w:cs="Times New Roman"/>
                <w:vertAlign w:val="subscript"/>
              </w:rPr>
              <w:t>abs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  <w:lang w:val="de-DE"/>
              </w:rPr>
            </w:pPr>
            <w:r>
              <w:rPr>
                <w:rFonts w:ascii="Palatino Linotype" w:hAnsi="Palatino Linotype" w:cs="Times New Roman"/>
              </w:rPr>
              <w:t>λ</w:t>
            </w:r>
            <w:r>
              <w:rPr>
                <w:rFonts w:ascii="Palatino Linotype" w:hAnsi="Palatino Linotype" w:cs="Times New Roman"/>
                <w:vertAlign w:val="subscript"/>
              </w:rPr>
              <w:t>em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toluene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428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493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CH</w:t>
            </w:r>
            <w:r>
              <w:rPr>
                <w:rFonts w:ascii="Palatino Linotype" w:hAnsi="Palatino Linotype" w:cs="Times New Roman"/>
                <w:vertAlign w:val="subscript"/>
              </w:rPr>
              <w:t>2</w:t>
            </w:r>
            <w:r>
              <w:rPr>
                <w:rFonts w:ascii="Palatino Linotype" w:hAnsi="Palatino Linotype" w:cs="Times New Roman"/>
              </w:rPr>
              <w:t>Cl</w:t>
            </w:r>
            <w:r>
              <w:rPr>
                <w:rFonts w:ascii="Palatino Linotype" w:hAnsi="Palatino Linotype" w:cs="Times New Roman"/>
                <w:vertAlign w:val="subscript"/>
              </w:rPr>
              <w:t>2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432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559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THF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424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535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EA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422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541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CHCl</w:t>
            </w:r>
            <w:r>
              <w:rPr>
                <w:rFonts w:ascii="Palatino Linotype" w:hAnsi="Palatino Linotype" w:cs="Times New Roman"/>
                <w:vertAlign w:val="subscript"/>
              </w:rPr>
              <w:t>3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436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550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CH3CN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424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564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EtOH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432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558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DMSO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430</w:t>
            </w:r>
          </w:p>
        </w:tc>
        <w:tc>
          <w:tcPr>
            <w:tcW w:w="2841" w:type="dxa"/>
          </w:tcPr>
          <w:p>
            <w:pPr>
              <w:jc w:val="center"/>
              <w:rPr>
                <w:rFonts w:ascii="Palatino Linotype" w:hAnsi="Palatino Linotype" w:cs="Times New Roman"/>
              </w:rPr>
            </w:pPr>
            <w:r>
              <w:rPr>
                <w:rFonts w:ascii="Palatino Linotype" w:hAnsi="Palatino Linotype" w:cs="Times New Roman"/>
              </w:rPr>
              <w:t>575</w:t>
            </w:r>
          </w:p>
        </w:tc>
      </w:tr>
    </w:tbl>
    <w:p>
      <w:pPr>
        <w:jc w:val="center"/>
        <w:rPr>
          <w:rFonts w:ascii="Palatino Linotype" w:hAnsi="Palatino Linotype" w:cs="Times New Roman"/>
          <w:lang w:val="de-DE"/>
        </w:rPr>
      </w:pPr>
    </w:p>
    <w:p>
      <w:pPr>
        <w:widowControl/>
        <w:jc w:val="left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br w:type="page"/>
      </w:r>
    </w:p>
    <w:p>
      <w:pPr>
        <w:jc w:val="center"/>
        <w:rPr>
          <w:rFonts w:ascii="Palatino Linotype" w:hAnsi="Palatino Linotype"/>
        </w:rPr>
      </w:pPr>
      <w:r>
        <w:rPr>
          <w:rFonts w:ascii="Palatino Linotype" w:hAnsi="Palatino Linotype"/>
        </w:rPr>
        <w:drawing>
          <wp:inline distT="0" distB="0" distL="0" distR="0">
            <wp:extent cx="5104130" cy="3315335"/>
            <wp:effectExtent l="0" t="0" r="127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2" t="3018" r="1149" b="13078"/>
                    <a:stretch>
                      <a:fillRect/>
                    </a:stretch>
                  </pic:blipFill>
                  <pic:spPr>
                    <a:xfrm>
                      <a:off x="0" y="0"/>
                      <a:ext cx="5110229" cy="331926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Palatino Linotype" w:hAnsi="Palatino Linotype" w:cs="Times New Roman"/>
        </w:rPr>
      </w:pPr>
      <w:bookmarkStart w:id="10" w:name="_Hlk71305905"/>
      <w:r>
        <w:rPr>
          <w:rFonts w:ascii="Palatino Linotype" w:hAnsi="Palatino Linotype" w:cs="Times New Roman"/>
        </w:rPr>
        <w:t>Figure S7.</w:t>
      </w:r>
      <w:r>
        <w:rPr>
          <w:rFonts w:ascii="Palatino Linotype" w:hAnsi="Palatino Linotype" w:cs="Times New Roman"/>
          <w:color w:val="000000" w:themeColor="text1"/>
          <w:kern w:val="24"/>
          <w:sz w:val="40"/>
          <w:szCs w:val="40"/>
          <w:lang w:val="de-DE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Palatino Linotype" w:hAnsi="Palatino Linotype" w:cs="Times New Roman"/>
        </w:rPr>
        <w:t>The calculated HOMO and LUMO molecular orbitals of the muti-molecule “complex” (containing two chaccone molecules and four CHCl</w:t>
      </w:r>
      <w:r>
        <w:rPr>
          <w:rFonts w:ascii="Palatino Linotype" w:hAnsi="Palatino Linotype" w:cs="Times New Roman"/>
          <w:vertAlign w:val="subscript"/>
        </w:rPr>
        <w:t>3</w:t>
      </w:r>
      <w:r>
        <w:rPr>
          <w:rFonts w:ascii="Palatino Linotype" w:hAnsi="Palatino Linotype" w:cs="Times New Roman"/>
        </w:rPr>
        <w:t xml:space="preserve"> molecules) where the two chalcone molecules are connected via abuntant weak interactions.</w:t>
      </w:r>
    </w:p>
    <w:bookmarkEnd w:id="10"/>
    <w:p>
      <w:pPr>
        <w:widowControl/>
        <w:jc w:val="left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br w:type="page"/>
      </w:r>
    </w:p>
    <w:p>
      <w:pPr>
        <w:widowControl/>
        <w:jc w:val="left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drawing>
          <wp:inline distT="0" distB="0" distL="0" distR="0">
            <wp:extent cx="5274310" cy="368427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Palatino Linotype" w:hAnsi="Palatino Linotype" w:cs="Times New Roman"/>
        </w:rPr>
      </w:pPr>
      <w:bookmarkStart w:id="11" w:name="_Hlk71305924"/>
      <w:r>
        <w:rPr>
          <w:rFonts w:ascii="Palatino Linotype" w:hAnsi="Palatino Linotype" w:cs="Times New Roman"/>
        </w:rPr>
        <w:t>Figure S8.</w:t>
      </w:r>
      <w:r>
        <w:rPr>
          <w:rFonts w:ascii="Palatino Linotype" w:hAnsi="Palatino Linotype" w:cs="Times New Roman"/>
          <w:vertAlign w:val="superscript"/>
        </w:rPr>
        <w:t xml:space="preserve"> 1</w:t>
      </w:r>
      <w:r>
        <w:rPr>
          <w:rFonts w:ascii="Palatino Linotype" w:hAnsi="Palatino Linotype" w:cs="Times New Roman"/>
          <w:lang w:val="en-GB"/>
        </w:rPr>
        <w:t xml:space="preserve">H-NMR spectrum of compound </w:t>
      </w:r>
      <w:r>
        <w:rPr>
          <w:rFonts w:ascii="Palatino Linotype" w:hAnsi="Palatino Linotype" w:cs="Times New Roman"/>
          <w:b/>
          <w:lang w:val="en-GB"/>
        </w:rPr>
        <w:t>1</w:t>
      </w:r>
      <w:r>
        <w:rPr>
          <w:rFonts w:ascii="Palatino Linotype" w:hAnsi="Palatino Linotype" w:cs="Times New Roman"/>
          <w:lang w:val="en-GB"/>
        </w:rPr>
        <w:t xml:space="preserve"> (400 MHz, in CDCl</w:t>
      </w:r>
      <w:r>
        <w:rPr>
          <w:rFonts w:ascii="Palatino Linotype" w:hAnsi="Palatino Linotype" w:cs="Times New Roman"/>
          <w:vertAlign w:val="subscript"/>
          <w:lang w:val="en-GB"/>
        </w:rPr>
        <w:t>3</w:t>
      </w:r>
      <w:r>
        <w:rPr>
          <w:rFonts w:ascii="Palatino Linotype" w:hAnsi="Palatino Linotype" w:cs="Times New Roman"/>
          <w:lang w:val="en-GB"/>
        </w:rPr>
        <w:t>).</w:t>
      </w:r>
    </w:p>
    <w:bookmarkEnd w:id="11"/>
    <w:p>
      <w:pPr>
        <w:widowControl/>
        <w:jc w:val="left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br w:type="page"/>
      </w:r>
      <w:r>
        <w:rPr>
          <w:rFonts w:ascii="Palatino Linotype" w:hAnsi="Palatino Linotype" w:cs="Times New Roman"/>
        </w:rPr>
        <w:drawing>
          <wp:inline distT="0" distB="0" distL="0" distR="0">
            <wp:extent cx="5274310" cy="314579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Palatino Linotype" w:hAnsi="Palatino Linotype" w:cs="Times New Roman"/>
        </w:rPr>
      </w:pPr>
      <w:bookmarkStart w:id="12" w:name="_Hlk71305949"/>
      <w:r>
        <w:rPr>
          <w:rFonts w:ascii="Palatino Linotype" w:hAnsi="Palatino Linotype" w:cs="Times New Roman"/>
        </w:rPr>
        <w:t>Figure S9.</w:t>
      </w:r>
      <w:r>
        <w:rPr>
          <w:rFonts w:ascii="Palatino Linotype" w:hAnsi="Palatino Linotype" w:cs="Times New Roman"/>
          <w:vertAlign w:val="superscript"/>
        </w:rPr>
        <w:t xml:space="preserve"> 13</w:t>
      </w:r>
      <w:r>
        <w:rPr>
          <w:rFonts w:ascii="Palatino Linotype" w:hAnsi="Palatino Linotype" w:cs="Times New Roman"/>
          <w:lang w:val="en-GB"/>
        </w:rPr>
        <w:t xml:space="preserve">C-NMR spectrum of compound </w:t>
      </w:r>
      <w:r>
        <w:rPr>
          <w:rFonts w:ascii="Palatino Linotype" w:hAnsi="Palatino Linotype" w:cs="Times New Roman"/>
          <w:b/>
          <w:lang w:val="en-GB"/>
        </w:rPr>
        <w:t>1</w:t>
      </w:r>
      <w:r>
        <w:rPr>
          <w:rFonts w:ascii="Palatino Linotype" w:hAnsi="Palatino Linotype" w:cs="Times New Roman"/>
          <w:lang w:val="en-GB"/>
        </w:rPr>
        <w:t xml:space="preserve"> (100 MHz, in CDCl</w:t>
      </w:r>
      <w:r>
        <w:rPr>
          <w:rFonts w:ascii="Palatino Linotype" w:hAnsi="Palatino Linotype" w:cs="Times New Roman"/>
          <w:vertAlign w:val="subscript"/>
          <w:lang w:val="en-GB"/>
        </w:rPr>
        <w:t>3</w:t>
      </w:r>
      <w:r>
        <w:rPr>
          <w:rFonts w:ascii="Palatino Linotype" w:hAnsi="Palatino Linotype" w:cs="Times New Roman"/>
          <w:lang w:val="en-GB"/>
        </w:rPr>
        <w:t>).</w:t>
      </w:r>
    </w:p>
    <w:bookmarkEnd w:id="12"/>
    <w:p>
      <w:pPr>
        <w:jc w:val="center"/>
        <w:rPr>
          <w:rFonts w:ascii="Palatino Linotype" w:hAnsi="Palatino Linotype" w:cs="Times New Roman"/>
        </w:rPr>
      </w:pPr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comment w:id="0" w:author="MDPI" w:date="2021-05-07T18:47:00Z" w:initials="M">
    <w:p w14:paraId="19A35DE9">
      <w:pPr>
        <w:pStyle w:val="2"/>
      </w:pPr>
      <w:r>
        <w:fldChar w:fldCharType="begin"/>
      </w:r>
      <w:r>
        <w:rPr>
          <w:rStyle w:val="11"/>
        </w:rPr>
        <w:instrText xml:space="preserve"> </w:instrText>
      </w:r>
      <w:r>
        <w:instrText xml:space="preserve">PAGE \# "'Page: '#'</w:instrText>
      </w:r>
      <w:r>
        <w:br w:type="textWrapping"/>
      </w:r>
      <w:r>
        <w:instrText xml:space="preserve">'"</w:instrText>
      </w:r>
      <w:r>
        <w:rPr>
          <w:rStyle w:val="11"/>
        </w:rPr>
        <w:instrText xml:space="preserve"> </w:instrText>
      </w:r>
      <w:r>
        <w:fldChar w:fldCharType="end"/>
      </w:r>
      <w:r>
        <w:t>Please correct this overlapping.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commentEx w15:paraId="19A35DE9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rdia New">
    <w:altName w:val="Microsoft Sans Serif"/>
    <w:panose1 w:val="020B0304020202020204"/>
    <w:charset w:val="DE"/>
    <w:family w:val="swiss"/>
    <w:pitch w:val="default"/>
    <w:sig w:usb0="00000000" w:usb1="00000000" w:usb2="00000000" w:usb3="00000000" w:csb0="00010001" w:csb1="00000000"/>
  </w:font>
  <w:font w:name="MS Mincho">
    <w:altName w:val="Yu Gothic UI"/>
    <w:panose1 w:val="02020609040205080304"/>
    <w:charset w:val="80"/>
    <w:family w:val="modern"/>
    <w:pitch w:val="default"/>
    <w:sig w:usb0="00000000" w:usb1="00000000" w:usb2="08000012" w:usb3="00000000" w:csb0="0002009F" w:csb1="00000000"/>
  </w:font>
  <w:font w:name="Palatino Linotype">
    <w:panose1 w:val="02040502050505030304"/>
    <w:charset w:val="00"/>
    <w:family w:val="roman"/>
    <w:pitch w:val="default"/>
    <w:sig w:usb0="E0000287" w:usb1="40000013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855022419"/>
    </w:sdtPr>
    <w:sdtContent>
      <w:p>
        <w:pPr>
          <w:pStyle w:val="4"/>
          <w:jc w:val="center"/>
        </w:pPr>
        <w:r>
          <w:rPr>
            <w:rFonts w:hint="eastAsia"/>
          </w:rPr>
          <w:t>S</w:t>
        </w: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9</w:t>
        </w:r>
        <w:r>
          <w:fldChar w:fldCharType="end"/>
        </w:r>
      </w:p>
    </w:sdtContent>
  </w:sdt>
  <w:p>
    <w:pPr>
      <w:pStyle w:val="4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E27FF4"/>
    <w:multiLevelType w:val="multilevel"/>
    <w:tmpl w:val="51E27FF4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MDPI">
    <w15:presenceInfo w15:providerId="None" w15:userId="MDPI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trackRevisions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2729"/>
    <w:rsid w:val="00076496"/>
    <w:rsid w:val="000913D5"/>
    <w:rsid w:val="00105B5F"/>
    <w:rsid w:val="00106F03"/>
    <w:rsid w:val="00140FBD"/>
    <w:rsid w:val="00172FC1"/>
    <w:rsid w:val="00195A59"/>
    <w:rsid w:val="001A4860"/>
    <w:rsid w:val="001D527D"/>
    <w:rsid w:val="001E30A9"/>
    <w:rsid w:val="001F69E0"/>
    <w:rsid w:val="0028311C"/>
    <w:rsid w:val="00294F3E"/>
    <w:rsid w:val="002A072F"/>
    <w:rsid w:val="002C09E8"/>
    <w:rsid w:val="002C4DB1"/>
    <w:rsid w:val="002F5671"/>
    <w:rsid w:val="00312CF3"/>
    <w:rsid w:val="00337AE8"/>
    <w:rsid w:val="00341133"/>
    <w:rsid w:val="00346947"/>
    <w:rsid w:val="00385223"/>
    <w:rsid w:val="00386A74"/>
    <w:rsid w:val="003B3951"/>
    <w:rsid w:val="003C0504"/>
    <w:rsid w:val="003C6AF7"/>
    <w:rsid w:val="003D6074"/>
    <w:rsid w:val="00445FBD"/>
    <w:rsid w:val="00461CF2"/>
    <w:rsid w:val="004B4221"/>
    <w:rsid w:val="004E1D66"/>
    <w:rsid w:val="00512D91"/>
    <w:rsid w:val="005937E7"/>
    <w:rsid w:val="005B7EE0"/>
    <w:rsid w:val="005E4EA5"/>
    <w:rsid w:val="00602729"/>
    <w:rsid w:val="00614A09"/>
    <w:rsid w:val="00624A24"/>
    <w:rsid w:val="006656BD"/>
    <w:rsid w:val="006A3094"/>
    <w:rsid w:val="00711543"/>
    <w:rsid w:val="007147A3"/>
    <w:rsid w:val="00757C3B"/>
    <w:rsid w:val="007D4B5E"/>
    <w:rsid w:val="007F352A"/>
    <w:rsid w:val="00850D17"/>
    <w:rsid w:val="00850E13"/>
    <w:rsid w:val="008A269C"/>
    <w:rsid w:val="008D796F"/>
    <w:rsid w:val="009A7123"/>
    <w:rsid w:val="009D51C6"/>
    <w:rsid w:val="009E7DA5"/>
    <w:rsid w:val="00A4266B"/>
    <w:rsid w:val="00A64D88"/>
    <w:rsid w:val="00A86A57"/>
    <w:rsid w:val="00A97A7E"/>
    <w:rsid w:val="00AE66EC"/>
    <w:rsid w:val="00AF651F"/>
    <w:rsid w:val="00B07300"/>
    <w:rsid w:val="00BD4E77"/>
    <w:rsid w:val="00C25E43"/>
    <w:rsid w:val="00C4371A"/>
    <w:rsid w:val="00C8144F"/>
    <w:rsid w:val="00CB7A17"/>
    <w:rsid w:val="00D355C7"/>
    <w:rsid w:val="00DE168E"/>
    <w:rsid w:val="00E709BE"/>
    <w:rsid w:val="00E82B4C"/>
    <w:rsid w:val="00EA0445"/>
    <w:rsid w:val="00F20939"/>
    <w:rsid w:val="00F94C1B"/>
    <w:rsid w:val="00FB10B8"/>
    <w:rsid w:val="00FC6930"/>
    <w:rsid w:val="00FE2FBB"/>
    <w:rsid w:val="00FF43C0"/>
    <w:rsid w:val="0622170E"/>
    <w:rsid w:val="22D036DF"/>
    <w:rsid w:val="5B0A6864"/>
    <w:rsid w:val="6E8E1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59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9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9"/>
    <w:semiHidden/>
    <w:unhideWhenUsed/>
    <w:uiPriority w:val="99"/>
    <w:pPr>
      <w:spacing w:line="240" w:lineRule="auto"/>
    </w:pPr>
    <w:rPr>
      <w:sz w:val="20"/>
      <w:szCs w:val="20"/>
    </w:rPr>
  </w:style>
  <w:style w:type="paragraph" w:styleId="3">
    <w:name w:val="Balloon Text"/>
    <w:basedOn w:val="1"/>
    <w:link w:val="12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annotation subject"/>
    <w:basedOn w:val="2"/>
    <w:next w:val="2"/>
    <w:link w:val="20"/>
    <w:semiHidden/>
    <w:unhideWhenUsed/>
    <w:uiPriority w:val="99"/>
    <w:rPr>
      <w:b/>
      <w:bCs/>
    </w:rPr>
  </w:style>
  <w:style w:type="table" w:styleId="8">
    <w:name w:val="Table Grid"/>
    <w:basedOn w:val="7"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0">
    <w:name w:val="Hyperlink"/>
    <w:basedOn w:val="9"/>
    <w:semiHidden/>
    <w:unhideWhenUsed/>
    <w:qFormat/>
    <w:uiPriority w:val="99"/>
    <w:rPr>
      <w:color w:val="0000FF"/>
      <w:u w:val="single"/>
    </w:rPr>
  </w:style>
  <w:style w:type="character" w:styleId="11">
    <w:name w:val="annotation reference"/>
    <w:basedOn w:val="9"/>
    <w:semiHidden/>
    <w:unhideWhenUsed/>
    <w:uiPriority w:val="99"/>
    <w:rPr>
      <w:sz w:val="16"/>
      <w:szCs w:val="16"/>
    </w:rPr>
  </w:style>
  <w:style w:type="character" w:customStyle="1" w:styleId="12">
    <w:name w:val="Balloon Text Char"/>
    <w:basedOn w:val="9"/>
    <w:link w:val="3"/>
    <w:semiHidden/>
    <w:qFormat/>
    <w:uiPriority w:val="99"/>
    <w:rPr>
      <w:sz w:val="18"/>
      <w:szCs w:val="18"/>
    </w:rPr>
  </w:style>
  <w:style w:type="character" w:customStyle="1" w:styleId="13">
    <w:name w:val="Header Char"/>
    <w:basedOn w:val="9"/>
    <w:link w:val="5"/>
    <w:qFormat/>
    <w:uiPriority w:val="99"/>
    <w:rPr>
      <w:sz w:val="18"/>
      <w:szCs w:val="18"/>
    </w:rPr>
  </w:style>
  <w:style w:type="character" w:customStyle="1" w:styleId="14">
    <w:name w:val="Footer Char"/>
    <w:basedOn w:val="9"/>
    <w:link w:val="4"/>
    <w:uiPriority w:val="99"/>
    <w:rPr>
      <w:sz w:val="18"/>
      <w:szCs w:val="18"/>
    </w:rPr>
  </w:style>
  <w:style w:type="paragraph" w:customStyle="1" w:styleId="15">
    <w:name w:val="Experimental Text"/>
    <w:basedOn w:val="1"/>
    <w:link w:val="16"/>
    <w:qFormat/>
    <w:uiPriority w:val="0"/>
    <w:pPr>
      <w:widowControl/>
      <w:spacing w:line="480" w:lineRule="auto"/>
      <w:jc w:val="left"/>
    </w:pPr>
    <w:rPr>
      <w:rFonts w:ascii="Times New Roman" w:hAnsi="Times New Roman" w:eastAsia="MS Mincho" w:cs="Times New Roman"/>
      <w:kern w:val="0"/>
      <w:sz w:val="24"/>
      <w:szCs w:val="24"/>
      <w:lang w:eastAsia="ja-JP"/>
    </w:rPr>
  </w:style>
  <w:style w:type="character" w:customStyle="1" w:styleId="16">
    <w:name w:val="Experimental Text Char"/>
    <w:link w:val="15"/>
    <w:qFormat/>
    <w:uiPriority w:val="0"/>
    <w:rPr>
      <w:rFonts w:ascii="Times New Roman" w:hAnsi="Times New Roman" w:eastAsia="MS Mincho" w:cs="Times New Roman"/>
      <w:kern w:val="0"/>
      <w:sz w:val="24"/>
      <w:szCs w:val="24"/>
      <w:lang w:eastAsia="ja-JP"/>
    </w:rPr>
  </w:style>
  <w:style w:type="paragraph" w:customStyle="1" w:styleId="17">
    <w:name w:val="Main Text"/>
    <w:basedOn w:val="1"/>
    <w:link w:val="18"/>
    <w:qFormat/>
    <w:uiPriority w:val="0"/>
    <w:pPr>
      <w:widowControl/>
      <w:spacing w:line="480" w:lineRule="auto"/>
      <w:jc w:val="left"/>
    </w:pPr>
    <w:rPr>
      <w:rFonts w:ascii="Times New Roman" w:hAnsi="Times New Roman" w:eastAsia="MS Mincho" w:cs="Times New Roman"/>
      <w:kern w:val="0"/>
      <w:sz w:val="24"/>
      <w:szCs w:val="24"/>
      <w:lang w:eastAsia="ja-JP"/>
    </w:rPr>
  </w:style>
  <w:style w:type="character" w:customStyle="1" w:styleId="18">
    <w:name w:val="Main Text Char"/>
    <w:link w:val="17"/>
    <w:qFormat/>
    <w:uiPriority w:val="0"/>
    <w:rPr>
      <w:rFonts w:ascii="Times New Roman" w:hAnsi="Times New Roman" w:eastAsia="MS Mincho" w:cs="Times New Roman"/>
      <w:kern w:val="0"/>
      <w:sz w:val="24"/>
      <w:szCs w:val="24"/>
      <w:lang w:eastAsia="ja-JP"/>
    </w:rPr>
  </w:style>
  <w:style w:type="character" w:customStyle="1" w:styleId="19">
    <w:name w:val="Comment Text Char"/>
    <w:basedOn w:val="9"/>
    <w:link w:val="2"/>
    <w:semiHidden/>
    <w:qFormat/>
    <w:uiPriority w:val="99"/>
    <w:rPr>
      <w:rFonts w:asciiTheme="minorHAnsi" w:hAnsiTheme="minorHAnsi" w:eastAsiaTheme="minorEastAsia" w:cstheme="minorBidi"/>
      <w:kern w:val="2"/>
      <w:lang w:bidi="ar-SA"/>
    </w:rPr>
  </w:style>
  <w:style w:type="character" w:customStyle="1" w:styleId="20">
    <w:name w:val="Comment Subject Char"/>
    <w:basedOn w:val="19"/>
    <w:link w:val="6"/>
    <w:semiHidden/>
    <w:qFormat/>
    <w:uiPriority w:val="99"/>
    <w:rPr>
      <w:rFonts w:asciiTheme="minorHAnsi" w:hAnsiTheme="minorHAnsi" w:eastAsiaTheme="minorEastAsia" w:cstheme="minorBidi"/>
      <w:b/>
      <w:bCs/>
      <w:kern w:val="2"/>
      <w:lang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emf"/><Relationship Id="rId7" Type="http://schemas.openxmlformats.org/officeDocument/2006/relationships/oleObject" Target="embeddings/oleObject1.bin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microsoft.com/office/2011/relationships/commentsExtended" Target="commentsExtended.xml"/><Relationship Id="rId3" Type="http://schemas.openxmlformats.org/officeDocument/2006/relationships/comments" Target="comments.xml"/><Relationship Id="rId21" Type="http://schemas.microsoft.com/office/2011/relationships/people" Target="people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8.jpeg"/><Relationship Id="rId16" Type="http://schemas.openxmlformats.org/officeDocument/2006/relationships/image" Target="media/image7.jpeg"/><Relationship Id="rId15" Type="http://schemas.openxmlformats.org/officeDocument/2006/relationships/image" Target="media/image6.jpeg"/><Relationship Id="rId14" Type="http://schemas.openxmlformats.org/officeDocument/2006/relationships/image" Target="media/image1.tiff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emf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891</Words>
  <Characters>4930</Characters>
  <Lines>164</Lines>
  <Paragraphs>75</Paragraphs>
  <TotalTime>2</TotalTime>
  <ScaleCrop>false</ScaleCrop>
  <LinksUpToDate>false</LinksUpToDate>
  <CharactersWithSpaces>5746</CharactersWithSpaces>
  <Application>WPS Office_11.1.0.9192_F1E327BC-269C-435d-A152-05C5408002CA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2021-05-08T08:23:00Z</dcterms:created>
  <dc:creator>xb21cn</dc:creator>
  <cp:lastModifiedBy>lenovo</cp:lastModifiedBy>
  <dcterms:modified xsi:type="dcterms:W3CDTF">2021-05-10T08:54:47Z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  <property fmtid="{D5CDD505-2E9C-101B-9397-08002B2CF9AE}" pid="3" name="ICV">
    <vt:lpwstr>3779E5B85EFA48E99CFE4DDD1A6D099F</vt:lpwstr>
  </property>
</Properties>
</file>