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E99" w:rsidRDefault="00F31E99" w:rsidP="00FB1481">
      <w:pPr>
        <w:autoSpaceDE w:val="0"/>
        <w:autoSpaceDN w:val="0"/>
        <w:adjustRightInd w:val="0"/>
        <w:snapToGrid w:val="0"/>
        <w:spacing w:line="480" w:lineRule="auto"/>
        <w:jc w:val="left"/>
        <w:rPr>
          <w:rFonts w:ascii="Times New Roman" w:hAnsi="Times New Roman"/>
          <w:b/>
          <w:bCs/>
          <w:color w:val="000000"/>
          <w:sz w:val="32"/>
          <w:szCs w:val="32"/>
        </w:rPr>
      </w:pPr>
      <w:r>
        <w:rPr>
          <w:rFonts w:ascii="Times New Roman" w:hAnsi="Times New Roman"/>
          <w:b/>
          <w:bCs/>
          <w:color w:val="000000"/>
          <w:sz w:val="32"/>
          <w:szCs w:val="32"/>
        </w:rPr>
        <w:t>Supporting Information</w:t>
      </w:r>
    </w:p>
    <w:p w:rsidR="00F31E99" w:rsidRDefault="00F31E99" w:rsidP="00D55F52">
      <w:pPr>
        <w:autoSpaceDE w:val="0"/>
        <w:autoSpaceDN w:val="0"/>
        <w:adjustRightInd w:val="0"/>
        <w:snapToGrid w:val="0"/>
        <w:spacing w:line="480" w:lineRule="auto"/>
        <w:rPr>
          <w:rFonts w:ascii="Times New Roman" w:hAnsi="Times New Roman"/>
          <w:b/>
          <w:bCs/>
          <w:color w:val="000000"/>
          <w:sz w:val="32"/>
          <w:szCs w:val="32"/>
        </w:rPr>
      </w:pPr>
    </w:p>
    <w:p w:rsidR="00F31E99" w:rsidRPr="004F3356" w:rsidRDefault="00F31E99" w:rsidP="00FB1481">
      <w:pPr>
        <w:pStyle w:val="MDPI12title"/>
        <w:spacing w:line="240" w:lineRule="atLeast"/>
      </w:pPr>
      <w:bookmarkStart w:id="0" w:name="OLE_LINK43"/>
      <w:r w:rsidRPr="004F3356">
        <w:t>Preparation of Compositional Gradient Polymeric Materials Based on Gradient Mesh Template</w:t>
      </w:r>
      <w:bookmarkEnd w:id="0"/>
    </w:p>
    <w:p w:rsidR="00F31E99" w:rsidRPr="00FD7B33" w:rsidRDefault="00F31E99" w:rsidP="0083223B">
      <w:pPr>
        <w:pStyle w:val="MDPI13authornames"/>
        <w:rPr>
          <w:sz w:val="18"/>
          <w:szCs w:val="18"/>
        </w:rPr>
      </w:pPr>
      <w:r w:rsidRPr="00FD7B33">
        <w:rPr>
          <w:sz w:val="18"/>
          <w:szCs w:val="18"/>
          <w:lang w:eastAsia="zh-CN"/>
        </w:rPr>
        <w:t>Honglei Teng</w:t>
      </w:r>
      <w:r w:rsidRPr="00FD7B33">
        <w:rPr>
          <w:sz w:val="18"/>
          <w:szCs w:val="18"/>
        </w:rPr>
        <w:t xml:space="preserve"> </w:t>
      </w:r>
      <w:r w:rsidRPr="00FD7B33">
        <w:rPr>
          <w:sz w:val="18"/>
          <w:szCs w:val="18"/>
          <w:vertAlign w:val="superscript"/>
        </w:rPr>
        <w:t>1</w:t>
      </w:r>
      <w:r w:rsidRPr="00FD7B33">
        <w:rPr>
          <w:sz w:val="18"/>
          <w:szCs w:val="18"/>
        </w:rPr>
        <w:t xml:space="preserve">, </w:t>
      </w:r>
      <w:r w:rsidRPr="00FD7B33">
        <w:rPr>
          <w:sz w:val="18"/>
          <w:szCs w:val="18"/>
          <w:lang w:eastAsia="zh-CN"/>
        </w:rPr>
        <w:t xml:space="preserve">Jing Li </w:t>
      </w:r>
      <w:r w:rsidRPr="00FD7B33">
        <w:rPr>
          <w:sz w:val="18"/>
          <w:szCs w:val="18"/>
          <w:vertAlign w:val="superscript"/>
          <w:lang w:eastAsia="zh-CN"/>
        </w:rPr>
        <w:t>1</w:t>
      </w:r>
      <w:r w:rsidRPr="00FD7B33">
        <w:rPr>
          <w:sz w:val="18"/>
          <w:szCs w:val="18"/>
          <w:lang w:eastAsia="zh-CN"/>
        </w:rPr>
        <w:t xml:space="preserve">, Zhaosheng Hou </w:t>
      </w:r>
      <w:r w:rsidRPr="00FD7B33">
        <w:rPr>
          <w:sz w:val="18"/>
          <w:szCs w:val="18"/>
          <w:vertAlign w:val="superscript"/>
          <w:lang w:eastAsia="zh-CN"/>
        </w:rPr>
        <w:t>2</w:t>
      </w:r>
      <w:r w:rsidRPr="00FD7B33">
        <w:rPr>
          <w:sz w:val="18"/>
          <w:szCs w:val="18"/>
          <w:lang w:eastAsia="zh-CN"/>
        </w:rPr>
        <w:t xml:space="preserve">, </w:t>
      </w:r>
      <w:r w:rsidRPr="00FD7B33">
        <w:rPr>
          <w:color w:val="FF0000"/>
          <w:sz w:val="18"/>
          <w:szCs w:val="18"/>
          <w:lang w:eastAsia="zh-CN"/>
        </w:rPr>
        <w:t>Xilu Yan</w:t>
      </w:r>
      <w:r w:rsidRPr="00FD7B33">
        <w:rPr>
          <w:color w:val="FF0000"/>
          <w:sz w:val="18"/>
          <w:szCs w:val="18"/>
          <w:vertAlign w:val="superscript"/>
        </w:rPr>
        <w:t>1</w:t>
      </w:r>
      <w:r w:rsidRPr="00FD7B33">
        <w:rPr>
          <w:color w:val="FF0000"/>
          <w:sz w:val="18"/>
          <w:szCs w:val="18"/>
          <w:lang w:eastAsia="zh-CN"/>
        </w:rPr>
        <w:t>, Rulin Han</w:t>
      </w:r>
      <w:r w:rsidRPr="00FD7B33">
        <w:rPr>
          <w:color w:val="FF0000"/>
          <w:sz w:val="18"/>
          <w:szCs w:val="18"/>
          <w:vertAlign w:val="superscript"/>
        </w:rPr>
        <w:t>1</w:t>
      </w:r>
      <w:r w:rsidRPr="00FD7B33">
        <w:rPr>
          <w:sz w:val="18"/>
          <w:szCs w:val="18"/>
          <w:lang w:eastAsia="zh-CN"/>
        </w:rPr>
        <w:t>, Jing Xu</w:t>
      </w:r>
      <w:r w:rsidRPr="00FD7B33">
        <w:rPr>
          <w:sz w:val="18"/>
          <w:szCs w:val="18"/>
          <w:vertAlign w:val="superscript"/>
          <w:lang w:eastAsia="zh-CN"/>
        </w:rPr>
        <w:t>1,</w:t>
      </w:r>
      <w:r w:rsidRPr="00FD7B33">
        <w:rPr>
          <w:sz w:val="18"/>
          <w:szCs w:val="18"/>
          <w:lang w:eastAsia="zh-CN"/>
        </w:rPr>
        <w:t>* and Tianduo Li</w:t>
      </w:r>
      <w:r w:rsidRPr="00FD7B33">
        <w:rPr>
          <w:sz w:val="18"/>
          <w:szCs w:val="18"/>
          <w:vertAlign w:val="superscript"/>
          <w:lang w:eastAsia="zh-CN"/>
        </w:rPr>
        <w:t>1,</w:t>
      </w:r>
      <w:r w:rsidRPr="00FD7B33">
        <w:rPr>
          <w:sz w:val="18"/>
          <w:szCs w:val="18"/>
          <w:lang w:eastAsia="zh-CN"/>
        </w:rPr>
        <w:t xml:space="preserve">* </w:t>
      </w:r>
    </w:p>
    <w:p w:rsidR="00F31E99" w:rsidRPr="00060FE2" w:rsidRDefault="00F31E99" w:rsidP="0083223B">
      <w:pPr>
        <w:pStyle w:val="MDPI16affiliation"/>
      </w:pPr>
      <w:r w:rsidRPr="00060FE2">
        <w:rPr>
          <w:vertAlign w:val="superscript"/>
        </w:rPr>
        <w:t>1</w:t>
      </w:r>
      <w:r w:rsidRPr="00060FE2">
        <w:tab/>
      </w:r>
      <w:r w:rsidRPr="003464D6">
        <w:rPr>
          <w:color w:val="FF0000"/>
          <w:szCs w:val="20"/>
        </w:rPr>
        <w:t>Shandong Provincial Key Laboratory of Molecular Engineering</w:t>
      </w:r>
      <w:r w:rsidRPr="00060FE2">
        <w:rPr>
          <w:szCs w:val="20"/>
        </w:rPr>
        <w:t xml:space="preserve">, School of Chemistry and Pharmaceutical Engineering, </w:t>
      </w:r>
      <w:bookmarkStart w:id="1" w:name="OLE_LINK22"/>
      <w:r w:rsidRPr="00060FE2">
        <w:rPr>
          <w:szCs w:val="20"/>
        </w:rPr>
        <w:t>Qi</w:t>
      </w:r>
      <w:r w:rsidRPr="00060FE2">
        <w:rPr>
          <w:rFonts w:eastAsia="Times New Roman"/>
          <w:szCs w:val="20"/>
        </w:rPr>
        <w:t>l</w:t>
      </w:r>
      <w:r w:rsidRPr="00060FE2">
        <w:rPr>
          <w:szCs w:val="20"/>
        </w:rPr>
        <w:t>u University of Technology</w:t>
      </w:r>
      <w:bookmarkEnd w:id="1"/>
      <w:r w:rsidRPr="0037423D">
        <w:rPr>
          <w:szCs w:val="20"/>
        </w:rPr>
        <w:t>(Shandong Academy of Sciences)</w:t>
      </w:r>
      <w:r w:rsidRPr="00060FE2">
        <w:rPr>
          <w:szCs w:val="20"/>
        </w:rPr>
        <w:t>, Jinan</w:t>
      </w:r>
      <w:r w:rsidRPr="00060FE2">
        <w:rPr>
          <w:rFonts w:eastAsia="Times New Roman"/>
          <w:szCs w:val="20"/>
        </w:rPr>
        <w:t xml:space="preserve">, Shandong, </w:t>
      </w:r>
      <w:r w:rsidRPr="00060FE2">
        <w:rPr>
          <w:szCs w:val="20"/>
        </w:rPr>
        <w:t>250353, China</w:t>
      </w:r>
      <w:r>
        <w:rPr>
          <w:szCs w:val="20"/>
          <w:lang w:eastAsia="zh-CN"/>
        </w:rPr>
        <w:t>.</w:t>
      </w:r>
      <w:r w:rsidRPr="00E30150">
        <w:rPr>
          <w:rFonts w:eastAsia="Times New Roman"/>
          <w:szCs w:val="20"/>
        </w:rPr>
        <w:t xml:space="preserve"> </w:t>
      </w:r>
      <w:r w:rsidRPr="00CD31AF">
        <w:rPr>
          <w:szCs w:val="20"/>
        </w:rPr>
        <w:t>T</w:t>
      </w:r>
      <w:r w:rsidRPr="00CD31AF">
        <w:rPr>
          <w:rFonts w:eastAsia="Times New Roman"/>
          <w:szCs w:val="20"/>
        </w:rPr>
        <w:t>enghonglei</w:t>
      </w:r>
      <w:r>
        <w:rPr>
          <w:szCs w:val="20"/>
          <w:lang w:eastAsia="zh-CN"/>
        </w:rPr>
        <w:t>1122</w:t>
      </w:r>
      <w:r w:rsidRPr="00CD31AF">
        <w:rPr>
          <w:szCs w:val="20"/>
        </w:rPr>
        <w:t>@</w:t>
      </w:r>
      <w:r w:rsidRPr="00CD31AF">
        <w:rPr>
          <w:rFonts w:eastAsia="Times New Roman"/>
          <w:szCs w:val="20"/>
        </w:rPr>
        <w:t>163.com</w:t>
      </w:r>
      <w:r w:rsidRPr="00CD31AF">
        <w:rPr>
          <w:szCs w:val="20"/>
        </w:rPr>
        <w:t xml:space="preserve"> (</w:t>
      </w:r>
      <w:r w:rsidRPr="00CD31AF">
        <w:rPr>
          <w:rFonts w:eastAsia="Times New Roman"/>
        </w:rPr>
        <w:t>H</w:t>
      </w:r>
      <w:r w:rsidRPr="00CD31AF">
        <w:rPr>
          <w:szCs w:val="20"/>
        </w:rPr>
        <w:t>.</w:t>
      </w:r>
      <w:r w:rsidRPr="00CD31AF">
        <w:rPr>
          <w:rFonts w:eastAsia="Times New Roman"/>
        </w:rPr>
        <w:t>T</w:t>
      </w:r>
      <w:r w:rsidRPr="00CD31AF">
        <w:rPr>
          <w:szCs w:val="20"/>
        </w:rPr>
        <w:t xml:space="preserve">.); </w:t>
      </w:r>
      <w:r w:rsidRPr="00CD31AF">
        <w:rPr>
          <w:rFonts w:eastAsia="Times New Roman"/>
        </w:rPr>
        <w:t>lijing</w:t>
      </w:r>
      <w:r w:rsidRPr="00CD31AF">
        <w:rPr>
          <w:szCs w:val="20"/>
        </w:rPr>
        <w:t>@</w:t>
      </w:r>
      <w:r w:rsidRPr="00CD31AF">
        <w:rPr>
          <w:rFonts w:eastAsia="Times New Roman"/>
        </w:rPr>
        <w:t>163.</w:t>
      </w:r>
      <w:r w:rsidRPr="00CD31AF">
        <w:rPr>
          <w:szCs w:val="20"/>
        </w:rPr>
        <w:t>com (</w:t>
      </w:r>
      <w:r w:rsidRPr="00CD31AF">
        <w:rPr>
          <w:rFonts w:eastAsia="Times New Roman"/>
        </w:rPr>
        <w:t>L</w:t>
      </w:r>
      <w:r w:rsidRPr="00CD31AF">
        <w:rPr>
          <w:szCs w:val="20"/>
        </w:rPr>
        <w:t>.</w:t>
      </w:r>
      <w:r w:rsidRPr="00CD31AF">
        <w:rPr>
          <w:rFonts w:eastAsia="Times New Roman"/>
        </w:rPr>
        <w:t>J</w:t>
      </w:r>
      <w:r w:rsidRPr="00CD31AF">
        <w:rPr>
          <w:szCs w:val="20"/>
        </w:rPr>
        <w:t>.)</w:t>
      </w:r>
      <w:r w:rsidRPr="00CD31AF">
        <w:rPr>
          <w:rFonts w:eastAsia="Times New Roman"/>
          <w:szCs w:val="20"/>
        </w:rPr>
        <w:t>;</w:t>
      </w:r>
    </w:p>
    <w:p w:rsidR="00F31E99" w:rsidRPr="00CD31AF" w:rsidRDefault="00F31E99" w:rsidP="00D90048">
      <w:pPr>
        <w:pStyle w:val="MDPI16affiliation"/>
        <w:rPr>
          <w:szCs w:val="20"/>
        </w:rPr>
      </w:pPr>
      <w:r w:rsidRPr="00060FE2">
        <w:rPr>
          <w:szCs w:val="20"/>
          <w:vertAlign w:val="superscript"/>
        </w:rPr>
        <w:t>2</w:t>
      </w:r>
      <w:r w:rsidRPr="00060FE2">
        <w:rPr>
          <w:szCs w:val="20"/>
        </w:rPr>
        <w:tab/>
      </w:r>
      <w:r w:rsidRPr="00060FE2">
        <w:rPr>
          <w:rFonts w:eastAsia="Times New Roman"/>
          <w:szCs w:val="20"/>
        </w:rPr>
        <w:t>College of Chemistry, Chemical Engineering and Materials Science, Shandong Normal University, Jinan, Shandong,</w:t>
      </w:r>
      <w:r w:rsidRPr="00060FE2">
        <w:rPr>
          <w:szCs w:val="20"/>
          <w:lang w:eastAsia="zh-CN"/>
        </w:rPr>
        <w:t xml:space="preserve"> </w:t>
      </w:r>
      <w:r w:rsidRPr="00060FE2">
        <w:rPr>
          <w:rFonts w:eastAsia="Times New Roman"/>
          <w:szCs w:val="20"/>
        </w:rPr>
        <w:t>250100,</w:t>
      </w:r>
      <w:r w:rsidRPr="00060FE2">
        <w:rPr>
          <w:szCs w:val="20"/>
          <w:lang w:eastAsia="zh-CN"/>
        </w:rPr>
        <w:t xml:space="preserve"> </w:t>
      </w:r>
      <w:r w:rsidRPr="00060FE2">
        <w:rPr>
          <w:rFonts w:eastAsia="Times New Roman"/>
          <w:szCs w:val="20"/>
        </w:rPr>
        <w:t>China</w:t>
      </w:r>
      <w:r>
        <w:rPr>
          <w:szCs w:val="20"/>
          <w:lang w:eastAsia="zh-CN"/>
        </w:rPr>
        <w:t xml:space="preserve">. </w:t>
      </w:r>
      <w:r w:rsidRPr="00CD31AF">
        <w:rPr>
          <w:szCs w:val="20"/>
        </w:rPr>
        <w:t>hou</w:t>
      </w:r>
      <w:r w:rsidRPr="00CD31AF">
        <w:rPr>
          <w:rFonts w:eastAsia="Times New Roman"/>
          <w:szCs w:val="20"/>
        </w:rPr>
        <w:t>zs</w:t>
      </w:r>
      <w:r w:rsidRPr="00CD31AF">
        <w:rPr>
          <w:szCs w:val="20"/>
        </w:rPr>
        <w:t xml:space="preserve">@sdnu.edu.cn </w:t>
      </w:r>
      <w:r w:rsidRPr="00CD31AF">
        <w:rPr>
          <w:rFonts w:eastAsia="Times New Roman"/>
          <w:szCs w:val="20"/>
        </w:rPr>
        <w:t>(Z.H.)</w:t>
      </w:r>
    </w:p>
    <w:p w:rsidR="00F31E99" w:rsidRPr="00060FE2" w:rsidRDefault="00F31E99" w:rsidP="00D90048">
      <w:pPr>
        <w:pStyle w:val="MDPI14history"/>
        <w:spacing w:before="0"/>
        <w:ind w:left="311" w:hanging="198"/>
      </w:pPr>
      <w:r w:rsidRPr="00060FE2">
        <w:rPr>
          <w:b/>
        </w:rPr>
        <w:t>*</w:t>
      </w:r>
      <w:r w:rsidRPr="00060FE2">
        <w:tab/>
        <w:t>Correspondence: xujing@qlu.edu.cn, litianduo@163.com</w:t>
      </w:r>
    </w:p>
    <w:p w:rsidR="00F31E99" w:rsidRPr="002531B8" w:rsidRDefault="00F31E99" w:rsidP="00D90048">
      <w:pPr>
        <w:pStyle w:val="MDPI16affiliation"/>
      </w:pPr>
      <w:r w:rsidRPr="002531B8">
        <w:t>Received: date; Accepted: date; Published: date</w:t>
      </w:r>
    </w:p>
    <w:p w:rsidR="00F31E99" w:rsidRPr="00FB1481" w:rsidRDefault="00F31E99" w:rsidP="00D55F52">
      <w:pPr>
        <w:adjustRightInd w:val="0"/>
        <w:snapToGrid w:val="0"/>
        <w:spacing w:line="480" w:lineRule="auto"/>
        <w:rPr>
          <w:rFonts w:ascii="Times New Roman" w:hAnsi="Times New Roman"/>
          <w:color w:val="000000"/>
          <w:sz w:val="24"/>
        </w:rPr>
      </w:pPr>
    </w:p>
    <w:p w:rsidR="00F31E99" w:rsidRDefault="00F31E99" w:rsidP="00E17CF6">
      <w:pPr>
        <w:adjustRightInd w:val="0"/>
        <w:snapToGrid w:val="0"/>
        <w:spacing w:line="480" w:lineRule="auto"/>
        <w:rPr>
          <w:rFonts w:ascii="Times New Roman" w:eastAsia="TheSerif-B5Plain" w:hAnsi="Times New Roman"/>
          <w:b/>
          <w:bCs/>
          <w:kern w:val="0"/>
          <w:sz w:val="24"/>
        </w:rPr>
      </w:pPr>
    </w:p>
    <w:p w:rsidR="00F31E99" w:rsidRPr="00D82AEF" w:rsidRDefault="00F31E99" w:rsidP="00FB1481">
      <w:pPr>
        <w:pStyle w:val="ListParagraph"/>
        <w:numPr>
          <w:ilvl w:val="0"/>
          <w:numId w:val="1"/>
        </w:numPr>
        <w:adjustRightInd w:val="0"/>
        <w:snapToGrid w:val="0"/>
        <w:spacing w:line="480" w:lineRule="auto"/>
        <w:ind w:firstLineChars="0"/>
        <w:rPr>
          <w:rFonts w:ascii="Palatino Linotype" w:eastAsia="TheSerif-B5Plain" w:hAnsi="Palatino Linotype"/>
          <w:i/>
          <w:kern w:val="0"/>
          <w:sz w:val="20"/>
        </w:rPr>
      </w:pPr>
      <w:r w:rsidRPr="00D82AEF">
        <w:rPr>
          <w:rFonts w:ascii="Palatino Linotype" w:eastAsia="TheSerif-B5Plain" w:hAnsi="Palatino Linotype"/>
          <w:i/>
          <w:kern w:val="0"/>
          <w:sz w:val="20"/>
        </w:rPr>
        <w:t xml:space="preserve">Characterization of the </w:t>
      </w:r>
      <w:r>
        <w:rPr>
          <w:rFonts w:ascii="Palatino Linotype" w:eastAsia="TheSerif-B5Plain" w:hAnsi="Palatino Linotype"/>
          <w:i/>
          <w:kern w:val="0"/>
          <w:sz w:val="20"/>
        </w:rPr>
        <w:t>S</w:t>
      </w:r>
      <w:r w:rsidRPr="00D82AEF">
        <w:rPr>
          <w:rFonts w:ascii="Palatino Linotype" w:eastAsia="TheSerif-B5Plain" w:hAnsi="Palatino Linotype"/>
          <w:i/>
          <w:kern w:val="0"/>
          <w:sz w:val="20"/>
        </w:rPr>
        <w:t>ize of PGG</w:t>
      </w:r>
    </w:p>
    <w:p w:rsidR="00F31E99" w:rsidRDefault="00F31E99" w:rsidP="00FB1481">
      <w:pPr>
        <w:adjustRightInd w:val="0"/>
        <w:snapToGrid w:val="0"/>
        <w:spacing w:line="260" w:lineRule="exact"/>
        <w:ind w:firstLineChars="200" w:firstLine="400"/>
        <w:rPr>
          <w:rFonts w:ascii="Palatino Linotype" w:hAnsi="Palatino Linotype"/>
          <w:b/>
          <w:bCs/>
          <w:color w:val="000000"/>
          <w:kern w:val="0"/>
          <w:sz w:val="20"/>
          <w:szCs w:val="20"/>
        </w:rPr>
      </w:pPr>
      <w:r w:rsidRPr="00FB1481">
        <w:rPr>
          <w:rFonts w:ascii="Palatino Linotype" w:hAnsi="Palatino Linotype"/>
          <w:color w:val="000000"/>
          <w:kern w:val="0"/>
          <w:sz w:val="20"/>
          <w:szCs w:val="20"/>
        </w:rPr>
        <w:t xml:space="preserve">A mixed solvent system can induce the self–assembly of PGG. In the present work, ethanol/water and acetone/water solvent systems were chosen for inducing self–assembly so as to adjust the size of PGG. The size distributions are summarized in </w:t>
      </w:r>
      <w:bookmarkStart w:id="2" w:name="OLE_LINK21"/>
      <w:r w:rsidRPr="00FB1481">
        <w:rPr>
          <w:rFonts w:ascii="Palatino Linotype" w:hAnsi="Palatino Linotype"/>
          <w:color w:val="000000"/>
          <w:kern w:val="0"/>
          <w:sz w:val="20"/>
          <w:szCs w:val="20"/>
        </w:rPr>
        <w:t xml:space="preserve">Table 1 </w:t>
      </w:r>
      <w:bookmarkEnd w:id="2"/>
      <w:r w:rsidRPr="00FB1481">
        <w:rPr>
          <w:rFonts w:ascii="Palatino Linotype" w:hAnsi="Palatino Linotype"/>
          <w:color w:val="000000"/>
          <w:kern w:val="0"/>
          <w:sz w:val="20"/>
          <w:szCs w:val="20"/>
        </w:rPr>
        <w:t xml:space="preserve">and the optical microscopic images of PGG in different solvent systems are shown in Figure S1. Based on the data in Table 1 and Figure S1, it could be concluded that size distributions of PGG in ethanol/water with ratios of 3:1, 9:1 were smaller than that of PGG in acetone/water with a ratio of 3:1. </w:t>
      </w:r>
    </w:p>
    <w:p w:rsidR="00F31E99" w:rsidRPr="00FB1481" w:rsidRDefault="00F31E99" w:rsidP="00FB1481">
      <w:pPr>
        <w:adjustRightInd w:val="0"/>
        <w:snapToGrid w:val="0"/>
        <w:spacing w:line="260" w:lineRule="exact"/>
        <w:ind w:firstLineChars="200" w:firstLine="402"/>
        <w:rPr>
          <w:rFonts w:ascii="Palatino Linotype" w:hAnsi="Palatino Linotype"/>
          <w:b/>
          <w:bCs/>
          <w:color w:val="000000"/>
          <w:kern w:val="0"/>
          <w:sz w:val="20"/>
          <w:szCs w:val="20"/>
        </w:rPr>
      </w:pPr>
    </w:p>
    <w:p w:rsidR="00F31E99" w:rsidRDefault="00F31E99" w:rsidP="00FB1481">
      <w:pPr>
        <w:autoSpaceDE w:val="0"/>
        <w:autoSpaceDN w:val="0"/>
        <w:adjustRightInd w:val="0"/>
        <w:snapToGrid w:val="0"/>
        <w:spacing w:line="240" w:lineRule="exact"/>
        <w:jc w:val="center"/>
        <w:rPr>
          <w:rFonts w:ascii="Palatino Linotype" w:hAnsi="Palatino Linotype"/>
          <w:sz w:val="18"/>
        </w:rPr>
      </w:pPr>
      <w:r w:rsidRPr="00FB1481">
        <w:rPr>
          <w:rFonts w:ascii="Palatino Linotype" w:hAnsi="Palatino Linotype"/>
          <w:sz w:val="18"/>
        </w:rPr>
        <w:t>Table S1</w:t>
      </w:r>
      <w:r>
        <w:rPr>
          <w:rFonts w:ascii="Palatino Linotype" w:hAnsi="Palatino Linotype"/>
          <w:sz w:val="18"/>
        </w:rPr>
        <w:t>.</w:t>
      </w:r>
      <w:r w:rsidRPr="00FB1481">
        <w:rPr>
          <w:rFonts w:ascii="Palatino Linotype" w:hAnsi="Palatino Linotype"/>
          <w:sz w:val="18"/>
        </w:rPr>
        <w:t xml:space="preserve"> Size distributions of PGG in ethanol/water at 0:1, 3:1, 9:1 and acetone/water at 3:1</w:t>
      </w:r>
    </w:p>
    <w:p w:rsidR="00F31E99" w:rsidRPr="00FB1481" w:rsidRDefault="00F31E99" w:rsidP="00FB1481">
      <w:pPr>
        <w:autoSpaceDE w:val="0"/>
        <w:autoSpaceDN w:val="0"/>
        <w:adjustRightInd w:val="0"/>
        <w:snapToGrid w:val="0"/>
        <w:spacing w:line="240" w:lineRule="exact"/>
        <w:jc w:val="center"/>
        <w:rPr>
          <w:rFonts w:ascii="Palatino Linotype" w:hAnsi="Palatino Linotype"/>
          <w:b/>
          <w:color w:val="000000"/>
          <w:kern w:val="0"/>
        </w:rPr>
      </w:pPr>
    </w:p>
    <w:tbl>
      <w:tblPr>
        <w:tblpPr w:leftFromText="180" w:rightFromText="180" w:vertAnchor="text" w:horzAnchor="page" w:tblpXSpec="center" w:tblpY="46"/>
        <w:tblOverlap w:val="never"/>
        <w:tblW w:w="6899" w:type="dxa"/>
        <w:jc w:val="center"/>
        <w:tblBorders>
          <w:top w:val="single" w:sz="12" w:space="0" w:color="000000"/>
          <w:bottom w:val="single" w:sz="12" w:space="0" w:color="000000"/>
          <w:insideH w:val="single" w:sz="6" w:space="0" w:color="000000"/>
        </w:tblBorders>
        <w:tblLayout w:type="fixed"/>
        <w:tblLook w:val="00A0"/>
      </w:tblPr>
      <w:tblGrid>
        <w:gridCol w:w="3204"/>
        <w:gridCol w:w="3695"/>
      </w:tblGrid>
      <w:tr w:rsidR="00F31E99" w:rsidTr="00FB1481">
        <w:trPr>
          <w:trHeight w:val="251"/>
          <w:jc w:val="center"/>
        </w:trPr>
        <w:tc>
          <w:tcPr>
            <w:tcW w:w="3204" w:type="dxa"/>
            <w:tcBorders>
              <w:top w:val="single" w:sz="12" w:space="0" w:color="000000"/>
            </w:tcBorders>
            <w:vAlign w:val="center"/>
          </w:tcPr>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sz w:val="18"/>
              </w:rPr>
            </w:pPr>
            <w:r w:rsidRPr="00FB1481">
              <w:rPr>
                <w:rFonts w:ascii="Palatino Linotype" w:hAnsi="Palatino Linotype"/>
                <w:color w:val="000000"/>
                <w:kern w:val="0"/>
                <w:sz w:val="18"/>
              </w:rPr>
              <w:t>solvent</w:t>
            </w:r>
          </w:p>
        </w:tc>
        <w:tc>
          <w:tcPr>
            <w:tcW w:w="3695" w:type="dxa"/>
            <w:tcBorders>
              <w:top w:val="single" w:sz="12" w:space="0" w:color="000000"/>
            </w:tcBorders>
            <w:vAlign w:val="center"/>
          </w:tcPr>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sz w:val="18"/>
              </w:rPr>
            </w:pPr>
            <w:r w:rsidRPr="00FB1481">
              <w:rPr>
                <w:rFonts w:ascii="Palatino Linotype" w:hAnsi="Palatino Linotype"/>
                <w:color w:val="000000"/>
                <w:kern w:val="0"/>
                <w:sz w:val="18"/>
              </w:rPr>
              <w:t>size distribution (µm)</w:t>
            </w:r>
          </w:p>
        </w:tc>
      </w:tr>
      <w:tr w:rsidR="00F31E99" w:rsidTr="00FB1481">
        <w:trPr>
          <w:trHeight w:val="813"/>
          <w:jc w:val="center"/>
        </w:trPr>
        <w:tc>
          <w:tcPr>
            <w:tcW w:w="3204" w:type="dxa"/>
            <w:tcBorders>
              <w:bottom w:val="single" w:sz="12" w:space="0" w:color="000000"/>
            </w:tcBorders>
            <w:vAlign w:val="center"/>
          </w:tcPr>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ethanol/water (0:1)</w:t>
            </w:r>
          </w:p>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ethanol/water (3:1)</w:t>
            </w:r>
          </w:p>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ethanol/water (9:1)</w:t>
            </w:r>
          </w:p>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acetone/water (3:1)</w:t>
            </w:r>
          </w:p>
        </w:tc>
        <w:tc>
          <w:tcPr>
            <w:tcW w:w="3695" w:type="dxa"/>
            <w:tcBorders>
              <w:bottom w:val="single" w:sz="12" w:space="0" w:color="000000"/>
            </w:tcBorders>
            <w:vAlign w:val="center"/>
          </w:tcPr>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1~24</w:t>
            </w:r>
          </w:p>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1.2~13</w:t>
            </w:r>
          </w:p>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0.9~10</w:t>
            </w:r>
          </w:p>
          <w:p w:rsidR="00F31E99" w:rsidRPr="00FB1481" w:rsidRDefault="00F31E99" w:rsidP="00FB1481">
            <w:pPr>
              <w:autoSpaceDE w:val="0"/>
              <w:autoSpaceDN w:val="0"/>
              <w:adjustRightInd w:val="0"/>
              <w:snapToGrid w:val="0"/>
              <w:spacing w:line="480" w:lineRule="auto"/>
              <w:jc w:val="center"/>
              <w:rPr>
                <w:rFonts w:ascii="Palatino Linotype" w:hAnsi="Palatino Linotype"/>
                <w:color w:val="000000"/>
                <w:kern w:val="0"/>
                <w:sz w:val="18"/>
              </w:rPr>
            </w:pPr>
            <w:r w:rsidRPr="00FB1481">
              <w:rPr>
                <w:rFonts w:ascii="Palatino Linotype" w:hAnsi="Palatino Linotype"/>
                <w:color w:val="000000"/>
                <w:kern w:val="0"/>
                <w:sz w:val="18"/>
              </w:rPr>
              <w:t>1~25</w:t>
            </w:r>
          </w:p>
        </w:tc>
      </w:tr>
    </w:tbl>
    <w:p w:rsidR="00F31E99" w:rsidRDefault="00F31E99" w:rsidP="00D55F52">
      <w:pPr>
        <w:autoSpaceDE w:val="0"/>
        <w:autoSpaceDN w:val="0"/>
        <w:adjustRightInd w:val="0"/>
        <w:snapToGrid w:val="0"/>
        <w:spacing w:line="480" w:lineRule="auto"/>
        <w:rPr>
          <w:rFonts w:ascii="Times New Roman" w:hAnsi="Times New Roman"/>
          <w:b/>
          <w:color w:val="000000"/>
          <w:kern w:val="0"/>
          <w:sz w:val="24"/>
        </w:rPr>
      </w:pPr>
    </w:p>
    <w:p w:rsidR="00F31E99" w:rsidRDefault="00F31E99" w:rsidP="00D55F52">
      <w:pPr>
        <w:autoSpaceDE w:val="0"/>
        <w:autoSpaceDN w:val="0"/>
        <w:adjustRightInd w:val="0"/>
        <w:snapToGrid w:val="0"/>
        <w:spacing w:line="480" w:lineRule="auto"/>
        <w:rPr>
          <w:rFonts w:ascii="Times New Roman" w:hAnsi="Times New Roman"/>
          <w:b/>
          <w:color w:val="000000"/>
          <w:kern w:val="0"/>
          <w:sz w:val="24"/>
        </w:rPr>
      </w:pPr>
    </w:p>
    <w:p w:rsidR="00F31E99" w:rsidRDefault="00F31E99" w:rsidP="00D55F52">
      <w:pPr>
        <w:autoSpaceDE w:val="0"/>
        <w:autoSpaceDN w:val="0"/>
        <w:adjustRightInd w:val="0"/>
        <w:snapToGrid w:val="0"/>
        <w:spacing w:line="480" w:lineRule="auto"/>
        <w:rPr>
          <w:rFonts w:ascii="Times New Roman" w:hAnsi="Times New Roman"/>
          <w:b/>
          <w:color w:val="000000"/>
          <w:kern w:val="0"/>
          <w:sz w:val="24"/>
        </w:rPr>
      </w:pPr>
    </w:p>
    <w:p w:rsidR="00F31E99" w:rsidRDefault="00F31E99" w:rsidP="00D55F52">
      <w:pPr>
        <w:autoSpaceDE w:val="0"/>
        <w:autoSpaceDN w:val="0"/>
        <w:adjustRightInd w:val="0"/>
        <w:snapToGrid w:val="0"/>
        <w:spacing w:line="480" w:lineRule="auto"/>
        <w:rPr>
          <w:rFonts w:ascii="Times New Roman" w:hAnsi="Times New Roman"/>
          <w:b/>
          <w:color w:val="000000"/>
          <w:kern w:val="0"/>
          <w:sz w:val="24"/>
        </w:rPr>
      </w:pPr>
    </w:p>
    <w:p w:rsidR="00F31E99" w:rsidRDefault="00F31E99" w:rsidP="00D55F52">
      <w:pPr>
        <w:autoSpaceDE w:val="0"/>
        <w:autoSpaceDN w:val="0"/>
        <w:adjustRightInd w:val="0"/>
        <w:snapToGrid w:val="0"/>
        <w:spacing w:line="480" w:lineRule="auto"/>
        <w:rPr>
          <w:rFonts w:ascii="Times New Roman" w:hAnsi="Times New Roman"/>
          <w:b/>
          <w:color w:val="000000"/>
          <w:kern w:val="0"/>
          <w:sz w:val="24"/>
        </w:rPr>
      </w:pPr>
    </w:p>
    <w:p w:rsidR="00F31E99" w:rsidRDefault="00F31E99" w:rsidP="0015689C">
      <w:pPr>
        <w:autoSpaceDE w:val="0"/>
        <w:autoSpaceDN w:val="0"/>
        <w:adjustRightInd w:val="0"/>
        <w:snapToGrid w:val="0"/>
        <w:spacing w:line="480" w:lineRule="auto"/>
        <w:rPr>
          <w:rFonts w:ascii="Times New Roman" w:hAnsi="Times New Roman"/>
          <w:b/>
          <w:color w:val="000000"/>
          <w:kern w:val="0"/>
          <w:sz w:val="24"/>
        </w:rPr>
      </w:pPr>
    </w:p>
    <w:p w:rsidR="00F31E99" w:rsidRDefault="00F31E99" w:rsidP="0015689C">
      <w:pPr>
        <w:autoSpaceDE w:val="0"/>
        <w:autoSpaceDN w:val="0"/>
        <w:adjustRightInd w:val="0"/>
        <w:snapToGrid w:val="0"/>
        <w:spacing w:line="480" w:lineRule="auto"/>
        <w:rPr>
          <w:rFonts w:ascii="Times New Roman" w:hAnsi="Times New Roman"/>
          <w:b/>
          <w:color w:val="000000"/>
          <w:kern w:val="0"/>
          <w:sz w:val="24"/>
        </w:rPr>
      </w:pPr>
    </w:p>
    <w:p w:rsidR="00F31E99" w:rsidRDefault="00F31E99" w:rsidP="0015689C">
      <w:pPr>
        <w:autoSpaceDE w:val="0"/>
        <w:autoSpaceDN w:val="0"/>
        <w:adjustRightInd w:val="0"/>
        <w:snapToGrid w:val="0"/>
        <w:spacing w:line="480" w:lineRule="auto"/>
        <w:ind w:firstLineChars="400" w:firstLine="960"/>
        <w:rPr>
          <w:rFonts w:ascii="Times New Roman" w:eastAsia="Times New Roman" w:hAnsi="Times New Roman"/>
          <w:b/>
          <w:color w:val="000000"/>
          <w:kern w:val="0"/>
          <w:sz w:val="24"/>
        </w:rPr>
      </w:pPr>
      <w:r>
        <w:rPr>
          <w:noProof/>
        </w:rPr>
      </w:r>
      <w:r w:rsidRPr="00B62BC9">
        <w:rPr>
          <w:sz w:val="24"/>
        </w:rPr>
        <w:pict>
          <v:group id="组合 1" o:spid="_x0000_s1026" style="width:300.75pt;height:255pt;mso-position-horizontal-relative:char;mso-position-vertical-relative:line" coordorigin="1936,3360" coordsize="8949,5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73742851" o:spid="_x0000_s1027" type="#_x0000_t75" alt="3.2_副本_副本" style="position:absolute;left:1936;top:6303;width:4439;height:2883">
              <v:imagedata r:id="rId7" o:title=""/>
            </v:shape>
            <v:shape id="图片 1073742852" o:spid="_x0000_s1028" type="#_x0000_t75" alt="4.1_副本_副本" style="position:absolute;left:6447;top:6296;width:4439;height:2883">
              <v:imagedata r:id="rId8" o:title=""/>
            </v:shape>
            <v:shape id="图片 1073742854" o:spid="_x0000_s1029" type="#_x0000_t75" alt="1.2_副本_副本" style="position:absolute;left:1936;top:3360;width:4439;height:2883">
              <v:imagedata r:id="rId9" o:title=""/>
            </v:shape>
            <v:shape id="图片 1073742853" o:spid="_x0000_s1030" type="#_x0000_t75" alt="2_副本_副本" style="position:absolute;left:6447;top:3360;width:4438;height:2883">
              <v:imagedata r:id="rId10" o:title=""/>
            </v:shape>
            <w10:anchorlock/>
          </v:group>
        </w:pict>
      </w:r>
    </w:p>
    <w:p w:rsidR="00F31E99" w:rsidRDefault="00F31E99" w:rsidP="00D82AEF">
      <w:pPr>
        <w:autoSpaceDE w:val="0"/>
        <w:autoSpaceDN w:val="0"/>
        <w:adjustRightInd w:val="0"/>
        <w:snapToGrid w:val="0"/>
        <w:spacing w:line="240" w:lineRule="exact"/>
        <w:jc w:val="left"/>
        <w:rPr>
          <w:rFonts w:ascii="Palatino Linotype" w:hAnsi="Palatino Linotype"/>
          <w:color w:val="000000"/>
          <w:kern w:val="0"/>
          <w:sz w:val="18"/>
        </w:rPr>
      </w:pPr>
      <w:r w:rsidRPr="00FB1481">
        <w:rPr>
          <w:rFonts w:ascii="Palatino Linotype" w:hAnsi="Palatino Linotype"/>
          <w:b/>
          <w:bCs/>
          <w:color w:val="000000"/>
          <w:kern w:val="0"/>
          <w:sz w:val="18"/>
        </w:rPr>
        <w:t>Figure S1</w:t>
      </w:r>
      <w:r>
        <w:rPr>
          <w:rFonts w:ascii="Palatino Linotype" w:hAnsi="Palatino Linotype"/>
          <w:b/>
          <w:bCs/>
          <w:color w:val="000000"/>
          <w:kern w:val="0"/>
          <w:sz w:val="18"/>
        </w:rPr>
        <w:t>.</w:t>
      </w:r>
      <w:r w:rsidRPr="00FB1481">
        <w:rPr>
          <w:rFonts w:ascii="Palatino Linotype" w:hAnsi="Palatino Linotype"/>
          <w:b/>
          <w:bCs/>
          <w:color w:val="000000"/>
          <w:kern w:val="0"/>
          <w:sz w:val="18"/>
        </w:rPr>
        <w:t xml:space="preserve"> </w:t>
      </w:r>
      <w:r w:rsidRPr="00FB1481">
        <w:rPr>
          <w:rFonts w:ascii="Palatino Linotype" w:hAnsi="Palatino Linotype"/>
          <w:color w:val="000000"/>
          <w:kern w:val="0"/>
          <w:sz w:val="18"/>
        </w:rPr>
        <w:t xml:space="preserve">Optical microscopic images of PGG in ethanol/water ratios of </w:t>
      </w:r>
      <w:r w:rsidRPr="00FB1481">
        <w:rPr>
          <w:rFonts w:ascii="Palatino Linotype" w:hAnsi="Palatino Linotype"/>
          <w:b/>
          <w:color w:val="000000"/>
          <w:kern w:val="0"/>
          <w:sz w:val="18"/>
        </w:rPr>
        <w:t xml:space="preserve">(a) </w:t>
      </w:r>
      <w:r w:rsidRPr="00FB1481">
        <w:rPr>
          <w:rFonts w:ascii="Palatino Linotype" w:hAnsi="Palatino Linotype"/>
          <w:color w:val="000000"/>
          <w:kern w:val="0"/>
          <w:sz w:val="18"/>
        </w:rPr>
        <w:t xml:space="preserve">0:1, </w:t>
      </w:r>
      <w:r w:rsidRPr="00FB1481">
        <w:rPr>
          <w:rFonts w:ascii="Palatino Linotype" w:hAnsi="Palatino Linotype"/>
          <w:b/>
          <w:color w:val="000000"/>
          <w:kern w:val="0"/>
          <w:sz w:val="18"/>
        </w:rPr>
        <w:t xml:space="preserve">(b) </w:t>
      </w:r>
      <w:r w:rsidRPr="00FB1481">
        <w:rPr>
          <w:rFonts w:ascii="Palatino Linotype" w:hAnsi="Palatino Linotype"/>
          <w:color w:val="000000"/>
          <w:kern w:val="0"/>
          <w:sz w:val="18"/>
        </w:rPr>
        <w:t xml:space="preserve">3:1, </w:t>
      </w:r>
      <w:r w:rsidRPr="00FB1481">
        <w:rPr>
          <w:rFonts w:ascii="Palatino Linotype" w:hAnsi="Palatino Linotype"/>
          <w:b/>
          <w:color w:val="000000"/>
          <w:kern w:val="0"/>
          <w:sz w:val="18"/>
        </w:rPr>
        <w:t>(c)</w:t>
      </w:r>
      <w:r w:rsidRPr="00FB1481">
        <w:rPr>
          <w:rFonts w:ascii="Palatino Linotype" w:hAnsi="Palatino Linotype"/>
          <w:color w:val="000000"/>
          <w:kern w:val="0"/>
          <w:sz w:val="18"/>
        </w:rPr>
        <w:t xml:space="preserve"> 9:1 and </w:t>
      </w:r>
      <w:r w:rsidRPr="00FB1481">
        <w:rPr>
          <w:rFonts w:ascii="Palatino Linotype" w:hAnsi="Palatino Linotype"/>
          <w:b/>
          <w:color w:val="000000"/>
          <w:kern w:val="0"/>
          <w:sz w:val="18"/>
        </w:rPr>
        <w:t>(d)</w:t>
      </w:r>
      <w:r>
        <w:rPr>
          <w:rFonts w:ascii="Palatino Linotype" w:hAnsi="Palatino Linotype"/>
          <w:b/>
          <w:color w:val="000000"/>
          <w:kern w:val="0"/>
          <w:sz w:val="18"/>
        </w:rPr>
        <w:t xml:space="preserve"> </w:t>
      </w:r>
      <w:r w:rsidRPr="00FB1481">
        <w:rPr>
          <w:rFonts w:ascii="Palatino Linotype" w:hAnsi="Palatino Linotype"/>
          <w:color w:val="000000"/>
          <w:kern w:val="0"/>
          <w:sz w:val="18"/>
        </w:rPr>
        <w:t>acetone/water ratio of 3:1.</w:t>
      </w:r>
    </w:p>
    <w:p w:rsidR="00F31E99" w:rsidRDefault="00F31E99" w:rsidP="00D82AEF">
      <w:pPr>
        <w:autoSpaceDE w:val="0"/>
        <w:autoSpaceDN w:val="0"/>
        <w:adjustRightInd w:val="0"/>
        <w:snapToGrid w:val="0"/>
        <w:spacing w:line="240" w:lineRule="exact"/>
        <w:jc w:val="left"/>
        <w:rPr>
          <w:rFonts w:ascii="Palatino Linotype" w:hAnsi="Palatino Linotype"/>
          <w:color w:val="000000"/>
          <w:kern w:val="0"/>
          <w:sz w:val="18"/>
        </w:rPr>
      </w:pPr>
    </w:p>
    <w:p w:rsidR="00F31E99" w:rsidRPr="00232C68" w:rsidRDefault="00F31E99" w:rsidP="00B91EC4">
      <w:pPr>
        <w:pStyle w:val="ListParagraph"/>
        <w:numPr>
          <w:ilvl w:val="0"/>
          <w:numId w:val="1"/>
        </w:numPr>
        <w:autoSpaceDE w:val="0"/>
        <w:autoSpaceDN w:val="0"/>
        <w:adjustRightInd w:val="0"/>
        <w:snapToGrid w:val="0"/>
        <w:spacing w:before="240" w:after="120" w:line="240" w:lineRule="exact"/>
        <w:ind w:firstLineChars="0"/>
        <w:rPr>
          <w:rFonts w:ascii="Palatino Linotype" w:hAnsi="Palatino Linotype"/>
          <w:i/>
          <w:color w:val="FF0000"/>
          <w:kern w:val="0"/>
          <w:sz w:val="20"/>
        </w:rPr>
      </w:pPr>
      <w:r w:rsidRPr="00232C68">
        <w:rPr>
          <w:rFonts w:ascii="Palatino Linotype" w:eastAsia="TheSerif-B5Plain" w:hAnsi="Palatino Linotype"/>
          <w:i/>
          <w:color w:val="FF0000"/>
          <w:kern w:val="0"/>
          <w:sz w:val="20"/>
        </w:rPr>
        <w:t>Pore analysis for Figure 4d</w:t>
      </w:r>
    </w:p>
    <w:p w:rsidR="00F31E99" w:rsidRPr="00232C68" w:rsidRDefault="00F31E99" w:rsidP="00265478">
      <w:pPr>
        <w:autoSpaceDE w:val="0"/>
        <w:autoSpaceDN w:val="0"/>
        <w:adjustRightInd w:val="0"/>
        <w:snapToGrid w:val="0"/>
        <w:spacing w:line="260" w:lineRule="exact"/>
        <w:ind w:firstLineChars="98" w:firstLine="196"/>
        <w:rPr>
          <w:rFonts w:ascii="Palatino Linotype" w:hAnsi="Palatino Linotype"/>
          <w:color w:val="FF0000"/>
          <w:sz w:val="20"/>
          <w:shd w:val="clear" w:color="auto" w:fill="FFFFFF"/>
        </w:rPr>
      </w:pPr>
      <w:r w:rsidRPr="00232C68">
        <w:rPr>
          <w:rFonts w:ascii="Palatino Linotype" w:hAnsi="Palatino Linotype"/>
          <w:color w:val="FF0000"/>
          <w:sz w:val="20"/>
          <w:shd w:val="clear" w:color="auto" w:fill="FFFFFF"/>
        </w:rPr>
        <w:t xml:space="preserve">In this paper, the </w:t>
      </w:r>
      <w:r w:rsidRPr="00232C68">
        <w:rPr>
          <w:rFonts w:ascii="Palatino Linotype" w:eastAsia="TheSerif-B5Plain" w:hAnsi="Palatino Linotype"/>
          <w:bCs/>
          <w:color w:val="FF0000"/>
          <w:sz w:val="20"/>
        </w:rPr>
        <w:t xml:space="preserve">conventional image analysis software </w:t>
      </w:r>
      <w:r w:rsidRPr="00232C68">
        <w:rPr>
          <w:rFonts w:ascii="Palatino Linotype" w:hAnsi="Palatino Linotype"/>
          <w:color w:val="FF0000"/>
          <w:sz w:val="20"/>
        </w:rPr>
        <w:t xml:space="preserve">(Image J, </w:t>
      </w:r>
      <w:smartTag w:uri="urn:schemas-microsoft-com:office:smarttags" w:element="place">
        <w:smartTag w:uri="urn:schemas-microsoft-com:office:smarttags" w:element="City">
          <w:r w:rsidRPr="00232C68">
            <w:rPr>
              <w:rFonts w:ascii="Palatino Linotype" w:hAnsi="Palatino Linotype"/>
              <w:color w:val="FF0000"/>
              <w:sz w:val="20"/>
            </w:rPr>
            <w:t>Bethesda</w:t>
          </w:r>
        </w:smartTag>
        <w:r w:rsidRPr="00232C68">
          <w:rPr>
            <w:rFonts w:ascii="Palatino Linotype" w:hAnsi="Palatino Linotype"/>
            <w:color w:val="FF0000"/>
            <w:sz w:val="20"/>
          </w:rPr>
          <w:t xml:space="preserve">, </w:t>
        </w:r>
        <w:smartTag w:uri="urn:schemas-microsoft-com:office:smarttags" w:element="State">
          <w:r w:rsidRPr="00232C68">
            <w:rPr>
              <w:rFonts w:ascii="Palatino Linotype" w:hAnsi="Palatino Linotype"/>
              <w:color w:val="FF0000"/>
              <w:sz w:val="20"/>
            </w:rPr>
            <w:t>MD</w:t>
          </w:r>
        </w:smartTag>
      </w:smartTag>
      <w:r w:rsidRPr="00232C68">
        <w:rPr>
          <w:rFonts w:ascii="Palatino Linotype" w:hAnsi="Palatino Linotype"/>
          <w:color w:val="FF0000"/>
          <w:sz w:val="20"/>
        </w:rPr>
        <w:t>)</w:t>
      </w:r>
      <w:r w:rsidRPr="00232C68">
        <w:rPr>
          <w:rFonts w:ascii="Palatino Linotype" w:hAnsi="Palatino Linotype"/>
          <w:color w:val="FF0000"/>
          <w:sz w:val="20"/>
          <w:shd w:val="clear" w:color="auto" w:fill="FFFFFF"/>
        </w:rPr>
        <w:t xml:space="preserve"> was used to calculate and analyze porosity and pore size distribution in cross section of gradient film based on scanning electron microscopy (SEM) images. The specific operation steps were as follows:</w:t>
      </w:r>
    </w:p>
    <w:p w:rsidR="00F31E99" w:rsidRPr="008C212B" w:rsidRDefault="00F31E99" w:rsidP="008C212B">
      <w:pPr>
        <w:rPr>
          <w:rFonts w:ascii="Palatino Linotype" w:eastAsia="TheSerif-B5Plain" w:hAnsi="Palatino Linotype"/>
          <w:bCs/>
          <w:iCs/>
          <w:color w:val="FF0000"/>
          <w:sz w:val="20"/>
        </w:rPr>
      </w:pPr>
      <w:r w:rsidRPr="00232C68">
        <w:rPr>
          <w:rFonts w:ascii="Palatino Linotype" w:eastAsia="TheSerif-B5Plain" w:hAnsi="Palatino Linotype"/>
          <w:b/>
          <w:bCs/>
          <w:iCs/>
          <w:color w:val="FF0000"/>
          <w:sz w:val="20"/>
        </w:rPr>
        <w:t>Open the picture</w:t>
      </w:r>
      <w:r w:rsidRPr="008C212B">
        <w:rPr>
          <w:rFonts w:ascii="Palatino Linotype" w:eastAsia="TheSerif-B5Plain" w:hAnsi="Palatino Linotype"/>
          <w:bCs/>
          <w:iCs/>
          <w:color w:val="FF0000"/>
          <w:sz w:val="20"/>
        </w:rPr>
        <w:t>: File-&gt;Open-&gt;Image to be analyzed</w:t>
      </w:r>
      <w:r>
        <w:rPr>
          <w:rFonts w:ascii="Palatino Linotype" w:eastAsia="TheSerif-B5Plain" w:hAnsi="Palatino Linotype"/>
          <w:bCs/>
          <w:iCs/>
          <w:color w:val="FF0000"/>
          <w:sz w:val="20"/>
        </w:rPr>
        <w:t>.</w:t>
      </w:r>
    </w:p>
    <w:p w:rsidR="00F31E99" w:rsidRDefault="00F31E99" w:rsidP="008C212B">
      <w:pPr>
        <w:rPr>
          <w:rFonts w:ascii="Palatino Linotype" w:eastAsia="TheSerif-B5Plain" w:hAnsi="Palatino Linotype"/>
          <w:bCs/>
          <w:iCs/>
          <w:color w:val="FF0000"/>
          <w:sz w:val="20"/>
        </w:rPr>
      </w:pPr>
      <w:r w:rsidRPr="00232C68">
        <w:rPr>
          <w:rFonts w:ascii="Palatino Linotype" w:eastAsia="TheSerif-B5Plain" w:hAnsi="Palatino Linotype"/>
          <w:b/>
          <w:bCs/>
          <w:iCs/>
          <w:color w:val="FF0000"/>
          <w:sz w:val="20"/>
        </w:rPr>
        <w:t>Grayscale conversion</w:t>
      </w:r>
      <w:r w:rsidRPr="008C212B">
        <w:rPr>
          <w:rFonts w:ascii="Palatino Linotype" w:eastAsia="TheSerif-B5Plain" w:hAnsi="Palatino Linotype"/>
          <w:bCs/>
          <w:iCs/>
          <w:color w:val="FF0000"/>
          <w:sz w:val="20"/>
        </w:rPr>
        <w:t xml:space="preserve">: click Image-&gt;Type-&gt;8-bit grayscale. Color </w:t>
      </w:r>
      <w:r>
        <w:rPr>
          <w:rFonts w:ascii="Palatino Linotype" w:eastAsia="TheSerif-B5Plain" w:hAnsi="Palatino Linotype"/>
          <w:bCs/>
          <w:iCs/>
          <w:color w:val="FF0000"/>
          <w:sz w:val="20"/>
        </w:rPr>
        <w:t xml:space="preserve">SEM </w:t>
      </w:r>
      <w:r w:rsidRPr="00DB2074">
        <w:rPr>
          <w:rFonts w:ascii="Palatino Linotype" w:hAnsi="Palatino Linotype"/>
          <w:iCs/>
          <w:color w:val="FF0000"/>
          <w:sz w:val="20"/>
          <w:shd w:val="clear" w:color="auto" w:fill="FFFFFF"/>
        </w:rPr>
        <w:t xml:space="preserve">images </w:t>
      </w:r>
      <w:r>
        <w:rPr>
          <w:rFonts w:ascii="Palatino Linotype" w:hAnsi="Palatino Linotype"/>
          <w:iCs/>
          <w:color w:val="FF0000"/>
          <w:sz w:val="20"/>
          <w:shd w:val="clear" w:color="auto" w:fill="FFFFFF"/>
        </w:rPr>
        <w:t xml:space="preserve">were </w:t>
      </w:r>
      <w:r w:rsidRPr="00DB2074">
        <w:rPr>
          <w:rFonts w:ascii="Palatino Linotype" w:hAnsi="Palatino Linotype"/>
          <w:iCs/>
          <w:color w:val="FF0000"/>
          <w:sz w:val="20"/>
          <w:shd w:val="clear" w:color="auto" w:fill="FFFFFF"/>
        </w:rPr>
        <w:t>converted to 8-bit grayscale images</w:t>
      </w:r>
      <w:r w:rsidRPr="00DB2074">
        <w:rPr>
          <w:rFonts w:ascii="Palatino Linotype" w:hAnsi="Palatino Linotype"/>
          <w:i/>
          <w:iCs/>
          <w:color w:val="FF0000"/>
          <w:sz w:val="20"/>
          <w:shd w:val="clear" w:color="auto" w:fill="FFFFFF"/>
        </w:rPr>
        <w:t>.</w:t>
      </w:r>
      <w:r w:rsidRPr="008C212B">
        <w:rPr>
          <w:rFonts w:ascii="Palatino Linotype" w:eastAsia="TheSerif-B5Plain" w:hAnsi="Palatino Linotype"/>
          <w:bCs/>
          <w:iCs/>
          <w:color w:val="FF0000"/>
          <w:sz w:val="20"/>
        </w:rPr>
        <w:t xml:space="preserve"> The images were segmented using. Thirteen separate gray scale values were assigned to the porosity. Manually track holes in the thickness direction.</w:t>
      </w:r>
    </w:p>
    <w:p w:rsidR="00F31E99" w:rsidRDefault="00F31E99" w:rsidP="008C212B">
      <w:pPr>
        <w:rPr>
          <w:rFonts w:ascii="Palatino Linotype" w:eastAsia="TheSerif-B5Plain" w:hAnsi="Palatino Linotype"/>
          <w:bCs/>
          <w:iCs/>
          <w:color w:val="FF0000"/>
          <w:sz w:val="20"/>
        </w:rPr>
      </w:pPr>
      <w:r w:rsidRPr="00232C68">
        <w:rPr>
          <w:rFonts w:ascii="Palatino Linotype" w:eastAsia="TheSerif-B5Plain" w:hAnsi="Palatino Linotype"/>
          <w:b/>
          <w:bCs/>
          <w:iCs/>
          <w:color w:val="FF0000"/>
          <w:sz w:val="20"/>
        </w:rPr>
        <w:t>Select the threshold</w:t>
      </w:r>
      <w:r w:rsidRPr="008C212B">
        <w:rPr>
          <w:rFonts w:ascii="Palatino Linotype" w:eastAsia="TheSerif-B5Plain" w:hAnsi="Palatino Linotype"/>
          <w:bCs/>
          <w:iCs/>
          <w:color w:val="FF0000"/>
          <w:sz w:val="20"/>
        </w:rPr>
        <w:t xml:space="preserve">: click, Image-&gt;Adjust-&gt;Threshold, click on “Set” to set the threshold of the image. </w:t>
      </w:r>
      <w:r>
        <w:rPr>
          <w:rFonts w:ascii="Palatino Linotype" w:eastAsia="TheSerif-B5Plain" w:hAnsi="Palatino Linotype"/>
          <w:bCs/>
          <w:iCs/>
          <w:color w:val="FF0000"/>
          <w:sz w:val="20"/>
        </w:rPr>
        <w:t>T</w:t>
      </w:r>
      <w:r w:rsidRPr="008C212B">
        <w:rPr>
          <w:rFonts w:ascii="Palatino Linotype" w:eastAsia="TheSerif-B5Plain" w:hAnsi="Palatino Linotype"/>
          <w:bCs/>
          <w:iCs/>
          <w:color w:val="FF0000"/>
          <w:sz w:val="20"/>
        </w:rPr>
        <w:t xml:space="preserve">he </w:t>
      </w:r>
      <w:r>
        <w:rPr>
          <w:rFonts w:ascii="Palatino Linotype" w:eastAsia="TheSerif-B5Plain" w:hAnsi="Palatino Linotype"/>
          <w:bCs/>
          <w:iCs/>
          <w:color w:val="FF0000"/>
          <w:sz w:val="20"/>
        </w:rPr>
        <w:t xml:space="preserve">range of </w:t>
      </w:r>
      <w:r w:rsidRPr="008C212B">
        <w:rPr>
          <w:rFonts w:ascii="Palatino Linotype" w:eastAsia="TheSerif-B5Plain" w:hAnsi="Palatino Linotype"/>
          <w:bCs/>
          <w:iCs/>
          <w:color w:val="FF0000"/>
          <w:sz w:val="20"/>
        </w:rPr>
        <w:t>threshold</w:t>
      </w:r>
      <w:r>
        <w:rPr>
          <w:rFonts w:ascii="Palatino Linotype" w:eastAsia="TheSerif-B5Plain" w:hAnsi="Palatino Linotype"/>
          <w:bCs/>
          <w:iCs/>
          <w:color w:val="FF0000"/>
          <w:sz w:val="20"/>
        </w:rPr>
        <w:t xml:space="preserve"> was 0~255.</w:t>
      </w:r>
      <w:r w:rsidRPr="008C212B">
        <w:rPr>
          <w:rFonts w:ascii="Palatino Linotype" w:eastAsia="TheSerif-B5Plain" w:hAnsi="Palatino Linotype"/>
          <w:bCs/>
          <w:iCs/>
          <w:color w:val="FF0000"/>
          <w:sz w:val="20"/>
        </w:rPr>
        <w:t xml:space="preserve"> </w:t>
      </w:r>
    </w:p>
    <w:p w:rsidR="00F31E99" w:rsidRDefault="00F31E99" w:rsidP="008C212B">
      <w:pPr>
        <w:rPr>
          <w:rFonts w:ascii="Palatino Linotype" w:eastAsia="TheSerif-B5Plain" w:hAnsi="Palatino Linotype"/>
          <w:bCs/>
          <w:iCs/>
          <w:color w:val="FF0000"/>
          <w:sz w:val="20"/>
        </w:rPr>
      </w:pPr>
      <w:r w:rsidRPr="00232C68">
        <w:rPr>
          <w:rFonts w:ascii="Palatino Linotype" w:eastAsia="TheSerif-B5Plain" w:hAnsi="Palatino Linotype"/>
          <w:b/>
          <w:bCs/>
          <w:iCs/>
          <w:color w:val="FF0000"/>
          <w:sz w:val="20"/>
        </w:rPr>
        <w:t>Select “Analyze–Set Measurements” and choose the parameters to be measured</w:t>
      </w:r>
      <w:r w:rsidRPr="008C212B">
        <w:rPr>
          <w:rFonts w:ascii="Palatino Linotype" w:eastAsia="TheSerif-B5Plain" w:hAnsi="Palatino Linotype"/>
          <w:bCs/>
          <w:iCs/>
          <w:color w:val="FF0000"/>
          <w:sz w:val="20"/>
        </w:rPr>
        <w:t>. The parameters</w:t>
      </w:r>
      <w:r>
        <w:rPr>
          <w:rFonts w:ascii="Palatino Linotype" w:eastAsia="TheSerif-B5Plain" w:hAnsi="Palatino Linotype"/>
          <w:bCs/>
          <w:iCs/>
          <w:color w:val="FF0000"/>
          <w:sz w:val="20"/>
        </w:rPr>
        <w:t xml:space="preserve"> included b</w:t>
      </w:r>
      <w:r w:rsidRPr="00597B31">
        <w:rPr>
          <w:rFonts w:ascii="Palatino Linotype" w:eastAsia="TheSerif-B5Plain" w:hAnsi="Palatino Linotype"/>
          <w:bCs/>
          <w:iCs/>
          <w:color w:val="FF0000"/>
          <w:sz w:val="20"/>
        </w:rPr>
        <w:t>ackground color</w:t>
      </w:r>
      <w:r>
        <w:rPr>
          <w:rFonts w:ascii="Palatino Linotype" w:eastAsia="TheSerif-B5Plain" w:hAnsi="Palatino Linotype"/>
          <w:bCs/>
          <w:iCs/>
          <w:color w:val="FF0000"/>
          <w:sz w:val="20"/>
        </w:rPr>
        <w:t xml:space="preserve"> (c</w:t>
      </w:r>
      <w:r w:rsidRPr="00597B31">
        <w:rPr>
          <w:rFonts w:ascii="Palatino Linotype" w:eastAsia="TheSerif-B5Plain" w:hAnsi="Palatino Linotype"/>
          <w:bCs/>
          <w:iCs/>
          <w:color w:val="FF0000"/>
          <w:sz w:val="20"/>
        </w:rPr>
        <w:t>ontrast</w:t>
      </w:r>
      <w:r>
        <w:rPr>
          <w:rFonts w:ascii="Palatino Linotype" w:eastAsia="TheSerif-B5Plain" w:hAnsi="Palatino Linotype"/>
          <w:bCs/>
          <w:iCs/>
          <w:color w:val="FF0000"/>
          <w:sz w:val="20"/>
        </w:rPr>
        <w:t>ing</w:t>
      </w:r>
      <w:r w:rsidRPr="00597B31">
        <w:rPr>
          <w:rFonts w:ascii="Palatino Linotype" w:eastAsia="TheSerif-B5Plain" w:hAnsi="Palatino Linotype"/>
          <w:bCs/>
          <w:iCs/>
          <w:color w:val="FF0000"/>
          <w:sz w:val="20"/>
        </w:rPr>
        <w:t xml:space="preserve"> with the color of the hole</w:t>
      </w:r>
      <w:r>
        <w:rPr>
          <w:rFonts w:ascii="Palatino Linotype" w:eastAsia="TheSerif-B5Plain" w:hAnsi="Palatino Linotype"/>
          <w:bCs/>
          <w:iCs/>
          <w:color w:val="FF0000"/>
          <w:sz w:val="20"/>
        </w:rPr>
        <w:t>) and t</w:t>
      </w:r>
      <w:r w:rsidRPr="008C212B">
        <w:rPr>
          <w:rFonts w:ascii="Palatino Linotype" w:eastAsia="TheSerif-B5Plain" w:hAnsi="Palatino Linotype"/>
          <w:bCs/>
          <w:iCs/>
          <w:color w:val="FF0000"/>
          <w:sz w:val="20"/>
        </w:rPr>
        <w:t xml:space="preserve">he </w:t>
      </w:r>
      <w:r>
        <w:rPr>
          <w:rFonts w:ascii="Palatino Linotype" w:eastAsia="TheSerif-B5Plain" w:hAnsi="Palatino Linotype"/>
          <w:bCs/>
          <w:iCs/>
          <w:color w:val="FF0000"/>
          <w:sz w:val="20"/>
        </w:rPr>
        <w:t>range of pore size (1</w:t>
      </w:r>
      <w:r w:rsidRPr="00597B31">
        <w:rPr>
          <w:rFonts w:ascii="Palatino Linotype" w:eastAsia="TheSerif-B5Plain" w:hAnsi="Palatino Linotype"/>
          <w:bCs/>
          <w:iCs/>
          <w:color w:val="FF0000"/>
          <w:sz w:val="20"/>
        </w:rPr>
        <w:t>μm~∞</w:t>
      </w:r>
      <w:r>
        <w:rPr>
          <w:rFonts w:ascii="Palatino Linotype" w:eastAsia="TheSerif-B5Plain" w:hAnsi="Palatino Linotype"/>
          <w:bCs/>
          <w:iCs/>
          <w:color w:val="FF0000"/>
          <w:sz w:val="20"/>
        </w:rPr>
        <w:t>)</w:t>
      </w:r>
      <w:r w:rsidRPr="008C212B">
        <w:rPr>
          <w:rFonts w:ascii="Palatino Linotype" w:eastAsia="TheSerif-B5Plain" w:hAnsi="Palatino Linotype"/>
          <w:bCs/>
          <w:iCs/>
          <w:color w:val="FF0000"/>
          <w:sz w:val="20"/>
        </w:rPr>
        <w:t xml:space="preserve"> </w:t>
      </w:r>
      <w:r>
        <w:rPr>
          <w:rFonts w:ascii="Palatino Linotype" w:eastAsia="TheSerif-B5Plain" w:hAnsi="Palatino Linotype"/>
          <w:bCs/>
          <w:iCs/>
          <w:color w:val="FF0000"/>
          <w:sz w:val="20"/>
        </w:rPr>
        <w:t>for e</w:t>
      </w:r>
      <w:r w:rsidRPr="008C212B">
        <w:rPr>
          <w:rFonts w:ascii="Palatino Linotype" w:eastAsia="TheSerif-B5Plain" w:hAnsi="Palatino Linotype"/>
          <w:bCs/>
          <w:iCs/>
          <w:color w:val="FF0000"/>
          <w:sz w:val="20"/>
        </w:rPr>
        <w:t>nsur</w:t>
      </w:r>
      <w:r>
        <w:rPr>
          <w:rFonts w:ascii="Palatino Linotype" w:eastAsia="TheSerif-B5Plain" w:hAnsi="Palatino Linotype"/>
          <w:bCs/>
          <w:iCs/>
          <w:color w:val="FF0000"/>
          <w:sz w:val="20"/>
        </w:rPr>
        <w:t>ing</w:t>
      </w:r>
      <w:r w:rsidRPr="008C212B">
        <w:rPr>
          <w:rFonts w:ascii="Palatino Linotype" w:eastAsia="TheSerif-B5Plain" w:hAnsi="Palatino Linotype"/>
          <w:bCs/>
          <w:iCs/>
          <w:color w:val="FF0000"/>
          <w:sz w:val="20"/>
        </w:rPr>
        <w:t xml:space="preserve"> that all the gray level measurements </w:t>
      </w:r>
      <w:r>
        <w:rPr>
          <w:rFonts w:ascii="Palatino Linotype" w:eastAsia="TheSerif-B5Plain" w:hAnsi="Palatino Linotype"/>
          <w:bCs/>
          <w:iCs/>
          <w:color w:val="FF0000"/>
          <w:sz w:val="20"/>
        </w:rPr>
        <w:t>we</w:t>
      </w:r>
      <w:r w:rsidRPr="008C212B">
        <w:rPr>
          <w:rFonts w:ascii="Palatino Linotype" w:eastAsia="TheSerif-B5Plain" w:hAnsi="Palatino Linotype"/>
          <w:bCs/>
          <w:iCs/>
          <w:color w:val="FF0000"/>
          <w:sz w:val="20"/>
        </w:rPr>
        <w:t xml:space="preserve">re selected. </w:t>
      </w:r>
    </w:p>
    <w:p w:rsidR="00F31E99" w:rsidRPr="008C212B" w:rsidRDefault="00F31E99" w:rsidP="008C212B">
      <w:pPr>
        <w:rPr>
          <w:rFonts w:ascii="Palatino Linotype" w:eastAsia="TheSerif-B5Plain" w:hAnsi="Palatino Linotype"/>
          <w:bCs/>
          <w:iCs/>
          <w:color w:val="FF0000"/>
          <w:sz w:val="20"/>
        </w:rPr>
      </w:pPr>
      <w:r w:rsidRPr="00232C68">
        <w:rPr>
          <w:rFonts w:ascii="Palatino Linotype" w:eastAsia="TheSerif-B5Plain" w:hAnsi="Palatino Linotype"/>
          <w:b/>
          <w:bCs/>
          <w:iCs/>
          <w:color w:val="FF0000"/>
          <w:sz w:val="20"/>
        </w:rPr>
        <w:t>Select</w:t>
      </w:r>
      <w:r w:rsidRPr="00232C68">
        <w:rPr>
          <w:rFonts w:ascii="Palatino Linotype" w:eastAsia="TheSerif-B5Plain" w:hAnsi="Palatino Linotype" w:hint="eastAsia"/>
          <w:b/>
          <w:bCs/>
          <w:iCs/>
          <w:color w:val="FF0000"/>
          <w:sz w:val="20"/>
        </w:rPr>
        <w:t>“</w:t>
      </w:r>
      <w:r w:rsidRPr="00232C68">
        <w:rPr>
          <w:rFonts w:ascii="Palatino Linotype" w:eastAsia="TheSerif-B5Plain" w:hAnsi="Palatino Linotype"/>
          <w:b/>
          <w:bCs/>
          <w:iCs/>
          <w:color w:val="FF0000"/>
          <w:sz w:val="20"/>
        </w:rPr>
        <w:t>Analyze–Measure”/ “Analyze–Analyze Particles”</w:t>
      </w:r>
      <w:r w:rsidRPr="008C212B">
        <w:rPr>
          <w:rFonts w:ascii="Palatino Linotype" w:eastAsia="TheSerif-B5Plain" w:hAnsi="Palatino Linotype"/>
          <w:bCs/>
          <w:iCs/>
          <w:color w:val="FF0000"/>
          <w:sz w:val="20"/>
        </w:rPr>
        <w:t>.</w:t>
      </w:r>
      <w:r>
        <w:rPr>
          <w:rFonts w:ascii="Palatino Linotype" w:eastAsia="TheSerif-B5Plain" w:hAnsi="Palatino Linotype"/>
          <w:bCs/>
          <w:iCs/>
          <w:color w:val="FF0000"/>
          <w:sz w:val="20"/>
        </w:rPr>
        <w:t xml:space="preserve"> </w:t>
      </w:r>
      <w:r w:rsidRPr="00597B31">
        <w:rPr>
          <w:rFonts w:ascii="Palatino Linotype" w:eastAsia="TheSerif-B5Plain" w:hAnsi="Palatino Linotype"/>
          <w:bCs/>
          <w:iCs/>
          <w:color w:val="FF0000"/>
          <w:sz w:val="20"/>
        </w:rPr>
        <w:t xml:space="preserve">Outlines, Display Results </w:t>
      </w:r>
      <w:r>
        <w:rPr>
          <w:rFonts w:ascii="Palatino Linotype" w:eastAsia="TheSerif-B5Plain" w:hAnsi="Palatino Linotype"/>
          <w:bCs/>
          <w:iCs/>
          <w:color w:val="FF0000"/>
          <w:sz w:val="20"/>
        </w:rPr>
        <w:t xml:space="preserve">and </w:t>
      </w:r>
      <w:r w:rsidRPr="00597B31">
        <w:rPr>
          <w:rFonts w:ascii="Palatino Linotype" w:eastAsia="TheSerif-B5Plain" w:hAnsi="Palatino Linotype"/>
          <w:bCs/>
          <w:iCs/>
          <w:color w:val="FF0000"/>
          <w:sz w:val="20"/>
        </w:rPr>
        <w:t>Exclue on Edges</w:t>
      </w:r>
      <w:r>
        <w:rPr>
          <w:rFonts w:ascii="Palatino Linotype" w:eastAsia="TheSerif-B5Plain" w:hAnsi="Palatino Linotype"/>
          <w:bCs/>
          <w:iCs/>
          <w:color w:val="FF0000"/>
          <w:sz w:val="20"/>
        </w:rPr>
        <w:t xml:space="preserve"> were carried out.</w:t>
      </w:r>
    </w:p>
    <w:p w:rsidR="00F31E99" w:rsidRDefault="00F31E99" w:rsidP="008C212B">
      <w:pPr>
        <w:rPr>
          <w:rFonts w:ascii="Palatino Linotype" w:eastAsia="TheSerif-B5Plain" w:hAnsi="Palatino Linotype"/>
          <w:bCs/>
          <w:iCs/>
          <w:color w:val="FF0000"/>
          <w:sz w:val="20"/>
        </w:rPr>
      </w:pPr>
      <w:r w:rsidRPr="00232C68">
        <w:rPr>
          <w:rFonts w:ascii="Palatino Linotype" w:eastAsia="TheSerif-B5Plain" w:hAnsi="Palatino Linotype"/>
          <w:b/>
          <w:bCs/>
          <w:iCs/>
          <w:color w:val="FF0000"/>
          <w:sz w:val="20"/>
        </w:rPr>
        <w:t>Measurement</w:t>
      </w:r>
      <w:r w:rsidRPr="008C212B">
        <w:rPr>
          <w:rFonts w:ascii="Palatino Linotype" w:eastAsia="TheSerif-B5Plain" w:hAnsi="Palatino Linotype"/>
          <w:bCs/>
          <w:iCs/>
          <w:color w:val="FF0000"/>
          <w:sz w:val="20"/>
        </w:rPr>
        <w:t xml:space="preserve">: Use the statistical method to calculate the </w:t>
      </w:r>
      <w:r w:rsidRPr="00597B31">
        <w:rPr>
          <w:rFonts w:ascii="Palatino Linotype" w:eastAsia="TheSerif-B5Plain" w:hAnsi="Palatino Linotype"/>
          <w:bCs/>
          <w:color w:val="FF0000"/>
          <w:sz w:val="20"/>
        </w:rPr>
        <w:t>porosity</w:t>
      </w:r>
      <w:r>
        <w:rPr>
          <w:rFonts w:ascii="Palatino Linotype" w:eastAsia="TheSerif-B5Plain" w:hAnsi="Palatino Linotype"/>
          <w:bCs/>
          <w:iCs/>
          <w:color w:val="FF0000"/>
          <w:sz w:val="20"/>
        </w:rPr>
        <w:t xml:space="preserve"> </w:t>
      </w:r>
      <w:r w:rsidRPr="008C212B">
        <w:rPr>
          <w:rFonts w:ascii="Palatino Linotype" w:eastAsia="TheSerif-B5Plain" w:hAnsi="Palatino Linotype"/>
          <w:bCs/>
          <w:iCs/>
          <w:color w:val="FF0000"/>
          <w:sz w:val="20"/>
        </w:rPr>
        <w:t>[1</w:t>
      </w:r>
      <w:r>
        <w:rPr>
          <w:rFonts w:ascii="Palatino Linotype" w:eastAsia="TheSerif-B5Plain" w:hAnsi="Palatino Linotype"/>
          <w:bCs/>
          <w:iCs/>
          <w:color w:val="FF0000"/>
          <w:sz w:val="20"/>
        </w:rPr>
        <w:t>,</w:t>
      </w:r>
      <w:bookmarkStart w:id="3" w:name="_GoBack"/>
      <w:bookmarkEnd w:id="3"/>
      <w:r w:rsidRPr="008C212B">
        <w:rPr>
          <w:rFonts w:ascii="Palatino Linotype" w:eastAsia="TheSerif-B5Plain" w:hAnsi="Palatino Linotype"/>
          <w:bCs/>
          <w:iCs/>
          <w:color w:val="FF0000"/>
          <w:sz w:val="20"/>
        </w:rPr>
        <w:t>2]</w:t>
      </w:r>
      <w:r>
        <w:rPr>
          <w:rFonts w:ascii="Palatino Linotype" w:eastAsia="TheSerif-B5Plain" w:hAnsi="Palatino Linotype"/>
          <w:bCs/>
          <w:iCs/>
          <w:color w:val="FF0000"/>
          <w:sz w:val="20"/>
        </w:rPr>
        <w:t xml:space="preserve">. </w:t>
      </w:r>
      <w:r w:rsidRPr="008C212B">
        <w:rPr>
          <w:rFonts w:ascii="Palatino Linotype" w:eastAsia="TheSerif-B5Plain" w:hAnsi="Palatino Linotype"/>
          <w:bCs/>
          <w:iCs/>
          <w:color w:val="FF0000"/>
          <w:sz w:val="20"/>
        </w:rPr>
        <w:t>The error is ±2 pixels.</w:t>
      </w:r>
    </w:p>
    <w:p w:rsidR="00F31E99" w:rsidRDefault="00F31E99" w:rsidP="0091114F">
      <w:pPr>
        <w:rPr>
          <w:rFonts w:ascii="Palatino Linotype" w:eastAsia="TheSerif-B5Plain" w:hAnsi="Palatino Linotype"/>
          <w:bCs/>
          <w:iCs/>
          <w:color w:val="FF0000"/>
          <w:sz w:val="20"/>
        </w:rPr>
      </w:pPr>
    </w:p>
    <w:p w:rsidR="00F31E99" w:rsidRDefault="00F31E99" w:rsidP="0091114F">
      <w:pPr>
        <w:rPr>
          <w:rFonts w:ascii="Palatino Linotype" w:eastAsia="TheSerif-B5Plain" w:hAnsi="Palatino Linotype"/>
          <w:bCs/>
          <w:iCs/>
          <w:color w:val="FF0000"/>
          <w:sz w:val="20"/>
        </w:rPr>
      </w:pPr>
      <w:r>
        <w:rPr>
          <w:rFonts w:ascii="Palatino Linotype" w:eastAsia="TheSerif-B5Plain" w:hAnsi="Palatino Linotype"/>
          <w:bCs/>
          <w:iCs/>
          <w:color w:val="FF0000"/>
          <w:sz w:val="20"/>
        </w:rPr>
        <w:t xml:space="preserve">The </w:t>
      </w:r>
      <w:r w:rsidRPr="008C212B">
        <w:rPr>
          <w:rFonts w:ascii="Palatino Linotype" w:eastAsia="TheSerif-B5Plain" w:hAnsi="Palatino Linotype"/>
          <w:bCs/>
          <w:iCs/>
          <w:color w:val="FF0000"/>
          <w:sz w:val="20"/>
        </w:rPr>
        <w:t>statistical</w:t>
      </w:r>
      <w:r>
        <w:rPr>
          <w:rFonts w:ascii="Palatino Linotype" w:eastAsia="TheSerif-B5Plain" w:hAnsi="Palatino Linotype"/>
          <w:bCs/>
          <w:iCs/>
          <w:color w:val="FF0000"/>
          <w:sz w:val="20"/>
        </w:rPr>
        <w:t xml:space="preserve"> data were shown in Table S2.</w:t>
      </w:r>
    </w:p>
    <w:p w:rsidR="00F31E99" w:rsidRDefault="00F31E99" w:rsidP="0091114F">
      <w:pPr>
        <w:jc w:val="center"/>
        <w:rPr>
          <w:rFonts w:ascii="Palatino Linotype" w:eastAsia="TheSerif-B5Plain" w:hAnsi="Palatino Linotype"/>
          <w:bCs/>
          <w:iCs/>
          <w:color w:val="FF0000"/>
          <w:sz w:val="20"/>
        </w:rPr>
      </w:pPr>
    </w:p>
    <w:p w:rsidR="00F31E99" w:rsidRDefault="00F31E99" w:rsidP="0091114F">
      <w:pPr>
        <w:jc w:val="center"/>
        <w:rPr>
          <w:rFonts w:ascii="Palatino Linotype" w:eastAsia="TheSerif-B5Plain" w:hAnsi="Palatino Linotype"/>
          <w:bCs/>
          <w:iCs/>
          <w:color w:val="FF0000"/>
          <w:sz w:val="20"/>
        </w:rPr>
      </w:pPr>
    </w:p>
    <w:p w:rsidR="00F31E99" w:rsidRDefault="00F31E99" w:rsidP="0091114F">
      <w:pPr>
        <w:jc w:val="center"/>
        <w:rPr>
          <w:rFonts w:ascii="Palatino Linotype" w:eastAsia="TheSerif-B5Plain" w:hAnsi="Palatino Linotype"/>
          <w:bCs/>
          <w:iCs/>
          <w:color w:val="FF0000"/>
          <w:sz w:val="20"/>
        </w:rPr>
      </w:pPr>
    </w:p>
    <w:p w:rsidR="00F31E99" w:rsidRDefault="00F31E99" w:rsidP="0091114F">
      <w:pPr>
        <w:jc w:val="center"/>
        <w:rPr>
          <w:rFonts w:ascii="Palatino Linotype" w:eastAsia="TheSerif-B5Plain" w:hAnsi="Palatino Linotype"/>
          <w:bCs/>
          <w:iCs/>
          <w:color w:val="FF0000"/>
          <w:sz w:val="20"/>
        </w:rPr>
      </w:pPr>
    </w:p>
    <w:p w:rsidR="00F31E99" w:rsidRDefault="00F31E99" w:rsidP="0091114F">
      <w:pPr>
        <w:jc w:val="center"/>
        <w:rPr>
          <w:rFonts w:ascii="Palatino Linotype" w:eastAsia="TheSerif-B5Plain" w:hAnsi="Palatino Linotype"/>
          <w:bCs/>
          <w:iCs/>
          <w:color w:val="FF0000"/>
          <w:sz w:val="20"/>
        </w:rPr>
      </w:pPr>
    </w:p>
    <w:p w:rsidR="00F31E99" w:rsidRDefault="00F31E99" w:rsidP="0091114F">
      <w:pPr>
        <w:jc w:val="center"/>
        <w:rPr>
          <w:rFonts w:ascii="Palatino Linotype" w:hAnsi="Palatino Linotype"/>
          <w:color w:val="FF0000"/>
          <w:sz w:val="18"/>
        </w:rPr>
      </w:pPr>
    </w:p>
    <w:p w:rsidR="00F31E99" w:rsidRPr="00232C68" w:rsidRDefault="00F31E99" w:rsidP="0091114F">
      <w:pPr>
        <w:jc w:val="center"/>
        <w:rPr>
          <w:rFonts w:ascii="Palatino Linotype" w:hAnsi="Palatino Linotype"/>
          <w:color w:val="FF0000"/>
          <w:sz w:val="18"/>
        </w:rPr>
      </w:pPr>
      <w:r w:rsidRPr="00232C68">
        <w:rPr>
          <w:rFonts w:ascii="Palatino Linotype" w:hAnsi="Palatino Linotype"/>
          <w:color w:val="FF0000"/>
          <w:sz w:val="18"/>
        </w:rPr>
        <w:t xml:space="preserve">Table S2. Porosity statistics of gelatin substrate </w:t>
      </w:r>
      <w:bookmarkStart w:id="4" w:name="OLE_LINK8"/>
      <w:bookmarkStart w:id="5" w:name="OLE_LINK10"/>
      <w:r w:rsidRPr="00232C68">
        <w:rPr>
          <w:rFonts w:ascii="Palatino Linotype" w:hAnsi="Palatino Linotype"/>
          <w:color w:val="FF0000"/>
          <w:sz w:val="18"/>
        </w:rPr>
        <w:t>from top to bottom</w:t>
      </w:r>
      <w:bookmarkEnd w:id="4"/>
      <w:bookmarkEnd w:id="5"/>
      <w:r w:rsidRPr="00232C68">
        <w:rPr>
          <w:rFonts w:ascii="Palatino Linotype" w:hAnsi="Palatino Linotype"/>
          <w:color w:val="FF0000"/>
          <w:sz w:val="18"/>
        </w:rPr>
        <w:t>.</w:t>
      </w:r>
    </w:p>
    <w:tbl>
      <w:tblPr>
        <w:tblW w:w="0" w:type="auto"/>
        <w:jc w:val="center"/>
        <w:tblLook w:val="00A0"/>
      </w:tblPr>
      <w:tblGrid>
        <w:gridCol w:w="1704"/>
        <w:gridCol w:w="1704"/>
        <w:gridCol w:w="1704"/>
      </w:tblGrid>
      <w:tr w:rsidR="00F31E99" w:rsidRPr="00232C68" w:rsidTr="005A1887">
        <w:trPr>
          <w:jc w:val="center"/>
        </w:trPr>
        <w:tc>
          <w:tcPr>
            <w:tcW w:w="1704" w:type="dxa"/>
            <w:tcBorders>
              <w:top w:val="single" w:sz="18" w:space="0" w:color="auto"/>
              <w:bottom w:val="single" w:sz="12"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Depth/μm</w:t>
            </w:r>
          </w:p>
        </w:tc>
        <w:tc>
          <w:tcPr>
            <w:tcW w:w="1704" w:type="dxa"/>
            <w:tcBorders>
              <w:top w:val="single" w:sz="18" w:space="0" w:color="auto"/>
              <w:bottom w:val="single" w:sz="12"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Porosity/%</w:t>
            </w:r>
          </w:p>
        </w:tc>
        <w:tc>
          <w:tcPr>
            <w:tcW w:w="1704" w:type="dxa"/>
            <w:tcBorders>
              <w:top w:val="single" w:sz="18" w:space="0" w:color="auto"/>
              <w:bottom w:val="single" w:sz="12"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Error/%</w:t>
            </w:r>
          </w:p>
        </w:tc>
      </w:tr>
      <w:tr w:rsidR="00F31E99" w:rsidRPr="00232C68" w:rsidTr="005A1887">
        <w:trPr>
          <w:jc w:val="center"/>
        </w:trPr>
        <w:tc>
          <w:tcPr>
            <w:tcW w:w="1704" w:type="dxa"/>
            <w:tcBorders>
              <w:top w:val="single" w:sz="12"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75</w:t>
            </w:r>
          </w:p>
        </w:tc>
        <w:tc>
          <w:tcPr>
            <w:tcW w:w="1704" w:type="dxa"/>
            <w:tcBorders>
              <w:top w:val="single" w:sz="12"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89.43</w:t>
            </w:r>
          </w:p>
        </w:tc>
        <w:tc>
          <w:tcPr>
            <w:tcW w:w="1704" w:type="dxa"/>
            <w:tcBorders>
              <w:top w:val="single" w:sz="12"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0.1905</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225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87.99</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0.2138</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375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84.52</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0.1826</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525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79.45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0.2121</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675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73.34</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0.1709</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825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67.88</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0.1649</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975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64.54</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0.1568</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1125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60.72</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0.1491</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1275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58.86</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0.1353</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1425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57.47</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0.1329</w:t>
            </w:r>
          </w:p>
        </w:tc>
      </w:tr>
      <w:tr w:rsidR="00F31E99" w:rsidRPr="00232C68" w:rsidTr="005A1887">
        <w:trPr>
          <w:jc w:val="center"/>
        </w:trPr>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1575</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49.39</w:t>
            </w:r>
          </w:p>
        </w:tc>
        <w:tc>
          <w:tcPr>
            <w:tcW w:w="1704" w:type="dxa"/>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0.1302</w:t>
            </w:r>
          </w:p>
        </w:tc>
      </w:tr>
      <w:tr w:rsidR="00F31E99" w:rsidRPr="00232C68" w:rsidTr="005A1887">
        <w:trPr>
          <w:jc w:val="center"/>
        </w:trPr>
        <w:tc>
          <w:tcPr>
            <w:tcW w:w="1704" w:type="dxa"/>
            <w:tcBorders>
              <w:bottom w:val="single" w:sz="18"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1725</w:t>
            </w:r>
          </w:p>
        </w:tc>
        <w:tc>
          <w:tcPr>
            <w:tcW w:w="1704" w:type="dxa"/>
            <w:tcBorders>
              <w:bottom w:val="single" w:sz="18"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35.9</w:t>
            </w:r>
          </w:p>
        </w:tc>
        <w:tc>
          <w:tcPr>
            <w:tcW w:w="1704" w:type="dxa"/>
            <w:tcBorders>
              <w:bottom w:val="single" w:sz="18" w:space="0" w:color="auto"/>
            </w:tcBorders>
          </w:tcPr>
          <w:p w:rsidR="00F31E99" w:rsidRPr="005A1887" w:rsidRDefault="00F31E99" w:rsidP="005A1887">
            <w:pPr>
              <w:jc w:val="center"/>
              <w:rPr>
                <w:rFonts w:ascii="Palatino Linotype" w:hAnsi="Palatino Linotype"/>
                <w:color w:val="FF0000"/>
                <w:sz w:val="18"/>
              </w:rPr>
            </w:pPr>
            <w:r w:rsidRPr="005A1887">
              <w:rPr>
                <w:rFonts w:ascii="Palatino Linotype" w:hAnsi="Palatino Linotype"/>
                <w:color w:val="FF0000"/>
                <w:sz w:val="18"/>
              </w:rPr>
              <w:t>0.1005</w:t>
            </w:r>
          </w:p>
        </w:tc>
      </w:tr>
    </w:tbl>
    <w:p w:rsidR="00F31E99" w:rsidRPr="008C212B" w:rsidRDefault="00F31E99" w:rsidP="002359BE">
      <w:pPr>
        <w:ind w:firstLine="396"/>
        <w:rPr>
          <w:rFonts w:ascii="Palatino Linotype" w:eastAsia="TheSerif-B5Plain" w:hAnsi="Palatino Linotype"/>
          <w:bCs/>
          <w:iCs/>
          <w:color w:val="FF0000"/>
          <w:sz w:val="20"/>
        </w:rPr>
      </w:pPr>
    </w:p>
    <w:p w:rsidR="00F31E99" w:rsidRPr="00D82AEF" w:rsidRDefault="00F31E99" w:rsidP="00D82AEF">
      <w:pPr>
        <w:pStyle w:val="ListParagraph"/>
        <w:numPr>
          <w:ilvl w:val="0"/>
          <w:numId w:val="1"/>
        </w:numPr>
        <w:autoSpaceDE w:val="0"/>
        <w:autoSpaceDN w:val="0"/>
        <w:adjustRightInd w:val="0"/>
        <w:snapToGrid w:val="0"/>
        <w:spacing w:before="240" w:after="120" w:line="240" w:lineRule="exact"/>
        <w:ind w:left="340" w:hangingChars="170" w:hanging="340"/>
        <w:rPr>
          <w:rFonts w:ascii="Palatino Linotype" w:hAnsi="Palatino Linotype"/>
          <w:i/>
          <w:color w:val="000000"/>
          <w:kern w:val="0"/>
          <w:sz w:val="20"/>
        </w:rPr>
      </w:pPr>
      <w:r w:rsidRPr="00D82AEF">
        <w:rPr>
          <w:rFonts w:ascii="Palatino Linotype" w:eastAsia="TheSerif-B5Plain" w:hAnsi="Palatino Linotype"/>
          <w:i/>
          <w:kern w:val="0"/>
          <w:sz w:val="20"/>
        </w:rPr>
        <w:t xml:space="preserve">DMA of </w:t>
      </w:r>
      <w:r>
        <w:rPr>
          <w:rFonts w:ascii="Palatino Linotype" w:eastAsia="TheSerif-B5Plain" w:hAnsi="Palatino Linotype"/>
          <w:i/>
          <w:kern w:val="0"/>
          <w:sz w:val="20"/>
        </w:rPr>
        <w:t>G</w:t>
      </w:r>
      <w:r w:rsidRPr="00D82AEF">
        <w:rPr>
          <w:rFonts w:ascii="Palatino Linotype" w:eastAsia="TheSerif-B5Plain" w:hAnsi="Palatino Linotype"/>
          <w:i/>
          <w:kern w:val="0"/>
          <w:sz w:val="20"/>
        </w:rPr>
        <w:t xml:space="preserve">radient </w:t>
      </w:r>
      <w:r>
        <w:rPr>
          <w:rFonts w:ascii="Palatino Linotype" w:eastAsia="TheSerif-B5Plain" w:hAnsi="Palatino Linotype"/>
          <w:i/>
          <w:kern w:val="0"/>
          <w:sz w:val="20"/>
        </w:rPr>
        <w:t>M</w:t>
      </w:r>
      <w:r w:rsidRPr="00D82AEF">
        <w:rPr>
          <w:rFonts w:ascii="Palatino Linotype" w:eastAsia="TheSerif-B5Plain" w:hAnsi="Palatino Linotype"/>
          <w:i/>
          <w:kern w:val="0"/>
          <w:sz w:val="20"/>
        </w:rPr>
        <w:t xml:space="preserve">aterial of </w:t>
      </w:r>
      <w:r>
        <w:rPr>
          <w:rFonts w:ascii="Palatino Linotype" w:eastAsia="TheSerif-B5Plain" w:hAnsi="Palatino Linotype"/>
          <w:i/>
          <w:kern w:val="0"/>
          <w:sz w:val="20"/>
        </w:rPr>
        <w:t>T</w:t>
      </w:r>
      <w:r w:rsidRPr="00D82AEF">
        <w:rPr>
          <w:rFonts w:ascii="Palatino Linotype" w:eastAsia="TheSerif-B5Plain" w:hAnsi="Palatino Linotype"/>
          <w:i/>
          <w:kern w:val="0"/>
          <w:sz w:val="20"/>
        </w:rPr>
        <w:t xml:space="preserve">op layer, </w:t>
      </w:r>
      <w:r>
        <w:rPr>
          <w:rFonts w:ascii="Palatino Linotype" w:eastAsia="TheSerif-B5Plain" w:hAnsi="Palatino Linotype"/>
          <w:i/>
          <w:kern w:val="0"/>
          <w:sz w:val="20"/>
        </w:rPr>
        <w:t>I</w:t>
      </w:r>
      <w:r w:rsidRPr="00D82AEF">
        <w:rPr>
          <w:rFonts w:ascii="Palatino Linotype" w:eastAsia="TheSerif-B5Plain" w:hAnsi="Palatino Linotype"/>
          <w:i/>
          <w:kern w:val="0"/>
          <w:sz w:val="20"/>
        </w:rPr>
        <w:t>nterlayer</w:t>
      </w:r>
      <w:r>
        <w:rPr>
          <w:rFonts w:ascii="Palatino Linotype" w:eastAsia="TheSerif-B5Plain" w:hAnsi="Palatino Linotype"/>
          <w:i/>
          <w:kern w:val="0"/>
          <w:sz w:val="20"/>
        </w:rPr>
        <w:t xml:space="preserve"> and</w:t>
      </w:r>
      <w:r w:rsidRPr="00D82AEF">
        <w:rPr>
          <w:rFonts w:ascii="Palatino Linotype" w:eastAsia="TheSerif-B5Plain" w:hAnsi="Palatino Linotype"/>
          <w:i/>
          <w:kern w:val="0"/>
          <w:sz w:val="20"/>
        </w:rPr>
        <w:t xml:space="preserve"> </w:t>
      </w:r>
      <w:r>
        <w:rPr>
          <w:rFonts w:ascii="Palatino Linotype" w:eastAsia="TheSerif-B5Plain" w:hAnsi="Palatino Linotype"/>
          <w:i/>
          <w:kern w:val="0"/>
          <w:sz w:val="20"/>
        </w:rPr>
        <w:t>B</w:t>
      </w:r>
      <w:r w:rsidRPr="00D82AEF">
        <w:rPr>
          <w:rFonts w:ascii="Palatino Linotype" w:eastAsia="TheSerif-B5Plain" w:hAnsi="Palatino Linotype"/>
          <w:i/>
          <w:kern w:val="0"/>
          <w:sz w:val="20"/>
        </w:rPr>
        <w:t>ottom layer</w:t>
      </w:r>
    </w:p>
    <w:p w:rsidR="00F31E99" w:rsidRDefault="00F31E99" w:rsidP="00943279">
      <w:pPr>
        <w:autoSpaceDE w:val="0"/>
        <w:autoSpaceDN w:val="0"/>
        <w:adjustRightInd w:val="0"/>
        <w:snapToGrid w:val="0"/>
        <w:spacing w:line="240" w:lineRule="exact"/>
        <w:ind w:firstLineChars="200" w:firstLine="420"/>
        <w:rPr>
          <w:rFonts w:ascii="Palatino Linotype" w:hAnsi="Palatino Linotype"/>
          <w:color w:val="000000"/>
          <w:kern w:val="0"/>
          <w:sz w:val="20"/>
        </w:rPr>
      </w:pPr>
      <w:r>
        <w:rPr>
          <w:noProof/>
        </w:rPr>
        <w:pict>
          <v:group id="_x0000_s1031" style="position:absolute;left:0;text-align:left;margin-left:14.25pt;margin-top:57.25pt;width:395.35pt;height:146.7pt;z-index:251658240" coordorigin="2931,157818" coordsize="7979,2958">
            <v:shape id="_x0000_s1032" type="#_x0000_t75" alt="21" style="position:absolute;left:6996;top:157818;width:3914;height:2957">
              <v:imagedata r:id="rId11" o:title="" croptop="6392f" cropbottom="2134f" cropleft="3982f" cropright="8185f"/>
            </v:shape>
            <v:shape id="_x0000_s1033" type="#_x0000_t75" alt="22" style="position:absolute;left:2931;top:157834;width:4017;height:2943">
              <v:imagedata r:id="rId12" o:title="" croptop="6861f" cropbottom="1833f" cropleft="2046f" cropright="8620f"/>
            </v:shape>
            <w10:wrap type="topAndBottom"/>
          </v:group>
        </w:pict>
      </w:r>
      <w:r w:rsidRPr="00D82AEF">
        <w:rPr>
          <w:rFonts w:ascii="Palatino Linotype" w:hAnsi="Palatino Linotype"/>
          <w:color w:val="000000"/>
          <w:kern w:val="0"/>
          <w:sz w:val="20"/>
        </w:rPr>
        <w:t xml:space="preserve">The gradient material was sliced into three sections from the top to bottom, and the mechanical performances of three slices were analyzed by DMA. DMA analyses showed that the mechanical properties </w:t>
      </w:r>
      <w:r w:rsidRPr="00D82AEF">
        <w:rPr>
          <w:rFonts w:ascii="Palatino Linotype" w:hAnsi="Palatino Linotype"/>
          <w:bCs/>
          <w:color w:val="000000"/>
          <w:kern w:val="0"/>
          <w:sz w:val="20"/>
        </w:rPr>
        <w:t xml:space="preserve">had a </w:t>
      </w:r>
      <w:r w:rsidRPr="00D82AEF">
        <w:rPr>
          <w:rFonts w:ascii="Palatino Linotype" w:hAnsi="Palatino Linotype"/>
          <w:color w:val="000000"/>
          <w:kern w:val="0"/>
          <w:sz w:val="20"/>
        </w:rPr>
        <w:t xml:space="preserve">typical gradation along the thickness of the material, as shown in Figure </w:t>
      </w:r>
      <w:r w:rsidRPr="00D82AEF">
        <w:rPr>
          <w:rFonts w:ascii="Palatino Linotype" w:hAnsi="Palatino Linotype"/>
          <w:sz w:val="20"/>
        </w:rPr>
        <w:t>S2</w:t>
      </w:r>
      <w:r w:rsidRPr="00D82AEF">
        <w:rPr>
          <w:rFonts w:ascii="Palatino Linotype" w:hAnsi="Palatino Linotype"/>
          <w:color w:val="000000"/>
          <w:kern w:val="0"/>
          <w:sz w:val="20"/>
        </w:rPr>
        <w:t>.</w:t>
      </w:r>
    </w:p>
    <w:p w:rsidR="00F31E99" w:rsidRPr="00D82AEF" w:rsidRDefault="00F31E99" w:rsidP="00D82AEF">
      <w:pPr>
        <w:autoSpaceDE w:val="0"/>
        <w:autoSpaceDN w:val="0"/>
        <w:adjustRightInd w:val="0"/>
        <w:snapToGrid w:val="0"/>
        <w:spacing w:line="240" w:lineRule="exact"/>
        <w:rPr>
          <w:rFonts w:ascii="Palatino Linotype" w:hAnsi="Palatino Linotype"/>
          <w:color w:val="000000"/>
          <w:kern w:val="0"/>
          <w:sz w:val="20"/>
        </w:rPr>
      </w:pPr>
    </w:p>
    <w:p w:rsidR="00F31E99" w:rsidRDefault="00F31E99" w:rsidP="00D82AEF">
      <w:pPr>
        <w:autoSpaceDE w:val="0"/>
        <w:autoSpaceDN w:val="0"/>
        <w:adjustRightInd w:val="0"/>
        <w:snapToGrid w:val="0"/>
        <w:spacing w:line="240" w:lineRule="exact"/>
        <w:jc w:val="left"/>
        <w:rPr>
          <w:rFonts w:ascii="Palatino Linotype" w:hAnsi="Palatino Linotype"/>
          <w:color w:val="000000"/>
          <w:kern w:val="0"/>
          <w:sz w:val="18"/>
        </w:rPr>
      </w:pPr>
      <w:r w:rsidRPr="00D82AEF">
        <w:rPr>
          <w:rFonts w:ascii="Palatino Linotype" w:hAnsi="Palatino Linotype"/>
          <w:b/>
          <w:color w:val="000000"/>
          <w:kern w:val="0"/>
          <w:sz w:val="18"/>
        </w:rPr>
        <w:t xml:space="preserve">Figure </w:t>
      </w:r>
      <w:r w:rsidRPr="00D82AEF">
        <w:rPr>
          <w:rFonts w:ascii="Palatino Linotype" w:hAnsi="Palatino Linotype"/>
          <w:b/>
          <w:sz w:val="18"/>
        </w:rPr>
        <w:t>S2</w:t>
      </w:r>
      <w:r>
        <w:rPr>
          <w:rFonts w:ascii="Palatino Linotype" w:hAnsi="Palatino Linotype"/>
          <w:b/>
          <w:sz w:val="18"/>
        </w:rPr>
        <w:t>.</w:t>
      </w:r>
      <w:r w:rsidRPr="00D82AEF">
        <w:rPr>
          <w:rFonts w:ascii="Palatino Linotype" w:hAnsi="Palatino Linotype"/>
          <w:b/>
          <w:color w:val="000000"/>
          <w:kern w:val="0"/>
          <w:sz w:val="18"/>
        </w:rPr>
        <w:t xml:space="preserve"> </w:t>
      </w:r>
      <w:r w:rsidRPr="00D82AEF">
        <w:rPr>
          <w:rFonts w:ascii="Palatino Linotype" w:hAnsi="Palatino Linotype"/>
          <w:color w:val="000000"/>
          <w:kern w:val="0"/>
          <w:sz w:val="18"/>
        </w:rPr>
        <w:t>Storage–moduli and loss–moduli of the top, interlayer, and bottom sections, as measured by DMA in the tensile mode.</w:t>
      </w:r>
    </w:p>
    <w:p w:rsidR="00F31E99" w:rsidRDefault="00F31E99" w:rsidP="00D82AEF">
      <w:pPr>
        <w:autoSpaceDE w:val="0"/>
        <w:autoSpaceDN w:val="0"/>
        <w:adjustRightInd w:val="0"/>
        <w:snapToGrid w:val="0"/>
        <w:spacing w:line="240" w:lineRule="exact"/>
        <w:jc w:val="left"/>
        <w:rPr>
          <w:rFonts w:ascii="Palatino Linotype" w:hAnsi="Palatino Linotype"/>
          <w:color w:val="000000"/>
          <w:kern w:val="0"/>
          <w:sz w:val="18"/>
        </w:rPr>
      </w:pPr>
    </w:p>
    <w:p w:rsidR="00F31E99" w:rsidRDefault="00F31E99" w:rsidP="00D82AEF">
      <w:pPr>
        <w:autoSpaceDE w:val="0"/>
        <w:autoSpaceDN w:val="0"/>
        <w:adjustRightInd w:val="0"/>
        <w:snapToGrid w:val="0"/>
        <w:spacing w:line="240" w:lineRule="exact"/>
        <w:jc w:val="left"/>
        <w:rPr>
          <w:rFonts w:ascii="Palatino Linotype" w:hAnsi="Palatino Linotype"/>
          <w:color w:val="000000"/>
          <w:kern w:val="0"/>
          <w:sz w:val="18"/>
        </w:rPr>
      </w:pPr>
    </w:p>
    <w:p w:rsidR="00F31E99" w:rsidRPr="00345F2F" w:rsidRDefault="00F31E99" w:rsidP="001C1078">
      <w:pPr>
        <w:pStyle w:val="MDPI21heading1"/>
        <w:spacing w:before="0" w:after="0" w:line="260" w:lineRule="exact"/>
        <w:rPr>
          <w:color w:val="FF0000"/>
        </w:rPr>
      </w:pPr>
      <w:r w:rsidRPr="00345F2F">
        <w:rPr>
          <w:color w:val="FF0000"/>
        </w:rPr>
        <w:t>References</w:t>
      </w:r>
    </w:p>
    <w:p w:rsidR="00F31E99" w:rsidRPr="00345F2F" w:rsidRDefault="00F31E99" w:rsidP="001C1078">
      <w:pPr>
        <w:pStyle w:val="Heading3"/>
        <w:shd w:val="clear" w:color="auto" w:fill="FFFFFF"/>
        <w:adjustRightInd w:val="0"/>
        <w:snapToGrid w:val="0"/>
        <w:spacing w:before="0" w:beforeAutospacing="0" w:after="0" w:afterAutospacing="0" w:line="260" w:lineRule="exact"/>
        <w:ind w:left="400" w:hangingChars="200" w:hanging="400"/>
        <w:jc w:val="both"/>
        <w:rPr>
          <w:rFonts w:ascii="Palatino Linotype" w:eastAsia="TheSerif-B5Plain" w:hAnsi="Palatino Linotype" w:cs="Times New Roman"/>
          <w:b w:val="0"/>
          <w:iCs/>
          <w:color w:val="FF0000"/>
          <w:kern w:val="2"/>
          <w:sz w:val="20"/>
          <w:szCs w:val="20"/>
        </w:rPr>
      </w:pPr>
      <w:r>
        <w:rPr>
          <w:rFonts w:ascii="Palatino Linotype" w:eastAsia="TheSerif-B5Plain" w:hAnsi="Palatino Linotype" w:cs="Times New Roman"/>
          <w:b w:val="0"/>
          <w:iCs/>
          <w:color w:val="FF0000"/>
          <w:kern w:val="2"/>
          <w:sz w:val="20"/>
          <w:szCs w:val="20"/>
        </w:rPr>
        <w:t>[1]</w:t>
      </w:r>
      <w:r w:rsidRPr="00345F2F">
        <w:rPr>
          <w:rFonts w:ascii="Palatino Linotype" w:eastAsia="TheSerif-B5Plain" w:hAnsi="Palatino Linotype" w:cs="Times New Roman"/>
          <w:b w:val="0"/>
          <w:iCs/>
          <w:color w:val="FF0000"/>
          <w:kern w:val="2"/>
          <w:sz w:val="20"/>
          <w:szCs w:val="20"/>
        </w:rPr>
        <w:t> </w:t>
      </w:r>
      <w:r w:rsidRPr="00345F2F">
        <w:rPr>
          <w:rFonts w:ascii="Palatino Linotype" w:eastAsia="TheSerif-B5Plain" w:hAnsi="Palatino Linotype" w:cs="Times New Roman"/>
          <w:b w:val="0"/>
          <w:iCs/>
          <w:color w:val="FF0000"/>
          <w:kern w:val="2"/>
          <w:sz w:val="20"/>
          <w:szCs w:val="24"/>
        </w:rPr>
        <w:t xml:space="preserve"> Jensen</w:t>
      </w:r>
      <w:r>
        <w:rPr>
          <w:rFonts w:ascii="Palatino Linotype" w:eastAsia="TheSerif-B5Plain" w:hAnsi="Palatino Linotype" w:cs="Times New Roman"/>
          <w:b w:val="0"/>
          <w:iCs/>
          <w:color w:val="FF0000"/>
          <w:kern w:val="2"/>
          <w:sz w:val="20"/>
          <w:szCs w:val="24"/>
        </w:rPr>
        <w:t>, E.C.</w:t>
      </w:r>
      <w:r>
        <w:rPr>
          <w:rFonts w:ascii="Arial" w:hAnsi="Arial" w:cs="Arial"/>
          <w:color w:val="006621"/>
          <w:sz w:val="20"/>
          <w:szCs w:val="20"/>
          <w:shd w:val="clear" w:color="auto" w:fill="FFFFFF"/>
        </w:rPr>
        <w:t> </w:t>
      </w:r>
      <w:hyperlink r:id="rId13" w:history="1">
        <w:r w:rsidRPr="00345F2F">
          <w:rPr>
            <w:rFonts w:ascii="Palatino Linotype" w:eastAsia="TheSerif-B5Plain" w:hAnsi="Palatino Linotype" w:cs="Times New Roman"/>
            <w:b w:val="0"/>
            <w:iCs/>
            <w:color w:val="FF0000"/>
            <w:kern w:val="2"/>
            <w:sz w:val="20"/>
            <w:szCs w:val="20"/>
          </w:rPr>
          <w:t>Quantitative analysis of histological staining an</w:t>
        </w:r>
        <w:r>
          <w:rPr>
            <w:rFonts w:ascii="Palatino Linotype" w:eastAsia="TheSerif-B5Plain" w:hAnsi="Palatino Linotype" w:cs="Times New Roman"/>
            <w:b w:val="0"/>
            <w:iCs/>
            <w:color w:val="FF0000"/>
            <w:kern w:val="2"/>
            <w:sz w:val="20"/>
            <w:szCs w:val="20"/>
          </w:rPr>
          <w:t xml:space="preserve">d fluorescence using </w:t>
        </w:r>
        <w:r w:rsidRPr="00345F2F">
          <w:rPr>
            <w:rFonts w:ascii="Palatino Linotype" w:eastAsia="TheSerif-B5Plain" w:hAnsi="Palatino Linotype" w:cs="Times New Roman"/>
            <w:b w:val="0"/>
            <w:iCs/>
            <w:color w:val="FF0000"/>
            <w:kern w:val="2"/>
            <w:sz w:val="20"/>
            <w:szCs w:val="20"/>
          </w:rPr>
          <w:t>ImageJ</w:t>
        </w:r>
      </w:hyperlink>
      <w:r>
        <w:rPr>
          <w:rFonts w:ascii="Palatino Linotype" w:eastAsia="TheSerif-B5Plain" w:hAnsi="Palatino Linotype" w:cs="Times New Roman"/>
          <w:b w:val="0"/>
          <w:iCs/>
          <w:color w:val="FF0000"/>
          <w:kern w:val="2"/>
          <w:sz w:val="20"/>
          <w:szCs w:val="20"/>
        </w:rPr>
        <w:t xml:space="preserve">. </w:t>
      </w:r>
      <w:r w:rsidRPr="00345F2F">
        <w:rPr>
          <w:rFonts w:ascii="Palatino Linotype" w:eastAsia="TheSerif-B5Plain" w:hAnsi="Palatino Linotype" w:cs="Times New Roman"/>
          <w:b w:val="0"/>
          <w:bCs w:val="0"/>
          <w:iCs/>
          <w:color w:val="FF0000"/>
          <w:sz w:val="20"/>
        </w:rPr>
        <w:t xml:space="preserve">The anatomical record </w:t>
      </w:r>
      <w:r w:rsidRPr="00345F2F">
        <w:rPr>
          <w:rFonts w:ascii="Palatino Linotype" w:eastAsia="TheSerif-B5Plain" w:hAnsi="Palatino Linotype" w:cs="Times New Roman"/>
          <w:bCs w:val="0"/>
          <w:iCs/>
          <w:color w:val="FF0000"/>
          <w:sz w:val="20"/>
        </w:rPr>
        <w:t>2013</w:t>
      </w:r>
      <w:r>
        <w:rPr>
          <w:rFonts w:ascii="Palatino Linotype" w:eastAsia="TheSerif-B5Plain" w:hAnsi="Palatino Linotype" w:cs="Times New Roman"/>
          <w:b w:val="0"/>
          <w:bCs w:val="0"/>
          <w:iCs/>
          <w:color w:val="FF0000"/>
          <w:sz w:val="20"/>
        </w:rPr>
        <w:t xml:space="preserve">, </w:t>
      </w:r>
      <w:r w:rsidRPr="00345F2F">
        <w:rPr>
          <w:rFonts w:ascii="Palatino Linotype" w:eastAsia="TheSerif-B5Plain" w:hAnsi="Palatino Linotype" w:cs="Times New Roman"/>
          <w:b w:val="0"/>
          <w:bCs w:val="0"/>
          <w:i/>
          <w:iCs/>
          <w:color w:val="FF0000"/>
          <w:sz w:val="20"/>
        </w:rPr>
        <w:t>296</w:t>
      </w:r>
      <w:r>
        <w:rPr>
          <w:rFonts w:ascii="Palatino Linotype" w:eastAsia="TheSerif-B5Plain" w:hAnsi="Palatino Linotype" w:cs="Times New Roman"/>
          <w:b w:val="0"/>
          <w:bCs w:val="0"/>
          <w:iCs/>
          <w:color w:val="FF0000"/>
          <w:sz w:val="20"/>
        </w:rPr>
        <w:t xml:space="preserve">, </w:t>
      </w:r>
      <w:r w:rsidRPr="00345F2F">
        <w:rPr>
          <w:rFonts w:ascii="Palatino Linotype" w:eastAsia="TheSerif-B5Plain" w:hAnsi="Palatino Linotype" w:cs="Times New Roman"/>
          <w:b w:val="0"/>
          <w:bCs w:val="0"/>
          <w:iCs/>
          <w:color w:val="FF0000"/>
          <w:sz w:val="20"/>
        </w:rPr>
        <w:t>378–381</w:t>
      </w:r>
      <w:r>
        <w:rPr>
          <w:rFonts w:ascii="Palatino Linotype" w:eastAsia="TheSerif-B5Plain" w:hAnsi="Palatino Linotype" w:cs="Times New Roman"/>
          <w:b w:val="0"/>
          <w:bCs w:val="0"/>
          <w:iCs/>
          <w:color w:val="FF0000"/>
          <w:sz w:val="20"/>
        </w:rPr>
        <w:t>.</w:t>
      </w:r>
    </w:p>
    <w:p w:rsidR="00F31E99" w:rsidRPr="008C212B" w:rsidRDefault="00F31E99" w:rsidP="001C1078">
      <w:pPr>
        <w:autoSpaceDE w:val="0"/>
        <w:autoSpaceDN w:val="0"/>
        <w:adjustRightInd w:val="0"/>
        <w:snapToGrid w:val="0"/>
        <w:spacing w:line="260" w:lineRule="exact"/>
        <w:jc w:val="left"/>
        <w:rPr>
          <w:rFonts w:ascii="Palatino Linotype" w:eastAsia="TheSerif-B5Plain" w:hAnsi="Palatino Linotype"/>
          <w:bCs/>
          <w:iCs/>
          <w:color w:val="FF0000"/>
          <w:sz w:val="20"/>
        </w:rPr>
      </w:pPr>
      <w:r w:rsidRPr="008C212B">
        <w:rPr>
          <w:rFonts w:ascii="Palatino Linotype" w:eastAsia="TheSerif-B5Plain" w:hAnsi="Palatino Linotype"/>
          <w:bCs/>
          <w:iCs/>
          <w:color w:val="FF0000"/>
          <w:sz w:val="20"/>
        </w:rPr>
        <w:t xml:space="preserve">[2] </w:t>
      </w:r>
      <w:r>
        <w:rPr>
          <w:rFonts w:ascii="Palatino Linotype" w:eastAsia="TheSerif-B5Plain" w:hAnsi="Palatino Linotype"/>
          <w:bCs/>
          <w:iCs/>
          <w:color w:val="FF0000"/>
          <w:sz w:val="20"/>
        </w:rPr>
        <w:t xml:space="preserve"> </w:t>
      </w:r>
      <w:r w:rsidRPr="008C212B">
        <w:rPr>
          <w:rFonts w:ascii="Palatino Linotype" w:eastAsia="TheSerif-B5Plain" w:hAnsi="Palatino Linotype"/>
          <w:bCs/>
          <w:iCs/>
          <w:color w:val="FF0000"/>
          <w:sz w:val="20"/>
        </w:rPr>
        <w:t xml:space="preserve">The ImageJ User Guide 1.44 Tiago Ferreira • Wayne Rasband. February </w:t>
      </w:r>
      <w:r w:rsidRPr="00345F2F">
        <w:rPr>
          <w:rFonts w:ascii="Palatino Linotype" w:eastAsia="TheSerif-B5Plain" w:hAnsi="Palatino Linotype"/>
          <w:b/>
          <w:bCs/>
          <w:iCs/>
          <w:color w:val="FF0000"/>
          <w:sz w:val="20"/>
        </w:rPr>
        <w:t>2011</w:t>
      </w:r>
      <w:r>
        <w:rPr>
          <w:rFonts w:ascii="Palatino Linotype" w:eastAsia="TheSerif-B5Plain" w:hAnsi="Palatino Linotype"/>
          <w:bCs/>
          <w:iCs/>
          <w:color w:val="FF0000"/>
          <w:sz w:val="20"/>
        </w:rPr>
        <w:t xml:space="preserve">, </w:t>
      </w:r>
      <w:r w:rsidRPr="00345F2F">
        <w:rPr>
          <w:rFonts w:ascii="Palatino Linotype" w:eastAsia="TheSerif-B5Plain" w:hAnsi="Palatino Linotype"/>
          <w:bCs/>
          <w:i/>
          <w:iCs/>
          <w:color w:val="FF0000"/>
          <w:sz w:val="20"/>
        </w:rPr>
        <w:t>9</w:t>
      </w:r>
      <w:r>
        <w:rPr>
          <w:rFonts w:ascii="Palatino Linotype" w:eastAsia="TheSerif-B5Plain" w:hAnsi="Palatino Linotype"/>
          <w:bCs/>
          <w:iCs/>
          <w:color w:val="FF0000"/>
          <w:sz w:val="20"/>
        </w:rPr>
        <w:t>.</w:t>
      </w:r>
      <w:r w:rsidRPr="008C212B">
        <w:rPr>
          <w:rFonts w:ascii="Palatino Linotype" w:eastAsia="TheSerif-B5Plain" w:hAnsi="Palatino Linotype"/>
          <w:bCs/>
          <w:iCs/>
          <w:color w:val="FF0000"/>
          <w:sz w:val="20"/>
        </w:rPr>
        <w:t xml:space="preserve"> </w:t>
      </w:r>
    </w:p>
    <w:p w:rsidR="00F31E99" w:rsidRPr="00D82AEF" w:rsidRDefault="00F31E99" w:rsidP="00D82AEF">
      <w:pPr>
        <w:autoSpaceDE w:val="0"/>
        <w:autoSpaceDN w:val="0"/>
        <w:adjustRightInd w:val="0"/>
        <w:snapToGrid w:val="0"/>
        <w:spacing w:line="240" w:lineRule="exact"/>
        <w:jc w:val="left"/>
        <w:rPr>
          <w:rFonts w:ascii="Palatino Linotype" w:hAnsi="Palatino Linotype"/>
          <w:color w:val="000000"/>
          <w:kern w:val="0"/>
          <w:sz w:val="18"/>
        </w:rPr>
      </w:pPr>
    </w:p>
    <w:sectPr w:rsidR="00F31E99" w:rsidRPr="00D82AEF" w:rsidSect="000A1F2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E99" w:rsidRDefault="00F31E99" w:rsidP="00D55F52">
      <w:r>
        <w:separator/>
      </w:r>
    </w:p>
  </w:endnote>
  <w:endnote w:type="continuationSeparator" w:id="0">
    <w:p w:rsidR="00F31E99" w:rsidRDefault="00F31E99" w:rsidP="00D55F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FZXH1JW--GB1-0">
    <w:altName w:val="Times New Roman"/>
    <w:panose1 w:val="00000000000000000000"/>
    <w:charset w:val="00"/>
    <w:family w:val="roman"/>
    <w:notTrueType/>
    <w:pitch w:val="default"/>
    <w:sig w:usb0="00000003" w:usb1="00000000" w:usb2="00000000" w:usb3="00000000" w:csb0="00000001" w:csb1="00000000"/>
  </w:font>
  <w:font w:name="TheSerif-B5Plain">
    <w:altName w:val="方正舒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E99" w:rsidRDefault="00F31E99" w:rsidP="00D55F52">
      <w:r>
        <w:separator/>
      </w:r>
    </w:p>
  </w:footnote>
  <w:footnote w:type="continuationSeparator" w:id="0">
    <w:p w:rsidR="00F31E99" w:rsidRDefault="00F31E99" w:rsidP="00D55F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5051C"/>
    <w:multiLevelType w:val="hybridMultilevel"/>
    <w:tmpl w:val="D6480D34"/>
    <w:lvl w:ilvl="0" w:tplc="CDCEE7DA">
      <w:start w:val="1"/>
      <w:numFmt w:val="decimal"/>
      <w:pStyle w:val="MDPI37itemize"/>
      <w:lvlText w:val="%1."/>
      <w:lvlJc w:val="left"/>
      <w:pPr>
        <w:ind w:left="1429" w:hanging="360"/>
      </w:pPr>
      <w:rPr>
        <w:rFonts w:cs="Times New Roman"/>
      </w:rPr>
    </w:lvl>
    <w:lvl w:ilvl="1" w:tplc="08070019" w:tentative="1">
      <w:start w:val="1"/>
      <w:numFmt w:val="lowerLetter"/>
      <w:lvlText w:val="%2."/>
      <w:lvlJc w:val="left"/>
      <w:pPr>
        <w:ind w:left="2149" w:hanging="360"/>
      </w:pPr>
      <w:rPr>
        <w:rFonts w:cs="Times New Roman"/>
      </w:rPr>
    </w:lvl>
    <w:lvl w:ilvl="2" w:tplc="0807001B" w:tentative="1">
      <w:start w:val="1"/>
      <w:numFmt w:val="lowerRoman"/>
      <w:lvlText w:val="%3."/>
      <w:lvlJc w:val="right"/>
      <w:pPr>
        <w:ind w:left="2869" w:hanging="180"/>
      </w:pPr>
      <w:rPr>
        <w:rFonts w:cs="Times New Roman"/>
      </w:rPr>
    </w:lvl>
    <w:lvl w:ilvl="3" w:tplc="0807000F" w:tentative="1">
      <w:start w:val="1"/>
      <w:numFmt w:val="decimal"/>
      <w:lvlText w:val="%4."/>
      <w:lvlJc w:val="left"/>
      <w:pPr>
        <w:ind w:left="3589" w:hanging="360"/>
      </w:pPr>
      <w:rPr>
        <w:rFonts w:cs="Times New Roman"/>
      </w:rPr>
    </w:lvl>
    <w:lvl w:ilvl="4" w:tplc="08070019" w:tentative="1">
      <w:start w:val="1"/>
      <w:numFmt w:val="lowerLetter"/>
      <w:lvlText w:val="%5."/>
      <w:lvlJc w:val="left"/>
      <w:pPr>
        <w:ind w:left="4309" w:hanging="360"/>
      </w:pPr>
      <w:rPr>
        <w:rFonts w:cs="Times New Roman"/>
      </w:rPr>
    </w:lvl>
    <w:lvl w:ilvl="5" w:tplc="0807001B" w:tentative="1">
      <w:start w:val="1"/>
      <w:numFmt w:val="lowerRoman"/>
      <w:lvlText w:val="%6."/>
      <w:lvlJc w:val="right"/>
      <w:pPr>
        <w:ind w:left="5029" w:hanging="180"/>
      </w:pPr>
      <w:rPr>
        <w:rFonts w:cs="Times New Roman"/>
      </w:rPr>
    </w:lvl>
    <w:lvl w:ilvl="6" w:tplc="0807000F" w:tentative="1">
      <w:start w:val="1"/>
      <w:numFmt w:val="decimal"/>
      <w:lvlText w:val="%7."/>
      <w:lvlJc w:val="left"/>
      <w:pPr>
        <w:ind w:left="5749" w:hanging="360"/>
      </w:pPr>
      <w:rPr>
        <w:rFonts w:cs="Times New Roman"/>
      </w:rPr>
    </w:lvl>
    <w:lvl w:ilvl="7" w:tplc="08070019" w:tentative="1">
      <w:start w:val="1"/>
      <w:numFmt w:val="lowerLetter"/>
      <w:lvlText w:val="%8."/>
      <w:lvlJc w:val="left"/>
      <w:pPr>
        <w:ind w:left="6469" w:hanging="360"/>
      </w:pPr>
      <w:rPr>
        <w:rFonts w:cs="Times New Roman"/>
      </w:rPr>
    </w:lvl>
    <w:lvl w:ilvl="8" w:tplc="0807001B" w:tentative="1">
      <w:start w:val="1"/>
      <w:numFmt w:val="lowerRoman"/>
      <w:lvlText w:val="%9."/>
      <w:lvlJc w:val="right"/>
      <w:pPr>
        <w:ind w:left="7189" w:hanging="180"/>
      </w:pPr>
      <w:rPr>
        <w:rFonts w:cs="Times New Roman"/>
      </w:rPr>
    </w:lvl>
  </w:abstractNum>
  <w:abstractNum w:abstractNumId="1">
    <w:nsid w:val="415F2E4B"/>
    <w:multiLevelType w:val="hybridMultilevel"/>
    <w:tmpl w:val="4D9A6B48"/>
    <w:lvl w:ilvl="0" w:tplc="0602E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6204BB1"/>
    <w:rsid w:val="00044C48"/>
    <w:rsid w:val="00060FE2"/>
    <w:rsid w:val="000A1F24"/>
    <w:rsid w:val="000B4D73"/>
    <w:rsid w:val="00104B97"/>
    <w:rsid w:val="00116737"/>
    <w:rsid w:val="0015689C"/>
    <w:rsid w:val="00177A3E"/>
    <w:rsid w:val="00177B4C"/>
    <w:rsid w:val="001C1078"/>
    <w:rsid w:val="00232C68"/>
    <w:rsid w:val="002359BE"/>
    <w:rsid w:val="002531B8"/>
    <w:rsid w:val="002553F8"/>
    <w:rsid w:val="00256BDD"/>
    <w:rsid w:val="00265478"/>
    <w:rsid w:val="00276606"/>
    <w:rsid w:val="002A19E2"/>
    <w:rsid w:val="002C378B"/>
    <w:rsid w:val="002D1A31"/>
    <w:rsid w:val="002F645E"/>
    <w:rsid w:val="00311420"/>
    <w:rsid w:val="00345F2F"/>
    <w:rsid w:val="003464D6"/>
    <w:rsid w:val="0035681C"/>
    <w:rsid w:val="0037423D"/>
    <w:rsid w:val="00384A63"/>
    <w:rsid w:val="00422DEE"/>
    <w:rsid w:val="00424A85"/>
    <w:rsid w:val="004259BC"/>
    <w:rsid w:val="00435342"/>
    <w:rsid w:val="004F3356"/>
    <w:rsid w:val="00544DB1"/>
    <w:rsid w:val="0055321D"/>
    <w:rsid w:val="00573C9F"/>
    <w:rsid w:val="00597B31"/>
    <w:rsid w:val="005A1887"/>
    <w:rsid w:val="005A61B9"/>
    <w:rsid w:val="005A6D9A"/>
    <w:rsid w:val="00604673"/>
    <w:rsid w:val="00667BC8"/>
    <w:rsid w:val="00690C16"/>
    <w:rsid w:val="0069468A"/>
    <w:rsid w:val="006B00C4"/>
    <w:rsid w:val="006C61B8"/>
    <w:rsid w:val="007209C1"/>
    <w:rsid w:val="00744C9D"/>
    <w:rsid w:val="0077791B"/>
    <w:rsid w:val="0083223B"/>
    <w:rsid w:val="008449BB"/>
    <w:rsid w:val="008C212B"/>
    <w:rsid w:val="008D0667"/>
    <w:rsid w:val="008D5875"/>
    <w:rsid w:val="0091114F"/>
    <w:rsid w:val="00913252"/>
    <w:rsid w:val="00943279"/>
    <w:rsid w:val="00985028"/>
    <w:rsid w:val="009A4B62"/>
    <w:rsid w:val="00A70AD0"/>
    <w:rsid w:val="00AA5267"/>
    <w:rsid w:val="00AD77F5"/>
    <w:rsid w:val="00B42022"/>
    <w:rsid w:val="00B62BC9"/>
    <w:rsid w:val="00B84A02"/>
    <w:rsid w:val="00B91EC4"/>
    <w:rsid w:val="00B95CD1"/>
    <w:rsid w:val="00C17681"/>
    <w:rsid w:val="00C2435D"/>
    <w:rsid w:val="00C829A3"/>
    <w:rsid w:val="00CC563A"/>
    <w:rsid w:val="00CC7C84"/>
    <w:rsid w:val="00CD31AF"/>
    <w:rsid w:val="00D55F52"/>
    <w:rsid w:val="00D82AEF"/>
    <w:rsid w:val="00D90048"/>
    <w:rsid w:val="00D937E4"/>
    <w:rsid w:val="00DB2074"/>
    <w:rsid w:val="00DE74EF"/>
    <w:rsid w:val="00E074AA"/>
    <w:rsid w:val="00E17CF6"/>
    <w:rsid w:val="00E30150"/>
    <w:rsid w:val="00E327A7"/>
    <w:rsid w:val="00E464E1"/>
    <w:rsid w:val="00E87D80"/>
    <w:rsid w:val="00E902F7"/>
    <w:rsid w:val="00EA70A1"/>
    <w:rsid w:val="00ED7BD6"/>
    <w:rsid w:val="00EF5054"/>
    <w:rsid w:val="00F04DDE"/>
    <w:rsid w:val="00F231EF"/>
    <w:rsid w:val="00F31E99"/>
    <w:rsid w:val="00F36195"/>
    <w:rsid w:val="00FA01AB"/>
    <w:rsid w:val="00FA2916"/>
    <w:rsid w:val="00FB1481"/>
    <w:rsid w:val="00FC7BC9"/>
    <w:rsid w:val="00FD26AE"/>
    <w:rsid w:val="00FD327B"/>
    <w:rsid w:val="00FD7B33"/>
    <w:rsid w:val="055C5BDC"/>
    <w:rsid w:val="161A3147"/>
    <w:rsid w:val="1AD948CE"/>
    <w:rsid w:val="1B226DBB"/>
    <w:rsid w:val="1B4B4BB2"/>
    <w:rsid w:val="208B05D8"/>
    <w:rsid w:val="26204BB1"/>
    <w:rsid w:val="28AB193D"/>
    <w:rsid w:val="31162572"/>
    <w:rsid w:val="340E194B"/>
    <w:rsid w:val="370D0A24"/>
    <w:rsid w:val="390A04D7"/>
    <w:rsid w:val="3D4B5A0C"/>
    <w:rsid w:val="46C06F08"/>
    <w:rsid w:val="48E1662E"/>
    <w:rsid w:val="5BF74873"/>
    <w:rsid w:val="60FB3E9F"/>
    <w:rsid w:val="71681965"/>
    <w:rsid w:val="75284D55"/>
    <w:rsid w:val="7800070A"/>
    <w:rsid w:val="79BB2225"/>
    <w:rsid w:val="7F4D06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F24"/>
    <w:pPr>
      <w:widowControl w:val="0"/>
      <w:jc w:val="both"/>
    </w:pPr>
    <w:rPr>
      <w:rFonts w:ascii="Calibri" w:hAnsi="Calibri"/>
      <w:szCs w:val="24"/>
    </w:rPr>
  </w:style>
  <w:style w:type="paragraph" w:styleId="Heading3">
    <w:name w:val="heading 3"/>
    <w:basedOn w:val="Normal"/>
    <w:link w:val="Heading3Char"/>
    <w:uiPriority w:val="99"/>
    <w:qFormat/>
    <w:rsid w:val="00345F2F"/>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45F2F"/>
    <w:rPr>
      <w:rFonts w:ascii="宋体" w:eastAsia="宋体" w:cs="宋体"/>
      <w:b/>
      <w:bCs/>
      <w:sz w:val="27"/>
      <w:szCs w:val="27"/>
    </w:rPr>
  </w:style>
  <w:style w:type="paragraph" w:styleId="CommentText">
    <w:name w:val="annotation text"/>
    <w:basedOn w:val="Normal"/>
    <w:link w:val="CommentTextChar"/>
    <w:uiPriority w:val="99"/>
    <w:rsid w:val="000A1F24"/>
    <w:pPr>
      <w:jc w:val="left"/>
    </w:pPr>
  </w:style>
  <w:style w:type="character" w:customStyle="1" w:styleId="CommentTextChar">
    <w:name w:val="Comment Text Char"/>
    <w:basedOn w:val="DefaultParagraphFont"/>
    <w:link w:val="CommentText"/>
    <w:uiPriority w:val="99"/>
    <w:locked/>
    <w:rsid w:val="000A1F24"/>
    <w:rPr>
      <w:rFonts w:ascii="Calibri" w:hAnsi="Calibri"/>
      <w:kern w:val="2"/>
      <w:sz w:val="24"/>
    </w:rPr>
  </w:style>
  <w:style w:type="paragraph" w:styleId="CommentSubject">
    <w:name w:val="annotation subject"/>
    <w:basedOn w:val="CommentText"/>
    <w:next w:val="CommentText"/>
    <w:link w:val="CommentSubjectChar"/>
    <w:uiPriority w:val="99"/>
    <w:rsid w:val="000A1F24"/>
    <w:rPr>
      <w:b/>
      <w:bCs/>
    </w:rPr>
  </w:style>
  <w:style w:type="character" w:customStyle="1" w:styleId="CommentSubjectChar">
    <w:name w:val="Comment Subject Char"/>
    <w:basedOn w:val="CommentTextChar"/>
    <w:link w:val="CommentSubject"/>
    <w:uiPriority w:val="99"/>
    <w:locked/>
    <w:rsid w:val="000A1F24"/>
    <w:rPr>
      <w:b/>
    </w:rPr>
  </w:style>
  <w:style w:type="paragraph" w:styleId="BalloonText">
    <w:name w:val="Balloon Text"/>
    <w:basedOn w:val="Normal"/>
    <w:link w:val="BalloonTextChar"/>
    <w:uiPriority w:val="99"/>
    <w:rsid w:val="000A1F24"/>
    <w:rPr>
      <w:sz w:val="18"/>
      <w:szCs w:val="18"/>
    </w:rPr>
  </w:style>
  <w:style w:type="character" w:customStyle="1" w:styleId="BalloonTextChar">
    <w:name w:val="Balloon Text Char"/>
    <w:basedOn w:val="DefaultParagraphFont"/>
    <w:link w:val="BalloonText"/>
    <w:uiPriority w:val="99"/>
    <w:locked/>
    <w:rsid w:val="000A1F24"/>
    <w:rPr>
      <w:rFonts w:ascii="Calibri" w:hAnsi="Calibri"/>
      <w:kern w:val="2"/>
      <w:sz w:val="18"/>
    </w:rPr>
  </w:style>
  <w:style w:type="paragraph" w:styleId="Footer">
    <w:name w:val="footer"/>
    <w:basedOn w:val="Normal"/>
    <w:link w:val="FooterChar"/>
    <w:uiPriority w:val="99"/>
    <w:rsid w:val="000A1F2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A1F24"/>
    <w:rPr>
      <w:rFonts w:ascii="Calibri" w:hAnsi="Calibri"/>
      <w:kern w:val="2"/>
      <w:sz w:val="18"/>
    </w:rPr>
  </w:style>
  <w:style w:type="paragraph" w:styleId="Header">
    <w:name w:val="header"/>
    <w:basedOn w:val="Normal"/>
    <w:link w:val="HeaderChar"/>
    <w:uiPriority w:val="99"/>
    <w:rsid w:val="000A1F2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A1F24"/>
    <w:rPr>
      <w:rFonts w:ascii="Calibri" w:hAnsi="Calibri"/>
      <w:kern w:val="2"/>
      <w:sz w:val="18"/>
    </w:rPr>
  </w:style>
  <w:style w:type="paragraph" w:styleId="NormalWeb">
    <w:name w:val="Normal (Web)"/>
    <w:basedOn w:val="Normal"/>
    <w:uiPriority w:val="99"/>
    <w:rsid w:val="000A1F24"/>
    <w:rPr>
      <w:sz w:val="24"/>
    </w:rPr>
  </w:style>
  <w:style w:type="character" w:styleId="CommentReference">
    <w:name w:val="annotation reference"/>
    <w:basedOn w:val="DefaultParagraphFont"/>
    <w:uiPriority w:val="99"/>
    <w:rsid w:val="000A1F24"/>
    <w:rPr>
      <w:rFonts w:cs="Times New Roman"/>
      <w:sz w:val="21"/>
    </w:rPr>
  </w:style>
  <w:style w:type="character" w:styleId="FootnoteReference">
    <w:name w:val="footnote reference"/>
    <w:basedOn w:val="DefaultParagraphFont"/>
    <w:uiPriority w:val="99"/>
    <w:rsid w:val="000A1F24"/>
    <w:rPr>
      <w:rFonts w:cs="Times New Roman"/>
      <w:vertAlign w:val="superscript"/>
    </w:rPr>
  </w:style>
  <w:style w:type="paragraph" w:customStyle="1" w:styleId="Affiliation">
    <w:name w:val="Affiliation"/>
    <w:basedOn w:val="Normal"/>
    <w:uiPriority w:val="99"/>
    <w:rsid w:val="000A1F24"/>
    <w:pPr>
      <w:spacing w:before="240" w:line="360" w:lineRule="auto"/>
    </w:pPr>
    <w:rPr>
      <w:rFonts w:ascii="Times New Roman" w:hAnsi="Times New Roman"/>
      <w:i/>
      <w:szCs w:val="21"/>
    </w:rPr>
  </w:style>
  <w:style w:type="paragraph" w:customStyle="1" w:styleId="Newparagraph">
    <w:name w:val="New paragraph"/>
    <w:basedOn w:val="Normal"/>
    <w:uiPriority w:val="99"/>
    <w:rsid w:val="00D55F52"/>
    <w:pPr>
      <w:widowControl/>
      <w:spacing w:line="480" w:lineRule="auto"/>
      <w:ind w:firstLine="720"/>
      <w:jc w:val="left"/>
    </w:pPr>
    <w:rPr>
      <w:rFonts w:ascii="Times New Roman" w:hAnsi="Times New Roman"/>
      <w:kern w:val="0"/>
      <w:sz w:val="24"/>
    </w:rPr>
  </w:style>
  <w:style w:type="paragraph" w:customStyle="1" w:styleId="Normal1">
    <w:name w:val="Normal1"/>
    <w:uiPriority w:val="99"/>
    <w:rsid w:val="00D55F52"/>
    <w:pPr>
      <w:jc w:val="both"/>
    </w:pPr>
    <w:rPr>
      <w:szCs w:val="21"/>
    </w:rPr>
  </w:style>
  <w:style w:type="paragraph" w:customStyle="1" w:styleId="MDPI12title">
    <w:name w:val="MDPI_1.2_title"/>
    <w:next w:val="MDPI13authornames"/>
    <w:uiPriority w:val="99"/>
    <w:rsid w:val="00FB1481"/>
    <w:pPr>
      <w:adjustRightInd w:val="0"/>
      <w:snapToGrid w:val="0"/>
      <w:spacing w:after="240" w:line="400" w:lineRule="exact"/>
    </w:pPr>
    <w:rPr>
      <w:rFonts w:ascii="Palatino Linotype" w:hAnsi="Palatino Linotype"/>
      <w:b/>
      <w:color w:val="000000"/>
      <w:kern w:val="0"/>
      <w:sz w:val="36"/>
      <w:szCs w:val="20"/>
      <w:lang w:eastAsia="de-DE"/>
    </w:rPr>
  </w:style>
  <w:style w:type="paragraph" w:customStyle="1" w:styleId="MDPI13authornames">
    <w:name w:val="MDPI_1.3_authornames"/>
    <w:basedOn w:val="Normal"/>
    <w:next w:val="MDPI14history"/>
    <w:uiPriority w:val="99"/>
    <w:rsid w:val="00FB1481"/>
    <w:pPr>
      <w:widowControl/>
      <w:adjustRightInd w:val="0"/>
      <w:snapToGrid w:val="0"/>
      <w:spacing w:after="120" w:line="260" w:lineRule="atLeast"/>
      <w:jc w:val="left"/>
    </w:pPr>
    <w:rPr>
      <w:rFonts w:ascii="Palatino Linotype" w:hAnsi="Palatino Linotype"/>
      <w:b/>
      <w:color w:val="000000"/>
      <w:kern w:val="0"/>
      <w:sz w:val="20"/>
      <w:szCs w:val="22"/>
      <w:lang w:eastAsia="de-DE"/>
    </w:rPr>
  </w:style>
  <w:style w:type="paragraph" w:customStyle="1" w:styleId="MDPI14history">
    <w:name w:val="MDPI_1.4_history"/>
    <w:basedOn w:val="Normal"/>
    <w:next w:val="Normal"/>
    <w:uiPriority w:val="99"/>
    <w:rsid w:val="00FB1481"/>
    <w:pPr>
      <w:widowControl/>
      <w:adjustRightInd w:val="0"/>
      <w:snapToGrid w:val="0"/>
      <w:spacing w:before="120" w:line="200" w:lineRule="atLeast"/>
      <w:ind w:left="113"/>
      <w:jc w:val="left"/>
    </w:pPr>
    <w:rPr>
      <w:rFonts w:ascii="Palatino Linotype" w:hAnsi="Palatino Linotype"/>
      <w:color w:val="000000"/>
      <w:kern w:val="0"/>
      <w:sz w:val="18"/>
      <w:szCs w:val="20"/>
      <w:lang w:eastAsia="de-DE"/>
    </w:rPr>
  </w:style>
  <w:style w:type="paragraph" w:customStyle="1" w:styleId="MDPI16affiliation">
    <w:name w:val="MDPI_1.6_affiliation"/>
    <w:basedOn w:val="Normal"/>
    <w:uiPriority w:val="99"/>
    <w:rsid w:val="00FB1481"/>
    <w:pPr>
      <w:widowControl/>
      <w:adjustRightInd w:val="0"/>
      <w:snapToGrid w:val="0"/>
      <w:spacing w:line="200" w:lineRule="atLeast"/>
      <w:ind w:left="311" w:hanging="198"/>
      <w:jc w:val="left"/>
    </w:pPr>
    <w:rPr>
      <w:rFonts w:ascii="Palatino Linotype" w:hAnsi="Palatino Linotype"/>
      <w:color w:val="000000"/>
      <w:kern w:val="0"/>
      <w:sz w:val="18"/>
      <w:szCs w:val="18"/>
      <w:lang w:eastAsia="de-DE"/>
    </w:rPr>
  </w:style>
  <w:style w:type="paragraph" w:styleId="ListParagraph">
    <w:name w:val="List Paragraph"/>
    <w:basedOn w:val="Normal"/>
    <w:uiPriority w:val="99"/>
    <w:qFormat/>
    <w:rsid w:val="00FB1481"/>
    <w:pPr>
      <w:ind w:firstLineChars="200" w:firstLine="420"/>
    </w:pPr>
  </w:style>
  <w:style w:type="character" w:customStyle="1" w:styleId="fontstyle01">
    <w:name w:val="fontstyle01"/>
    <w:basedOn w:val="DefaultParagraphFont"/>
    <w:uiPriority w:val="99"/>
    <w:rsid w:val="008C212B"/>
    <w:rPr>
      <w:rFonts w:ascii="FZXH1JW--GB1-0" w:hAnsi="FZXH1JW--GB1-0" w:cs="Times New Roman"/>
      <w:color w:val="000000"/>
      <w:sz w:val="20"/>
      <w:szCs w:val="20"/>
    </w:rPr>
  </w:style>
  <w:style w:type="table" w:styleId="TableGrid">
    <w:name w:val="Table Grid"/>
    <w:basedOn w:val="TableNormal"/>
    <w:uiPriority w:val="99"/>
    <w:rsid w:val="002359B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DPI21heading1">
    <w:name w:val="MDPI_2.1_heading1"/>
    <w:basedOn w:val="Normal"/>
    <w:uiPriority w:val="99"/>
    <w:rsid w:val="00345F2F"/>
    <w:pPr>
      <w:widowControl/>
      <w:adjustRightInd w:val="0"/>
      <w:snapToGrid w:val="0"/>
      <w:spacing w:before="240" w:after="120" w:line="260" w:lineRule="atLeast"/>
      <w:jc w:val="left"/>
      <w:outlineLvl w:val="0"/>
    </w:pPr>
    <w:rPr>
      <w:rFonts w:ascii="Palatino Linotype" w:hAnsi="Palatino Linotype"/>
      <w:b/>
      <w:color w:val="000000"/>
      <w:kern w:val="0"/>
      <w:sz w:val="20"/>
      <w:szCs w:val="22"/>
      <w:lang w:eastAsia="de-DE"/>
    </w:rPr>
  </w:style>
  <w:style w:type="character" w:customStyle="1" w:styleId="gsct1">
    <w:name w:val="gs_ct1"/>
    <w:basedOn w:val="DefaultParagraphFont"/>
    <w:uiPriority w:val="99"/>
    <w:rsid w:val="00345F2F"/>
    <w:rPr>
      <w:rFonts w:cs="Times New Roman"/>
    </w:rPr>
  </w:style>
  <w:style w:type="character" w:customStyle="1" w:styleId="apple-converted-space">
    <w:name w:val="apple-converted-space"/>
    <w:basedOn w:val="DefaultParagraphFont"/>
    <w:uiPriority w:val="99"/>
    <w:rsid w:val="00345F2F"/>
    <w:rPr>
      <w:rFonts w:cs="Times New Roman"/>
    </w:rPr>
  </w:style>
  <w:style w:type="character" w:styleId="Hyperlink">
    <w:name w:val="Hyperlink"/>
    <w:basedOn w:val="DefaultParagraphFont"/>
    <w:uiPriority w:val="99"/>
    <w:rsid w:val="00345F2F"/>
    <w:rPr>
      <w:rFonts w:cs="Times New Roman"/>
      <w:color w:val="0000FF"/>
      <w:u w:val="single"/>
    </w:rPr>
  </w:style>
  <w:style w:type="paragraph" w:customStyle="1" w:styleId="MDPI37itemize">
    <w:name w:val="MDPI_3.7_itemize"/>
    <w:basedOn w:val="Normal"/>
    <w:uiPriority w:val="99"/>
    <w:rsid w:val="0083223B"/>
    <w:pPr>
      <w:widowControl/>
      <w:numPr>
        <w:numId w:val="2"/>
      </w:numPr>
      <w:adjustRightInd w:val="0"/>
      <w:snapToGrid w:val="0"/>
      <w:spacing w:line="260" w:lineRule="atLeast"/>
      <w:ind w:left="425" w:hanging="425"/>
    </w:pPr>
    <w:rPr>
      <w:rFonts w:ascii="Palatino Linotype" w:hAnsi="Palatino Linotype"/>
      <w:color w:val="000000"/>
      <w:kern w:val="0"/>
      <w:sz w:val="20"/>
      <w:szCs w:val="22"/>
      <w:lang w:eastAsia="de-DE"/>
    </w:rPr>
  </w:style>
</w:styles>
</file>

<file path=word/webSettings.xml><?xml version="1.0" encoding="utf-8"?>
<w:webSettings xmlns:r="http://schemas.openxmlformats.org/officeDocument/2006/relationships" xmlns:w="http://schemas.openxmlformats.org/wordprocessingml/2006/main">
  <w:divs>
    <w:div w:id="461504693">
      <w:marLeft w:val="0"/>
      <w:marRight w:val="0"/>
      <w:marTop w:val="0"/>
      <w:marBottom w:val="0"/>
      <w:divBdr>
        <w:top w:val="none" w:sz="0" w:space="0" w:color="auto"/>
        <w:left w:val="none" w:sz="0" w:space="0" w:color="auto"/>
        <w:bottom w:val="none" w:sz="0" w:space="0" w:color="auto"/>
        <w:right w:val="none" w:sz="0" w:space="0" w:color="auto"/>
      </w:divBdr>
    </w:div>
    <w:div w:id="4615046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onlinelibrary.wiley.com/doi/10.1002/ar.22641/ful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1097</TotalTime>
  <Pages>3</Pages>
  <Words>615</Words>
  <Characters>3509</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lijing</dc:creator>
  <cp:keywords/>
  <dc:description/>
  <cp:lastModifiedBy>lenovo</cp:lastModifiedBy>
  <cp:revision>47</cp:revision>
  <dcterms:created xsi:type="dcterms:W3CDTF">2017-04-02T13:34:00Z</dcterms:created>
  <dcterms:modified xsi:type="dcterms:W3CDTF">2018-06-05T14:08:00Z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