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A63A43" w14:textId="77777777" w:rsidR="00B74DF1" w:rsidRDefault="00B74DF1" w:rsidP="00B74DF1">
      <w:pPr>
        <w:pStyle w:val="SupplementaryMaterial"/>
      </w:pPr>
      <w:r>
        <w:t>Supplementary Material</w:t>
      </w:r>
    </w:p>
    <w:p w14:paraId="0F15CA46" w14:textId="77777777" w:rsidR="00B74DF1" w:rsidRPr="003F07CA" w:rsidRDefault="00B74DF1" w:rsidP="00B74DF1">
      <w:pPr>
        <w:spacing w:after="240"/>
        <w:rPr>
          <w:b/>
          <w:bCs/>
          <w:sz w:val="24"/>
          <w:szCs w:val="24"/>
        </w:rPr>
      </w:pPr>
      <w:r w:rsidRPr="003F07CA">
        <w:rPr>
          <w:b/>
          <w:bCs/>
          <w:sz w:val="24"/>
          <w:szCs w:val="24"/>
        </w:rPr>
        <w:t>Supplementary Tables</w:t>
      </w:r>
    </w:p>
    <w:tbl>
      <w:tblPr>
        <w:tblStyle w:val="Tablanormal5"/>
        <w:tblW w:w="0" w:type="auto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3905"/>
        <w:gridCol w:w="3589"/>
      </w:tblGrid>
      <w:tr w:rsidR="00B74DF1" w14:paraId="47E1CE05" w14:textId="77777777" w:rsidTr="00B74D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6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DA02B" w14:textId="77777777" w:rsidR="00B74DF1" w:rsidRPr="003F07CA" w:rsidRDefault="00B74DF1" w:rsidP="0003070D">
            <w:pPr>
              <w:jc w:val="center"/>
              <w:rPr>
                <w:b/>
                <w:bCs/>
              </w:rPr>
            </w:pPr>
            <w:r w:rsidRPr="003F07CA">
              <w:rPr>
                <w:b/>
                <w:bCs/>
              </w:rPr>
              <w:t>Name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66911" w14:textId="77777777" w:rsidR="00B74DF1" w:rsidRPr="003F07CA" w:rsidRDefault="00B74DF1" w:rsidP="000307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3F07CA">
              <w:rPr>
                <w:b/>
                <w:bCs/>
              </w:rPr>
              <w:t>Description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963AD" w14:textId="77777777" w:rsidR="00B74DF1" w:rsidRPr="003F07CA" w:rsidRDefault="00B74DF1" w:rsidP="000307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3F07CA">
              <w:rPr>
                <w:b/>
                <w:bCs/>
              </w:rPr>
              <w:t>Doi</w:t>
            </w:r>
          </w:p>
        </w:tc>
      </w:tr>
      <w:tr w:rsidR="00B74DF1" w:rsidRPr="003F07CA" w14:paraId="27138BF1" w14:textId="77777777" w:rsidTr="00B74D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8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B06E5" w14:textId="71A203C5" w:rsidR="00B74DF1" w:rsidRPr="003F07CA" w:rsidRDefault="00B74DF1" w:rsidP="0003070D">
            <w:pPr>
              <w:jc w:val="center"/>
              <w:rPr>
                <w:b/>
                <w:bCs/>
              </w:rPr>
            </w:pPr>
            <w:r w:rsidRPr="003F07CA">
              <w:rPr>
                <w:b/>
                <w:bCs/>
              </w:rPr>
              <w:t>Supplementary Table S</w:t>
            </w:r>
            <w:r>
              <w:rPr>
                <w:b/>
                <w:bCs/>
              </w:rPr>
              <w:t>1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41E1" w14:textId="663B7EBE" w:rsidR="00B74DF1" w:rsidRPr="00804021" w:rsidRDefault="00B74DF1" w:rsidP="000307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4021">
              <w:t xml:space="preserve">BGCs originated by antiSMASH fungal version from </w:t>
            </w:r>
            <w:r w:rsidRPr="00804021">
              <w:rPr>
                <w:i/>
                <w:iCs/>
              </w:rPr>
              <w:t>B. deweyae</w:t>
            </w:r>
            <w:r w:rsidRPr="00804021">
              <w:t xml:space="preserve"> </w:t>
            </w:r>
            <w:r w:rsidR="00900F4A" w:rsidRPr="00804021">
              <w:t xml:space="preserve">B1 </w:t>
            </w:r>
            <w:r w:rsidRPr="00804021">
              <w:t>genome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0218A" w14:textId="2BE77578" w:rsidR="00B74DF1" w:rsidRPr="009F3EDC" w:rsidRDefault="00005588" w:rsidP="000307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05588">
              <w:t>http://dx.doi.org/10.25267/rodin.33731</w:t>
            </w:r>
          </w:p>
        </w:tc>
      </w:tr>
      <w:tr w:rsidR="00B74DF1" w:rsidRPr="003F07CA" w14:paraId="3C80A8EE" w14:textId="77777777" w:rsidTr="00B74DF1">
        <w:trPr>
          <w:trHeight w:val="78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F90F1" w14:textId="42E66279" w:rsidR="00B74DF1" w:rsidRPr="003F07CA" w:rsidRDefault="00B74DF1" w:rsidP="0003070D">
            <w:pPr>
              <w:jc w:val="center"/>
              <w:rPr>
                <w:b/>
                <w:bCs/>
              </w:rPr>
            </w:pPr>
            <w:r w:rsidRPr="003F07CA">
              <w:rPr>
                <w:b/>
                <w:bCs/>
              </w:rPr>
              <w:t>Supplementary Table S</w:t>
            </w:r>
            <w:r>
              <w:rPr>
                <w:b/>
                <w:bCs/>
              </w:rPr>
              <w:t>2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863B6" w14:textId="6702093E" w:rsidR="00B74DF1" w:rsidRPr="00804021" w:rsidRDefault="00B74DF1" w:rsidP="000307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4021">
              <w:rPr>
                <w:rFonts w:eastAsia="Times New Roman"/>
                <w:noProof w:val="0"/>
                <w:snapToGrid w:val="0"/>
                <w:lang w:bidi="en-US"/>
              </w:rPr>
              <w:t xml:space="preserve">BGCs originated by antiSMASH fungal version </w:t>
            </w:r>
            <w:r w:rsidR="00804021" w:rsidRPr="00804021">
              <w:rPr>
                <w:rFonts w:eastAsia="Times New Roman"/>
                <w:noProof w:val="0"/>
                <w:snapToGrid w:val="0"/>
                <w:lang w:bidi="en-US"/>
              </w:rPr>
              <w:t>from</w:t>
            </w:r>
            <w:r w:rsidRPr="00804021">
              <w:rPr>
                <w:rFonts w:eastAsia="Times New Roman"/>
                <w:i/>
                <w:iCs/>
                <w:noProof w:val="0"/>
                <w:snapToGrid w:val="0"/>
                <w:lang w:bidi="en-US"/>
              </w:rPr>
              <w:t xml:space="preserve"> B. cinerea </w:t>
            </w:r>
            <w:r w:rsidR="00900F4A" w:rsidRPr="00804021">
              <w:rPr>
                <w:rFonts w:eastAsia="Times New Roman"/>
                <w:noProof w:val="0"/>
                <w:snapToGrid w:val="0"/>
                <w:lang w:bidi="en-US"/>
              </w:rPr>
              <w:t>B05.10</w:t>
            </w:r>
            <w:r w:rsidR="00900F4A" w:rsidRPr="00804021">
              <w:rPr>
                <w:rFonts w:eastAsia="Times New Roman"/>
                <w:i/>
                <w:iCs/>
                <w:noProof w:val="0"/>
                <w:snapToGrid w:val="0"/>
                <w:lang w:bidi="en-US"/>
              </w:rPr>
              <w:t xml:space="preserve"> </w:t>
            </w:r>
            <w:r w:rsidRPr="00804021">
              <w:rPr>
                <w:rFonts w:eastAsia="Times New Roman"/>
                <w:noProof w:val="0"/>
                <w:snapToGrid w:val="0"/>
                <w:lang w:bidi="en-US"/>
              </w:rPr>
              <w:t>genome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62831" w14:textId="5275B56B" w:rsidR="00B74DF1" w:rsidRPr="009F3EDC" w:rsidRDefault="00005588" w:rsidP="000307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05588">
              <w:t>http://dx.doi.org/10.25267/rodin.33732</w:t>
            </w:r>
          </w:p>
        </w:tc>
      </w:tr>
      <w:tr w:rsidR="00B74DF1" w:rsidRPr="003F07CA" w14:paraId="18D90CA6" w14:textId="77777777" w:rsidTr="00B74D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8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6286B" w14:textId="10AC22EE" w:rsidR="00B74DF1" w:rsidRPr="003F07CA" w:rsidRDefault="00B74DF1" w:rsidP="0003070D">
            <w:pPr>
              <w:jc w:val="center"/>
              <w:rPr>
                <w:b/>
                <w:bCs/>
              </w:rPr>
            </w:pPr>
            <w:r w:rsidRPr="003F07CA">
              <w:rPr>
                <w:b/>
                <w:bCs/>
              </w:rPr>
              <w:t>Supplementary Table S</w:t>
            </w:r>
            <w:r>
              <w:rPr>
                <w:b/>
                <w:bCs/>
              </w:rPr>
              <w:t>3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96F82" w14:textId="0C0DA3D0" w:rsidR="00B74DF1" w:rsidRPr="00804021" w:rsidRDefault="00B74DF1" w:rsidP="000307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4021">
              <w:rPr>
                <w:lang w:bidi="en-US"/>
              </w:rPr>
              <w:t xml:space="preserve">BUSCO analysis for </w:t>
            </w:r>
            <w:r w:rsidRPr="00804021">
              <w:rPr>
                <w:i/>
                <w:iCs/>
                <w:lang w:bidi="en-US"/>
              </w:rPr>
              <w:t>B. deweyae</w:t>
            </w:r>
            <w:r w:rsidRPr="00804021">
              <w:rPr>
                <w:lang w:bidi="en-US"/>
              </w:rPr>
              <w:t xml:space="preserve"> </w:t>
            </w:r>
            <w:r w:rsidR="00900F4A" w:rsidRPr="00804021">
              <w:rPr>
                <w:lang w:bidi="en-US"/>
              </w:rPr>
              <w:t xml:space="preserve">B1 </w:t>
            </w:r>
            <w:r w:rsidRPr="00804021">
              <w:rPr>
                <w:lang w:bidi="en-US"/>
              </w:rPr>
              <w:t xml:space="preserve">and </w:t>
            </w:r>
            <w:r w:rsidRPr="00804021">
              <w:rPr>
                <w:i/>
                <w:iCs/>
                <w:lang w:bidi="en-US"/>
              </w:rPr>
              <w:t>B. cinerea</w:t>
            </w:r>
            <w:r w:rsidR="00900F4A" w:rsidRPr="00804021">
              <w:rPr>
                <w:i/>
                <w:iCs/>
                <w:lang w:bidi="en-US"/>
              </w:rPr>
              <w:t xml:space="preserve"> </w:t>
            </w:r>
            <w:r w:rsidR="00900F4A" w:rsidRPr="00804021">
              <w:rPr>
                <w:lang w:bidi="en-US"/>
              </w:rPr>
              <w:t>B05.10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79197" w14:textId="1C814012" w:rsidR="00B74DF1" w:rsidRPr="009F3EDC" w:rsidRDefault="00005588" w:rsidP="000307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05588">
              <w:t>http://dx.doi.org/10.25267/rodin.33733</w:t>
            </w:r>
          </w:p>
        </w:tc>
      </w:tr>
      <w:tr w:rsidR="00B74DF1" w:rsidRPr="003F07CA" w14:paraId="55E961D3" w14:textId="77777777" w:rsidTr="00B74DF1">
        <w:trPr>
          <w:trHeight w:val="78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97E6B" w14:textId="4D71EC3D" w:rsidR="00B74DF1" w:rsidRPr="003F07CA" w:rsidRDefault="00B74DF1" w:rsidP="0003070D">
            <w:pPr>
              <w:jc w:val="center"/>
              <w:rPr>
                <w:b/>
                <w:bCs/>
              </w:rPr>
            </w:pPr>
            <w:r w:rsidRPr="003F07CA">
              <w:rPr>
                <w:b/>
                <w:bCs/>
              </w:rPr>
              <w:t>Supplementary Table S</w:t>
            </w:r>
            <w:r>
              <w:rPr>
                <w:b/>
                <w:bCs/>
              </w:rPr>
              <w:t>4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3983A" w14:textId="77777777" w:rsidR="00B74DF1" w:rsidRPr="00804021" w:rsidRDefault="00B74DF1" w:rsidP="000307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4021">
              <w:t>The top 55 homologous protein to XP 038807933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3BC3F" w14:textId="77777777" w:rsidR="00B74DF1" w:rsidRPr="009F3EDC" w:rsidRDefault="00B74DF1" w:rsidP="000307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F3EDC">
              <w:t>http://dx.doi.org/10.25267/rodin.33034</w:t>
            </w:r>
          </w:p>
        </w:tc>
      </w:tr>
      <w:tr w:rsidR="00B74DF1" w:rsidRPr="003F07CA" w14:paraId="04708950" w14:textId="77777777" w:rsidTr="00B74D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8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ACA8B" w14:textId="333B85DF" w:rsidR="00B74DF1" w:rsidRPr="003F07CA" w:rsidRDefault="00B74DF1" w:rsidP="0003070D">
            <w:pPr>
              <w:jc w:val="center"/>
              <w:rPr>
                <w:b/>
                <w:bCs/>
              </w:rPr>
            </w:pPr>
            <w:r w:rsidRPr="003F07CA">
              <w:rPr>
                <w:b/>
                <w:bCs/>
              </w:rPr>
              <w:t>Supplementary Table S</w:t>
            </w:r>
            <w:r>
              <w:rPr>
                <w:b/>
                <w:bCs/>
              </w:rPr>
              <w:t>5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93B92" w14:textId="3B10A9C6" w:rsidR="00B74DF1" w:rsidRPr="00804021" w:rsidRDefault="00B74DF1" w:rsidP="000307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4021">
              <w:t>PKS domains of all the putative PKS identified in</w:t>
            </w:r>
            <w:r w:rsidRPr="00804021">
              <w:rPr>
                <w:i/>
                <w:iCs/>
              </w:rPr>
              <w:t xml:space="preserve"> B. cinerea </w:t>
            </w:r>
            <w:r w:rsidRPr="00804021">
              <w:t>and</w:t>
            </w:r>
            <w:r w:rsidRPr="00804021">
              <w:rPr>
                <w:i/>
                <w:iCs/>
              </w:rPr>
              <w:t xml:space="preserve"> B. deweyae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F1A4B" w14:textId="77777777" w:rsidR="00B74DF1" w:rsidRPr="009F3EDC" w:rsidRDefault="00B74DF1" w:rsidP="000307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F3EDC">
              <w:t>http://dx.doi.org/10.25267/rodin.33035</w:t>
            </w:r>
          </w:p>
        </w:tc>
      </w:tr>
      <w:tr w:rsidR="00B74DF1" w:rsidRPr="003F07CA" w14:paraId="58FE99C4" w14:textId="77777777" w:rsidTr="00B74DF1">
        <w:trPr>
          <w:trHeight w:val="9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08246" w14:textId="3DEF8A27" w:rsidR="00B74DF1" w:rsidRPr="003F07CA" w:rsidRDefault="00B74DF1" w:rsidP="0003070D">
            <w:pPr>
              <w:jc w:val="center"/>
              <w:rPr>
                <w:b/>
                <w:bCs/>
              </w:rPr>
            </w:pPr>
            <w:r w:rsidRPr="003F07CA">
              <w:rPr>
                <w:b/>
                <w:bCs/>
              </w:rPr>
              <w:t>Supplementary Table S</w:t>
            </w:r>
            <w:r>
              <w:rPr>
                <w:b/>
                <w:bCs/>
              </w:rPr>
              <w:t>6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2AAD1" w14:textId="77777777" w:rsidR="00B74DF1" w:rsidRPr="003F07CA" w:rsidRDefault="00B74DF1" w:rsidP="000307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07CA">
              <w:t xml:space="preserve">Distribution of all the putative PKS described by Suarez </w:t>
            </w:r>
            <w:r w:rsidRPr="003F07CA">
              <w:rPr>
                <w:i/>
                <w:iCs/>
              </w:rPr>
              <w:t>et al.</w:t>
            </w:r>
            <w:r w:rsidRPr="003F07CA">
              <w:t xml:space="preserve"> in 2024 among other Fungi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009A3" w14:textId="77777777" w:rsidR="00B74DF1" w:rsidRPr="009F3EDC" w:rsidRDefault="00B74DF1" w:rsidP="000307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F3EDC">
              <w:t>http://dx.doi.org/10.25267/rodin.33036</w:t>
            </w:r>
          </w:p>
        </w:tc>
      </w:tr>
      <w:tr w:rsidR="00B74DF1" w:rsidRPr="003F07CA" w14:paraId="48383CA7" w14:textId="77777777" w:rsidTr="00B74D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DCF18" w14:textId="2855B599" w:rsidR="00B74DF1" w:rsidRPr="003F07CA" w:rsidRDefault="00B74DF1" w:rsidP="0003070D">
            <w:pPr>
              <w:jc w:val="center"/>
              <w:rPr>
                <w:b/>
                <w:bCs/>
              </w:rPr>
            </w:pPr>
            <w:r w:rsidRPr="003F07CA">
              <w:rPr>
                <w:b/>
                <w:bCs/>
              </w:rPr>
              <w:t>Supplementary Table S</w:t>
            </w:r>
            <w:r>
              <w:rPr>
                <w:b/>
                <w:bCs/>
              </w:rPr>
              <w:t>7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E8BDC" w14:textId="77777777" w:rsidR="00B74DF1" w:rsidRPr="003F07CA" w:rsidRDefault="00B74DF1" w:rsidP="000307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07CA">
              <w:t>Top 18 homologous protein to BdPKS22 in other fungal species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83CFA" w14:textId="77777777" w:rsidR="00B74DF1" w:rsidRPr="009F3EDC" w:rsidRDefault="00B74DF1" w:rsidP="000307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F3EDC">
              <w:t>http://dx.doi.org/10.25267/rodin.33037</w:t>
            </w:r>
          </w:p>
        </w:tc>
      </w:tr>
      <w:tr w:rsidR="00B74DF1" w:rsidRPr="003F07CA" w14:paraId="7992EE3A" w14:textId="77777777" w:rsidTr="00B74DF1">
        <w:trPr>
          <w:trHeight w:val="6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BB9D8" w14:textId="3FDAF3B7" w:rsidR="00B74DF1" w:rsidRPr="003F07CA" w:rsidRDefault="00B74DF1" w:rsidP="0003070D">
            <w:pPr>
              <w:jc w:val="center"/>
              <w:rPr>
                <w:b/>
                <w:bCs/>
              </w:rPr>
            </w:pPr>
            <w:r w:rsidRPr="003F07CA">
              <w:rPr>
                <w:b/>
                <w:bCs/>
              </w:rPr>
              <w:t>Supplementary Table S</w:t>
            </w:r>
            <w:r>
              <w:rPr>
                <w:b/>
                <w:bCs/>
              </w:rPr>
              <w:t>8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571E2" w14:textId="77777777" w:rsidR="00B74DF1" w:rsidRPr="003F07CA" w:rsidRDefault="00B74DF1" w:rsidP="000307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07CA">
              <w:t>Top 51 homologous protein to BdPKS23 in other fungal species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E997C" w14:textId="77777777" w:rsidR="00B74DF1" w:rsidRPr="009F3EDC" w:rsidRDefault="00B74DF1" w:rsidP="000307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F3EDC">
              <w:t>http://dx.doi.org/10.25267/rodin.33038</w:t>
            </w:r>
          </w:p>
        </w:tc>
      </w:tr>
      <w:tr w:rsidR="00B74DF1" w:rsidRPr="003F07CA" w14:paraId="307E1846" w14:textId="77777777" w:rsidTr="00B74D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A3284" w14:textId="05D37278" w:rsidR="00B74DF1" w:rsidRPr="003F07CA" w:rsidRDefault="00B74DF1" w:rsidP="0003070D">
            <w:pPr>
              <w:jc w:val="center"/>
              <w:rPr>
                <w:b/>
                <w:bCs/>
              </w:rPr>
            </w:pPr>
            <w:r w:rsidRPr="003F07CA">
              <w:rPr>
                <w:b/>
                <w:bCs/>
              </w:rPr>
              <w:t>Supplementary Table S</w:t>
            </w:r>
            <w:r>
              <w:rPr>
                <w:b/>
                <w:bCs/>
              </w:rPr>
              <w:t>9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0A6C7" w14:textId="77777777" w:rsidR="00B74DF1" w:rsidRPr="003F07CA" w:rsidRDefault="00B74DF1" w:rsidP="000307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07CA">
              <w:t>Top 4 Homologous protein to BdPKS24 in other fungal species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AFC4E" w14:textId="77777777" w:rsidR="00B74DF1" w:rsidRPr="009F3EDC" w:rsidRDefault="00B74DF1" w:rsidP="000307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F3EDC">
              <w:t>http://dx.doi.org/10.25267/rodin.33039</w:t>
            </w:r>
          </w:p>
        </w:tc>
      </w:tr>
      <w:tr w:rsidR="00B74DF1" w:rsidRPr="003F07CA" w14:paraId="3FEAF2B7" w14:textId="77777777" w:rsidTr="00B74DF1">
        <w:trPr>
          <w:trHeight w:val="78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60A65" w14:textId="34247F0A" w:rsidR="00B74DF1" w:rsidRPr="003F07CA" w:rsidRDefault="00B74DF1" w:rsidP="0003070D">
            <w:pPr>
              <w:jc w:val="center"/>
              <w:rPr>
                <w:b/>
                <w:bCs/>
              </w:rPr>
            </w:pPr>
            <w:r w:rsidRPr="003F07CA">
              <w:rPr>
                <w:b/>
                <w:bCs/>
              </w:rPr>
              <w:t>Supplementary Table S</w:t>
            </w:r>
            <w:r>
              <w:rPr>
                <w:b/>
                <w:bCs/>
              </w:rPr>
              <w:t>10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9C424" w14:textId="77777777" w:rsidR="00B74DF1" w:rsidRPr="003F07CA" w:rsidRDefault="00B74DF1" w:rsidP="000307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07CA">
              <w:t>Top 25 homologous proteins to BdPKS25 in other fungal species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6983C" w14:textId="77777777" w:rsidR="00B74DF1" w:rsidRPr="009F3EDC" w:rsidRDefault="00B74DF1" w:rsidP="000307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F3EDC">
              <w:t>http://dx.doi.org/10.25267/rodin.33040</w:t>
            </w:r>
          </w:p>
        </w:tc>
      </w:tr>
      <w:tr w:rsidR="00B74DF1" w:rsidRPr="003F07CA" w14:paraId="71E1EB56" w14:textId="77777777" w:rsidTr="00B74D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336E23CF" w14:textId="15CDF21B" w:rsidR="00B74DF1" w:rsidRPr="003F07CA" w:rsidRDefault="00B74DF1" w:rsidP="0003070D">
            <w:pPr>
              <w:jc w:val="center"/>
              <w:rPr>
                <w:b/>
                <w:bCs/>
              </w:rPr>
            </w:pPr>
            <w:r w:rsidRPr="003F07CA">
              <w:rPr>
                <w:b/>
                <w:bCs/>
              </w:rPr>
              <w:t>Supplementary Table S</w:t>
            </w:r>
            <w:r>
              <w:rPr>
                <w:b/>
                <w:bCs/>
              </w:rPr>
              <w:t>11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0810F" w14:textId="77777777" w:rsidR="00B74DF1" w:rsidRPr="003F07CA" w:rsidRDefault="00B74DF1" w:rsidP="000307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F07CA">
              <w:t>Top 55 homologous proteins to BdPKS26 in other fungal species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3F384" w14:textId="77777777" w:rsidR="00B74DF1" w:rsidRPr="009F3EDC" w:rsidRDefault="00B74DF1" w:rsidP="000307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F3EDC">
              <w:t>http://dx.doi.org/10.25267/rodin.33041</w:t>
            </w:r>
          </w:p>
        </w:tc>
      </w:tr>
    </w:tbl>
    <w:p w14:paraId="030E4106" w14:textId="77777777" w:rsidR="00B74DF1" w:rsidRDefault="00B74DF1" w:rsidP="00B74DF1">
      <w:pPr>
        <w:rPr>
          <w:b/>
          <w:bCs/>
          <w:szCs w:val="24"/>
          <w:lang w:eastAsia="en-US"/>
        </w:rPr>
      </w:pPr>
    </w:p>
    <w:p w14:paraId="54E1438B" w14:textId="77777777" w:rsidR="00B74DF1" w:rsidRPr="00BC79F9" w:rsidRDefault="00B74DF1" w:rsidP="00B74DF1">
      <w:pPr>
        <w:pStyle w:val="MDPI63Notes"/>
      </w:pPr>
    </w:p>
    <w:p w14:paraId="1BDA5A6D" w14:textId="77777777" w:rsidR="00DF2C04" w:rsidRDefault="00DF2C04"/>
    <w:sectPr w:rsidR="00DF2C04" w:rsidSect="00B74DF1">
      <w:pgSz w:w="11906" w:h="16838" w:code="9"/>
      <w:pgMar w:top="1417" w:right="720" w:bottom="1077" w:left="720" w:header="1020" w:footer="340" w:gutter="0"/>
      <w:lnNumType w:countBy="1" w:distance="255" w:restart="continuous"/>
      <w:pgNumType w:start="1"/>
      <w:cols w:space="425"/>
      <w:titlePg/>
      <w:bidi/>
      <w:docGrid w:type="lines"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FEA"/>
    <w:rsid w:val="00005588"/>
    <w:rsid w:val="002A632C"/>
    <w:rsid w:val="0030788E"/>
    <w:rsid w:val="004A06B3"/>
    <w:rsid w:val="004A4841"/>
    <w:rsid w:val="00605C29"/>
    <w:rsid w:val="0066562E"/>
    <w:rsid w:val="00757018"/>
    <w:rsid w:val="007B6F6D"/>
    <w:rsid w:val="00804021"/>
    <w:rsid w:val="008E03B7"/>
    <w:rsid w:val="008F0D0B"/>
    <w:rsid w:val="00900F4A"/>
    <w:rsid w:val="009366F9"/>
    <w:rsid w:val="0097171E"/>
    <w:rsid w:val="00A65C74"/>
    <w:rsid w:val="00B74DF1"/>
    <w:rsid w:val="00CB7FEA"/>
    <w:rsid w:val="00DF2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810B2"/>
  <w15:chartTrackingRefBased/>
  <w15:docId w15:val="{E85003CC-62E1-4690-B7CF-820759FD2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E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4DF1"/>
    <w:pPr>
      <w:spacing w:after="0" w:line="260" w:lineRule="atLeast"/>
      <w:jc w:val="both"/>
    </w:pPr>
    <w:rPr>
      <w:rFonts w:ascii="Palatino Linotype" w:eastAsia="SimSun" w:hAnsi="Palatino Linotype" w:cs="Times New Roman"/>
      <w:noProof/>
      <w:color w:val="000000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CB7FEA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noProof w:val="0"/>
      <w:color w:val="0F4761" w:themeColor="accent1" w:themeShade="BF"/>
      <w:kern w:val="2"/>
      <w:sz w:val="40"/>
      <w:szCs w:val="40"/>
      <w:lang w:val="es-E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B7FEA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noProof w:val="0"/>
      <w:color w:val="0F4761" w:themeColor="accent1" w:themeShade="BF"/>
      <w:kern w:val="2"/>
      <w:sz w:val="32"/>
      <w:szCs w:val="32"/>
      <w:lang w:val="es-E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B7FEA"/>
    <w:pPr>
      <w:keepNext/>
      <w:keepLines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noProof w:val="0"/>
      <w:color w:val="0F4761" w:themeColor="accent1" w:themeShade="BF"/>
      <w:kern w:val="2"/>
      <w:sz w:val="28"/>
      <w:szCs w:val="28"/>
      <w:lang w:val="es-E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B7FEA"/>
    <w:pPr>
      <w:keepNext/>
      <w:keepLines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noProof w:val="0"/>
      <w:color w:val="0F4761" w:themeColor="accent1" w:themeShade="BF"/>
      <w:kern w:val="2"/>
      <w:sz w:val="24"/>
      <w:szCs w:val="24"/>
      <w:lang w:val="es-E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B7FEA"/>
    <w:pPr>
      <w:keepNext/>
      <w:keepLines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noProof w:val="0"/>
      <w:color w:val="0F4761" w:themeColor="accent1" w:themeShade="BF"/>
      <w:kern w:val="2"/>
      <w:sz w:val="24"/>
      <w:szCs w:val="24"/>
      <w:lang w:val="es-E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B7FEA"/>
    <w:pPr>
      <w:keepNext/>
      <w:keepLines/>
      <w:spacing w:before="4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noProof w:val="0"/>
      <w:color w:val="595959" w:themeColor="text1" w:themeTint="A6"/>
      <w:kern w:val="2"/>
      <w:sz w:val="24"/>
      <w:szCs w:val="24"/>
      <w:lang w:val="es-E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B7FEA"/>
    <w:pPr>
      <w:keepNext/>
      <w:keepLines/>
      <w:spacing w:before="40" w:line="278" w:lineRule="auto"/>
      <w:jc w:val="left"/>
      <w:outlineLvl w:val="6"/>
    </w:pPr>
    <w:rPr>
      <w:rFonts w:asciiTheme="minorHAnsi" w:eastAsiaTheme="majorEastAsia" w:hAnsiTheme="minorHAnsi" w:cstheme="majorBidi"/>
      <w:noProof w:val="0"/>
      <w:color w:val="595959" w:themeColor="text1" w:themeTint="A6"/>
      <w:kern w:val="2"/>
      <w:sz w:val="24"/>
      <w:szCs w:val="24"/>
      <w:lang w:val="es-E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B7FEA"/>
    <w:pPr>
      <w:keepNext/>
      <w:keepLines/>
      <w:spacing w:line="278" w:lineRule="auto"/>
      <w:jc w:val="left"/>
      <w:outlineLvl w:val="7"/>
    </w:pPr>
    <w:rPr>
      <w:rFonts w:asciiTheme="minorHAnsi" w:eastAsiaTheme="majorEastAsia" w:hAnsiTheme="minorHAnsi" w:cstheme="majorBidi"/>
      <w:i/>
      <w:iCs/>
      <w:noProof w:val="0"/>
      <w:color w:val="272727" w:themeColor="text1" w:themeTint="D8"/>
      <w:kern w:val="2"/>
      <w:sz w:val="24"/>
      <w:szCs w:val="24"/>
      <w:lang w:val="es-E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B7FEA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noProof w:val="0"/>
      <w:color w:val="272727" w:themeColor="text1" w:themeTint="D8"/>
      <w:kern w:val="2"/>
      <w:sz w:val="24"/>
      <w:szCs w:val="24"/>
      <w:lang w:val="es-E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B7FE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B7FE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B7F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B7FEA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B7FEA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B7FEA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B7FEA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B7FEA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B7FE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CB7FEA"/>
    <w:pPr>
      <w:spacing w:after="80" w:line="240" w:lineRule="auto"/>
      <w:contextualSpacing/>
      <w:jc w:val="left"/>
    </w:pPr>
    <w:rPr>
      <w:rFonts w:asciiTheme="majorHAnsi" w:eastAsiaTheme="majorEastAsia" w:hAnsiTheme="majorHAnsi" w:cstheme="majorBidi"/>
      <w:noProof w:val="0"/>
      <w:color w:val="auto"/>
      <w:spacing w:val="-10"/>
      <w:kern w:val="28"/>
      <w:sz w:val="56"/>
      <w:szCs w:val="56"/>
      <w:lang w:val="es-E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CB7F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CB7FEA"/>
    <w:pPr>
      <w:numPr>
        <w:ilvl w:val="1"/>
      </w:numPr>
      <w:spacing w:after="160" w:line="278" w:lineRule="auto"/>
      <w:jc w:val="left"/>
    </w:pPr>
    <w:rPr>
      <w:rFonts w:asciiTheme="minorHAnsi" w:eastAsiaTheme="majorEastAsia" w:hAnsiTheme="minorHAnsi" w:cstheme="majorBidi"/>
      <w:noProof w:val="0"/>
      <w:color w:val="595959" w:themeColor="text1" w:themeTint="A6"/>
      <w:spacing w:val="15"/>
      <w:kern w:val="2"/>
      <w:sz w:val="28"/>
      <w:szCs w:val="28"/>
      <w:lang w:val="es-E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CB7F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CB7FEA"/>
    <w:pPr>
      <w:spacing w:before="160" w:after="160" w:line="278" w:lineRule="auto"/>
      <w:jc w:val="center"/>
    </w:pPr>
    <w:rPr>
      <w:rFonts w:asciiTheme="minorHAnsi" w:eastAsiaTheme="minorEastAsia" w:hAnsiTheme="minorHAnsi" w:cstheme="minorBidi"/>
      <w:i/>
      <w:iCs/>
      <w:noProof w:val="0"/>
      <w:color w:val="404040" w:themeColor="text1" w:themeTint="BF"/>
      <w:kern w:val="2"/>
      <w:sz w:val="24"/>
      <w:szCs w:val="24"/>
      <w:lang w:val="es-E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CB7FEA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CB7FEA"/>
    <w:pPr>
      <w:spacing w:after="160" w:line="278" w:lineRule="auto"/>
      <w:ind w:left="720"/>
      <w:contextualSpacing/>
      <w:jc w:val="left"/>
    </w:pPr>
    <w:rPr>
      <w:rFonts w:asciiTheme="minorHAnsi" w:eastAsiaTheme="minorEastAsia" w:hAnsiTheme="minorHAnsi" w:cstheme="minorBidi"/>
      <w:noProof w:val="0"/>
      <w:color w:val="auto"/>
      <w:kern w:val="2"/>
      <w:sz w:val="24"/>
      <w:szCs w:val="24"/>
      <w:lang w:val="es-E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CB7FEA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B7F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EastAsia" w:hAnsiTheme="minorHAnsi" w:cstheme="minorBidi"/>
      <w:i/>
      <w:iCs/>
      <w:noProof w:val="0"/>
      <w:color w:val="0F4761" w:themeColor="accent1" w:themeShade="BF"/>
      <w:kern w:val="2"/>
      <w:sz w:val="24"/>
      <w:szCs w:val="24"/>
      <w:lang w:val="es-E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B7FEA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CB7FEA"/>
    <w:rPr>
      <w:b/>
      <w:bCs/>
      <w:smallCaps/>
      <w:color w:val="0F4761" w:themeColor="accent1" w:themeShade="BF"/>
      <w:spacing w:val="5"/>
    </w:rPr>
  </w:style>
  <w:style w:type="paragraph" w:customStyle="1" w:styleId="MDPI63Notes">
    <w:name w:val="MDPI_6.3_Notes"/>
    <w:qFormat/>
    <w:rsid w:val="00B74DF1"/>
    <w:pPr>
      <w:adjustRightInd w:val="0"/>
      <w:snapToGrid w:val="0"/>
      <w:spacing w:before="240" w:after="0" w:line="228" w:lineRule="auto"/>
      <w:jc w:val="both"/>
    </w:pPr>
    <w:rPr>
      <w:rFonts w:ascii="Palatino Linotype" w:eastAsia="SimSun" w:hAnsi="Palatino Linotype" w:cs="Times New Roman"/>
      <w:snapToGrid w:val="0"/>
      <w:color w:val="000000"/>
      <w:kern w:val="0"/>
      <w:sz w:val="18"/>
      <w:szCs w:val="20"/>
      <w:lang w:val="en-US" w:eastAsia="en-US" w:bidi="en-US"/>
      <w14:ligatures w14:val="none"/>
    </w:rPr>
  </w:style>
  <w:style w:type="paragraph" w:customStyle="1" w:styleId="SupplementaryMaterial">
    <w:name w:val="Supplementary Material"/>
    <w:basedOn w:val="Ttulo"/>
    <w:next w:val="Ttulo"/>
    <w:qFormat/>
    <w:rsid w:val="00B74DF1"/>
    <w:pPr>
      <w:suppressLineNumbers/>
      <w:spacing w:before="240" w:after="120"/>
      <w:contextualSpacing w:val="0"/>
      <w:jc w:val="center"/>
    </w:pPr>
    <w:rPr>
      <w:rFonts w:ascii="Times New Roman" w:eastAsiaTheme="minorHAnsi" w:hAnsi="Times New Roman" w:cs="Times New Roman"/>
      <w:b/>
      <w:i/>
      <w:spacing w:val="0"/>
      <w:kern w:val="0"/>
      <w:sz w:val="32"/>
      <w:szCs w:val="32"/>
      <w:lang w:val="en-US" w:eastAsia="en-US"/>
      <w14:ligatures w14:val="none"/>
    </w:rPr>
  </w:style>
  <w:style w:type="table" w:styleId="Tablanormal5">
    <w:name w:val="Plain Table 5"/>
    <w:basedOn w:val="Tablanormal"/>
    <w:uiPriority w:val="45"/>
    <w:rsid w:val="00B74DF1"/>
    <w:pPr>
      <w:spacing w:after="0" w:line="240" w:lineRule="auto"/>
    </w:pPr>
    <w:rPr>
      <w:rFonts w:asciiTheme="majorHAnsi" w:eastAsiaTheme="minorHAnsi" w:hAnsiTheme="majorHAnsi"/>
      <w:kern w:val="0"/>
      <w:sz w:val="22"/>
      <w:szCs w:val="22"/>
      <w:lang w:val="en-US" w:eastAsia="en-US"/>
      <w14:ligatures w14:val="none"/>
    </w:rPr>
    <w:tblPr>
      <w:tblStyleRowBandSize w:val="1"/>
      <w:tblStyleColBandSize w:val="1"/>
      <w:tblInd w:w="0" w:type="nil"/>
    </w:tblPr>
    <w:tblStylePr w:type="fir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Nmerodelnea">
    <w:name w:val="line number"/>
    <w:basedOn w:val="Fuentedeprrafopredeter"/>
    <w:uiPriority w:val="99"/>
    <w:semiHidden/>
    <w:unhideWhenUsed/>
    <w:rsid w:val="00B74D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Coca Ruiz, Victor</dc:creator>
  <cp:keywords/>
  <dc:description/>
  <cp:lastModifiedBy>Coca Ruiz, Victor</cp:lastModifiedBy>
  <cp:revision>8</cp:revision>
  <dcterms:created xsi:type="dcterms:W3CDTF">2024-10-23T21:38:00Z</dcterms:created>
  <dcterms:modified xsi:type="dcterms:W3CDTF">2024-10-28T08:21:00Z</dcterms:modified>
</cp:coreProperties>
</file>