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CE8" w:rsidRPr="00F12F46" w:rsidRDefault="00397CE8" w:rsidP="00397CE8">
      <w:pPr>
        <w:pStyle w:val="Caption"/>
        <w:rPr>
          <w:color w:val="000000" w:themeColor="text1"/>
        </w:rPr>
      </w:pPr>
      <w:bookmarkStart w:id="0" w:name="_Ref531078168"/>
      <w:r w:rsidRPr="00F12F46">
        <w:rPr>
          <w:color w:val="000000" w:themeColor="text1"/>
        </w:rPr>
        <w:t xml:space="preserve">Table </w:t>
      </w:r>
      <w:r w:rsidR="008F6593">
        <w:rPr>
          <w:color w:val="000000" w:themeColor="text1"/>
        </w:rPr>
        <w:t>S</w:t>
      </w:r>
      <w:r w:rsidRPr="00F12F46">
        <w:rPr>
          <w:color w:val="000000" w:themeColor="text1"/>
        </w:rPr>
        <w:fldChar w:fldCharType="begin"/>
      </w:r>
      <w:r w:rsidRPr="00F12F46">
        <w:rPr>
          <w:color w:val="000000" w:themeColor="text1"/>
        </w:rPr>
        <w:instrText xml:space="preserve"> SEQ Supplementary_Table \* ARABIC </w:instrText>
      </w:r>
      <w:r w:rsidRPr="00F12F46">
        <w:rPr>
          <w:color w:val="000000" w:themeColor="text1"/>
        </w:rPr>
        <w:fldChar w:fldCharType="separate"/>
      </w:r>
      <w:r>
        <w:rPr>
          <w:noProof/>
          <w:color w:val="000000" w:themeColor="text1"/>
        </w:rPr>
        <w:t>5</w:t>
      </w:r>
      <w:r w:rsidRPr="00F12F46">
        <w:rPr>
          <w:color w:val="000000" w:themeColor="text1"/>
        </w:rPr>
        <w:fldChar w:fldCharType="end"/>
      </w:r>
      <w:bookmarkEnd w:id="0"/>
      <w:r w:rsidR="008F6593">
        <w:rPr>
          <w:color w:val="000000" w:themeColor="text1"/>
        </w:rPr>
        <w:t>.</w:t>
      </w:r>
      <w:r w:rsidRPr="00F12F46">
        <w:rPr>
          <w:color w:val="000000" w:themeColor="text1"/>
        </w:rPr>
        <w:t xml:space="preserve"> Average values of the density index </w:t>
      </w:r>
      <w:r>
        <w:rPr>
          <w:color w:val="000000" w:themeColor="text1"/>
        </w:rPr>
        <w:t>between</w:t>
      </w:r>
      <w:r w:rsidRPr="00F12F46">
        <w:rPr>
          <w:color w:val="000000" w:themeColor="text1"/>
        </w:rPr>
        <w:t xml:space="preserve"> 2013</w:t>
      </w:r>
      <w:r>
        <w:rPr>
          <w:color w:val="000000" w:themeColor="text1"/>
        </w:rPr>
        <w:t xml:space="preserve"> and </w:t>
      </w:r>
      <w:r w:rsidRPr="00F12F46">
        <w:rPr>
          <w:color w:val="000000" w:themeColor="text1"/>
        </w:rPr>
        <w:t>2018 as well as average normalized density index values for 2014-2018 (value of the density index of the respective treatment in a specific year / value of the standard treatment, VSP, in this year). Density index values of different treatments of the same year marked with the same letter did not differ significantly (according to Tukey’s multiple comparison procedure</w:t>
      </w:r>
      <w:r w:rsidRPr="00F12F46">
        <w:rPr>
          <w:iCs/>
          <w:color w:val="000000" w:themeColor="text1"/>
        </w:rPr>
        <w:t xml:space="preserve"> (</w:t>
      </w:r>
      <w:r w:rsidRPr="00F12F46">
        <w:rPr>
          <w:i/>
          <w:iCs/>
          <w:color w:val="000000" w:themeColor="text1"/>
        </w:rPr>
        <w:t>P</w:t>
      </w:r>
      <w:r w:rsidRPr="00F12F46">
        <w:rPr>
          <w:iCs/>
          <w:color w:val="000000" w:themeColor="text1"/>
        </w:rPr>
        <w:t xml:space="preserve"> </w:t>
      </w:r>
      <w:r w:rsidRPr="00F12F46">
        <w:rPr>
          <w:color w:val="000000" w:themeColor="text1"/>
        </w:rPr>
        <w:t>≤</w:t>
      </w:r>
      <w:r w:rsidRPr="00F12F46">
        <w:rPr>
          <w:iCs/>
          <w:color w:val="000000" w:themeColor="text1"/>
        </w:rPr>
        <w:t xml:space="preserve"> 0.05))</w:t>
      </w:r>
      <w:r w:rsidRPr="00F12F46">
        <w:rPr>
          <w:color w:val="000000" w:themeColor="text1"/>
        </w:rPr>
        <w:t>. Average (2014-2018) normalized density index values are depicted. If no significant differences were observed, generally, no notations were indicated.</w:t>
      </w:r>
      <w:bookmarkStart w:id="1" w:name="_GoBack"/>
      <w:bookmarkEnd w:id="1"/>
    </w:p>
    <w:tbl>
      <w:tblPr>
        <w:tblW w:w="13608" w:type="dxa"/>
        <w:tblLayout w:type="fixed"/>
        <w:tblLook w:val="0000" w:firstRow="0" w:lastRow="0" w:firstColumn="0" w:lastColumn="0" w:noHBand="0" w:noVBand="0"/>
      </w:tblPr>
      <w:tblGrid>
        <w:gridCol w:w="1366"/>
        <w:gridCol w:w="873"/>
        <w:gridCol w:w="874"/>
        <w:gridCol w:w="874"/>
        <w:gridCol w:w="875"/>
        <w:gridCol w:w="874"/>
        <w:gridCol w:w="875"/>
        <w:gridCol w:w="875"/>
        <w:gridCol w:w="874"/>
        <w:gridCol w:w="875"/>
        <w:gridCol w:w="874"/>
        <w:gridCol w:w="875"/>
        <w:gridCol w:w="874"/>
        <w:gridCol w:w="1750"/>
      </w:tblGrid>
      <w:tr w:rsidR="00397CE8" w:rsidRPr="00F12F46" w:rsidTr="00FA1FC4">
        <w:trPr>
          <w:cantSplit/>
        </w:trPr>
        <w:tc>
          <w:tcPr>
            <w:tcW w:w="1366" w:type="dxa"/>
            <w:tcBorders>
              <w:top w:val="single" w:sz="4" w:space="0" w:color="auto"/>
              <w:bottom w:val="single" w:sz="4" w:space="0" w:color="auto"/>
            </w:tcBorders>
            <w:vAlign w:val="center"/>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Treatment*</w:t>
            </w:r>
          </w:p>
        </w:tc>
        <w:tc>
          <w:tcPr>
            <w:tcW w:w="1747" w:type="dxa"/>
            <w:gridSpan w:val="2"/>
            <w:tcBorders>
              <w:top w:val="single" w:sz="4" w:space="0" w:color="auto"/>
              <w:bottom w:val="single" w:sz="4" w:space="0" w:color="auto"/>
            </w:tcBorders>
            <w:vAlign w:val="center"/>
          </w:tcPr>
          <w:p w:rsidR="00397CE8" w:rsidRPr="00F12F46" w:rsidRDefault="00397CE8" w:rsidP="00FA1FC4">
            <w:pPr>
              <w:spacing w:after="0" w:line="240" w:lineRule="auto"/>
              <w:jc w:val="center"/>
              <w:rPr>
                <w:rFonts w:ascii="Arial" w:hAnsi="Arial" w:cs="Arial"/>
                <w:b/>
                <w:color w:val="000000" w:themeColor="text1"/>
                <w:sz w:val="20"/>
                <w:szCs w:val="20"/>
              </w:rPr>
            </w:pPr>
            <w:r w:rsidRPr="00F12F46">
              <w:rPr>
                <w:rFonts w:ascii="Arial" w:hAnsi="Arial" w:cs="Arial"/>
                <w:b/>
                <w:color w:val="000000" w:themeColor="text1"/>
                <w:sz w:val="20"/>
                <w:szCs w:val="20"/>
              </w:rPr>
              <w:t>2013</w:t>
            </w:r>
          </w:p>
        </w:tc>
        <w:tc>
          <w:tcPr>
            <w:tcW w:w="1749" w:type="dxa"/>
            <w:gridSpan w:val="2"/>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b/>
                <w:color w:val="000000" w:themeColor="text1"/>
                <w:sz w:val="20"/>
                <w:szCs w:val="20"/>
              </w:rPr>
            </w:pPr>
            <w:r w:rsidRPr="00F12F46">
              <w:rPr>
                <w:rFonts w:ascii="Arial" w:hAnsi="Arial" w:cs="Arial"/>
                <w:b/>
                <w:color w:val="000000" w:themeColor="text1"/>
                <w:sz w:val="20"/>
                <w:szCs w:val="20"/>
              </w:rPr>
              <w:t>2014</w:t>
            </w:r>
          </w:p>
        </w:tc>
        <w:tc>
          <w:tcPr>
            <w:tcW w:w="1749" w:type="dxa"/>
            <w:gridSpan w:val="2"/>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b/>
                <w:color w:val="000000" w:themeColor="text1"/>
                <w:sz w:val="20"/>
                <w:szCs w:val="20"/>
              </w:rPr>
            </w:pPr>
            <w:r w:rsidRPr="00F12F46">
              <w:rPr>
                <w:rFonts w:ascii="Arial" w:hAnsi="Arial" w:cs="Arial"/>
                <w:b/>
                <w:color w:val="000000" w:themeColor="text1"/>
                <w:sz w:val="20"/>
                <w:szCs w:val="20"/>
              </w:rPr>
              <w:t>2015</w:t>
            </w:r>
          </w:p>
        </w:tc>
        <w:tc>
          <w:tcPr>
            <w:tcW w:w="1749" w:type="dxa"/>
            <w:gridSpan w:val="2"/>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b/>
                <w:color w:val="000000" w:themeColor="text1"/>
                <w:sz w:val="20"/>
                <w:szCs w:val="20"/>
              </w:rPr>
            </w:pPr>
            <w:r w:rsidRPr="00F12F46">
              <w:rPr>
                <w:rFonts w:ascii="Arial" w:hAnsi="Arial" w:cs="Arial"/>
                <w:b/>
                <w:color w:val="000000" w:themeColor="text1"/>
                <w:sz w:val="20"/>
                <w:szCs w:val="20"/>
              </w:rPr>
              <w:t>2016</w:t>
            </w:r>
          </w:p>
        </w:tc>
        <w:tc>
          <w:tcPr>
            <w:tcW w:w="1749" w:type="dxa"/>
            <w:gridSpan w:val="2"/>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b/>
                <w:color w:val="000000" w:themeColor="text1"/>
                <w:sz w:val="20"/>
                <w:szCs w:val="20"/>
              </w:rPr>
            </w:pPr>
            <w:r w:rsidRPr="00F12F46">
              <w:rPr>
                <w:rFonts w:ascii="Arial" w:hAnsi="Arial" w:cs="Arial"/>
                <w:b/>
                <w:color w:val="000000" w:themeColor="text1"/>
                <w:sz w:val="20"/>
                <w:szCs w:val="20"/>
              </w:rPr>
              <w:t>2017</w:t>
            </w:r>
          </w:p>
        </w:tc>
        <w:tc>
          <w:tcPr>
            <w:tcW w:w="1749" w:type="dxa"/>
            <w:gridSpan w:val="2"/>
            <w:tcBorders>
              <w:top w:val="single" w:sz="4" w:space="0" w:color="auto"/>
              <w:left w:val="nil"/>
              <w:bottom w:val="single" w:sz="4" w:space="0" w:color="auto"/>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b/>
                <w:color w:val="000000" w:themeColor="text1"/>
                <w:sz w:val="20"/>
                <w:szCs w:val="20"/>
              </w:rPr>
            </w:pPr>
            <w:r w:rsidRPr="00F12F46">
              <w:rPr>
                <w:rFonts w:ascii="Arial" w:hAnsi="Arial" w:cs="Arial"/>
                <w:b/>
                <w:color w:val="000000" w:themeColor="text1"/>
                <w:sz w:val="20"/>
                <w:szCs w:val="20"/>
              </w:rPr>
              <w:t>2018</w:t>
            </w:r>
          </w:p>
        </w:tc>
        <w:tc>
          <w:tcPr>
            <w:tcW w:w="1750" w:type="dxa"/>
            <w:tcBorders>
              <w:top w:val="single" w:sz="4" w:space="0" w:color="auto"/>
              <w:left w:val="single" w:sz="4" w:space="0" w:color="auto"/>
              <w:bottom w:val="single" w:sz="4" w:space="0" w:color="auto"/>
              <w:right w:val="single" w:sz="4" w:space="0" w:color="auto"/>
            </w:tcBorders>
          </w:tcPr>
          <w:p w:rsidR="00397CE8" w:rsidRPr="00F12F46" w:rsidRDefault="00397CE8" w:rsidP="00FA1FC4">
            <w:pPr>
              <w:spacing w:after="0" w:line="240" w:lineRule="auto"/>
              <w:jc w:val="center"/>
              <w:rPr>
                <w:rFonts w:ascii="Arial" w:eastAsia="Arial Unicode MS" w:hAnsi="Arial" w:cs="Arial"/>
                <w:b/>
                <w:color w:val="000000" w:themeColor="text1"/>
                <w:sz w:val="20"/>
                <w:szCs w:val="20"/>
              </w:rPr>
            </w:pPr>
            <w:r w:rsidRPr="00F12F46">
              <w:rPr>
                <w:rFonts w:ascii="Arial" w:eastAsia="Arial Unicode MS" w:hAnsi="Arial" w:cs="Arial"/>
                <w:b/>
                <w:color w:val="000000" w:themeColor="text1"/>
                <w:sz w:val="20"/>
                <w:szCs w:val="20"/>
              </w:rPr>
              <w:t>Average normali</w:t>
            </w:r>
            <w:r>
              <w:rPr>
                <w:rFonts w:ascii="Arial" w:eastAsia="Arial Unicode MS" w:hAnsi="Arial" w:cs="Arial"/>
                <w:b/>
                <w:color w:val="000000" w:themeColor="text1"/>
                <w:sz w:val="20"/>
                <w:szCs w:val="20"/>
              </w:rPr>
              <w:t>z</w:t>
            </w:r>
            <w:r w:rsidRPr="00F12F46">
              <w:rPr>
                <w:rFonts w:ascii="Arial" w:eastAsia="Arial Unicode MS" w:hAnsi="Arial" w:cs="Arial"/>
                <w:b/>
                <w:color w:val="000000" w:themeColor="text1"/>
                <w:sz w:val="20"/>
                <w:szCs w:val="20"/>
              </w:rPr>
              <w:t>ed density index (2014-2018)</w:t>
            </w:r>
          </w:p>
        </w:tc>
      </w:tr>
      <w:tr w:rsidR="00397CE8" w:rsidRPr="00F12F46" w:rsidTr="00FA1FC4">
        <w:trPr>
          <w:cantSplit/>
        </w:trPr>
        <w:tc>
          <w:tcPr>
            <w:tcW w:w="1366" w:type="dxa"/>
            <w:tcBorders>
              <w:top w:val="single" w:sz="4" w:space="0" w:color="auto"/>
            </w:tcBorders>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SMPH ST 1</w:t>
            </w:r>
          </w:p>
        </w:tc>
        <w:tc>
          <w:tcPr>
            <w:tcW w:w="873"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3.0</w:t>
            </w:r>
          </w:p>
        </w:tc>
        <w:tc>
          <w:tcPr>
            <w:tcW w:w="874"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proofErr w:type="spellStart"/>
            <w:r w:rsidRPr="00F12F46">
              <w:rPr>
                <w:rFonts w:ascii="Arial" w:hAnsi="Arial" w:cs="Arial"/>
                <w:color w:val="000000" w:themeColor="text1"/>
                <w:sz w:val="20"/>
                <w:szCs w:val="20"/>
              </w:rPr>
              <w:t>bc</w:t>
            </w:r>
            <w:proofErr w:type="spellEnd"/>
          </w:p>
        </w:tc>
        <w:tc>
          <w:tcPr>
            <w:tcW w:w="874"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3.9</w:t>
            </w:r>
          </w:p>
        </w:tc>
        <w:tc>
          <w:tcPr>
            <w:tcW w:w="875"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4"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3.2</w:t>
            </w:r>
          </w:p>
        </w:tc>
        <w:tc>
          <w:tcPr>
            <w:tcW w:w="875"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proofErr w:type="spellStart"/>
            <w:r w:rsidRPr="00F12F46">
              <w:rPr>
                <w:rFonts w:ascii="Arial" w:hAnsi="Arial" w:cs="Arial"/>
                <w:color w:val="000000" w:themeColor="text1"/>
                <w:sz w:val="20"/>
                <w:szCs w:val="20"/>
              </w:rPr>
              <w:t>bc</w:t>
            </w:r>
            <w:proofErr w:type="spellEnd"/>
          </w:p>
        </w:tc>
        <w:tc>
          <w:tcPr>
            <w:tcW w:w="875"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2.6</w:t>
            </w:r>
          </w:p>
        </w:tc>
        <w:tc>
          <w:tcPr>
            <w:tcW w:w="874"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w:t>
            </w:r>
          </w:p>
        </w:tc>
        <w:tc>
          <w:tcPr>
            <w:tcW w:w="875"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3.8</w:t>
            </w:r>
          </w:p>
        </w:tc>
        <w:tc>
          <w:tcPr>
            <w:tcW w:w="874"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5" w:type="dxa"/>
            <w:tcBorders>
              <w:top w:val="single" w:sz="8" w:space="0" w:color="auto"/>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2.7</w:t>
            </w:r>
          </w:p>
        </w:tc>
        <w:tc>
          <w:tcPr>
            <w:tcW w:w="874" w:type="dxa"/>
            <w:tcBorders>
              <w:top w:val="single" w:sz="8" w:space="0" w:color="auto"/>
              <w:left w:val="nil"/>
              <w:bottom w:val="nil"/>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b</w:t>
            </w:r>
          </w:p>
        </w:tc>
        <w:tc>
          <w:tcPr>
            <w:tcW w:w="1750" w:type="dxa"/>
            <w:tcBorders>
              <w:top w:val="single" w:sz="8" w:space="0" w:color="auto"/>
              <w:left w:val="single" w:sz="4" w:space="0" w:color="auto"/>
              <w:bottom w:val="nil"/>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0.91</w:t>
            </w:r>
          </w:p>
        </w:tc>
      </w:tr>
      <w:tr w:rsidR="00397CE8" w:rsidRPr="00F12F46" w:rsidTr="00FA1FC4">
        <w:trPr>
          <w:cantSplit/>
        </w:trPr>
        <w:tc>
          <w:tcPr>
            <w:tcW w:w="1366" w:type="dxa"/>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SMPH ST 2</w:t>
            </w:r>
          </w:p>
        </w:tc>
        <w:tc>
          <w:tcPr>
            <w:tcW w:w="873"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2.9</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b</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4.1</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3.2</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proofErr w:type="spellStart"/>
            <w:r w:rsidRPr="00F12F46">
              <w:rPr>
                <w:rFonts w:ascii="Arial" w:hAnsi="Arial" w:cs="Arial"/>
                <w:color w:val="000000" w:themeColor="text1"/>
                <w:sz w:val="20"/>
                <w:szCs w:val="20"/>
              </w:rPr>
              <w:t>bc</w:t>
            </w:r>
            <w:proofErr w:type="spellEnd"/>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2.9</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ab</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3.7</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2.6</w:t>
            </w:r>
          </w:p>
        </w:tc>
        <w:tc>
          <w:tcPr>
            <w:tcW w:w="874" w:type="dxa"/>
            <w:tcBorders>
              <w:top w:val="nil"/>
              <w:left w:val="nil"/>
              <w:bottom w:val="nil"/>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b</w:t>
            </w:r>
          </w:p>
        </w:tc>
        <w:tc>
          <w:tcPr>
            <w:tcW w:w="1750" w:type="dxa"/>
            <w:tcBorders>
              <w:top w:val="nil"/>
              <w:left w:val="single" w:sz="4" w:space="0" w:color="auto"/>
              <w:bottom w:val="nil"/>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0.94</w:t>
            </w:r>
          </w:p>
        </w:tc>
      </w:tr>
      <w:tr w:rsidR="00397CE8" w:rsidRPr="00F12F46" w:rsidTr="00FA1FC4">
        <w:trPr>
          <w:cantSplit/>
        </w:trPr>
        <w:tc>
          <w:tcPr>
            <w:tcW w:w="1366" w:type="dxa"/>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SMPH ST 3</w:t>
            </w:r>
          </w:p>
        </w:tc>
        <w:tc>
          <w:tcPr>
            <w:tcW w:w="873"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3.0</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proofErr w:type="spellStart"/>
            <w:r w:rsidRPr="00F12F46">
              <w:rPr>
                <w:rFonts w:ascii="Arial" w:hAnsi="Arial" w:cs="Arial"/>
                <w:color w:val="000000" w:themeColor="text1"/>
                <w:sz w:val="20"/>
                <w:szCs w:val="20"/>
              </w:rPr>
              <w:t>bc</w:t>
            </w:r>
            <w:proofErr w:type="spellEnd"/>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4.0</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3.6</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3.0</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ab</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3.7</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2.6</w:t>
            </w:r>
          </w:p>
        </w:tc>
        <w:tc>
          <w:tcPr>
            <w:tcW w:w="874" w:type="dxa"/>
            <w:tcBorders>
              <w:top w:val="nil"/>
              <w:left w:val="nil"/>
              <w:bottom w:val="nil"/>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b</w:t>
            </w:r>
          </w:p>
        </w:tc>
        <w:tc>
          <w:tcPr>
            <w:tcW w:w="1750" w:type="dxa"/>
            <w:tcBorders>
              <w:top w:val="nil"/>
              <w:left w:val="single" w:sz="4" w:space="0" w:color="auto"/>
              <w:bottom w:val="nil"/>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0.96</w:t>
            </w:r>
          </w:p>
        </w:tc>
      </w:tr>
      <w:tr w:rsidR="00397CE8" w:rsidRPr="00F12F46" w:rsidTr="00FA1FC4">
        <w:trPr>
          <w:cantSplit/>
        </w:trPr>
        <w:tc>
          <w:tcPr>
            <w:tcW w:w="1366" w:type="dxa"/>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SMPH ST 4</w:t>
            </w:r>
          </w:p>
        </w:tc>
        <w:tc>
          <w:tcPr>
            <w:tcW w:w="873"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2.9</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b</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3.7</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3.2</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b</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2.8</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ab</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3.6</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2.7</w:t>
            </w:r>
          </w:p>
        </w:tc>
        <w:tc>
          <w:tcPr>
            <w:tcW w:w="874" w:type="dxa"/>
            <w:tcBorders>
              <w:top w:val="nil"/>
              <w:left w:val="nil"/>
              <w:bottom w:val="nil"/>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proofErr w:type="spellStart"/>
            <w:r>
              <w:rPr>
                <w:rFonts w:ascii="Arial" w:hAnsi="Arial" w:cs="Arial"/>
                <w:color w:val="000000" w:themeColor="text1"/>
                <w:sz w:val="20"/>
                <w:szCs w:val="20"/>
              </w:rPr>
              <w:t>bc</w:t>
            </w:r>
            <w:proofErr w:type="spellEnd"/>
          </w:p>
        </w:tc>
        <w:tc>
          <w:tcPr>
            <w:tcW w:w="1750" w:type="dxa"/>
            <w:tcBorders>
              <w:top w:val="nil"/>
              <w:left w:val="single" w:sz="4" w:space="0" w:color="auto"/>
              <w:bottom w:val="nil"/>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0.91</w:t>
            </w:r>
          </w:p>
        </w:tc>
      </w:tr>
      <w:tr w:rsidR="00397CE8" w:rsidRPr="00F12F46" w:rsidTr="00FA1FC4">
        <w:trPr>
          <w:cantSplit/>
        </w:trPr>
        <w:tc>
          <w:tcPr>
            <w:tcW w:w="1366" w:type="dxa"/>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VSP</w:t>
            </w:r>
          </w:p>
        </w:tc>
        <w:tc>
          <w:tcPr>
            <w:tcW w:w="873"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3.4</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3.8</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4.1</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d</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3.1</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b</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3.5</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c</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3.2</w:t>
            </w:r>
          </w:p>
        </w:tc>
        <w:tc>
          <w:tcPr>
            <w:tcW w:w="874" w:type="dxa"/>
            <w:tcBorders>
              <w:top w:val="nil"/>
              <w:left w:val="nil"/>
              <w:bottom w:val="nil"/>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c</w:t>
            </w:r>
          </w:p>
        </w:tc>
        <w:tc>
          <w:tcPr>
            <w:tcW w:w="1750" w:type="dxa"/>
            <w:tcBorders>
              <w:top w:val="nil"/>
              <w:left w:val="single" w:sz="4" w:space="0" w:color="auto"/>
              <w:bottom w:val="nil"/>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1.00</w:t>
            </w:r>
          </w:p>
        </w:tc>
      </w:tr>
      <w:tr w:rsidR="00397CE8" w:rsidRPr="00F12F46" w:rsidTr="00FA1FC4">
        <w:trPr>
          <w:cantSplit/>
        </w:trPr>
        <w:tc>
          <w:tcPr>
            <w:tcW w:w="1366" w:type="dxa"/>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SMPH MT 1</w:t>
            </w:r>
          </w:p>
        </w:tc>
        <w:tc>
          <w:tcPr>
            <w:tcW w:w="873"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2.1</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2.9</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b</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2.4</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2.8</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ab</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3.0</w:t>
            </w:r>
          </w:p>
        </w:tc>
        <w:tc>
          <w:tcPr>
            <w:tcW w:w="874"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b</w:t>
            </w:r>
          </w:p>
        </w:tc>
        <w:tc>
          <w:tcPr>
            <w:tcW w:w="875" w:type="dxa"/>
            <w:tcBorders>
              <w:top w:val="nil"/>
              <w:left w:val="nil"/>
              <w:bottom w:val="nil"/>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2.1</w:t>
            </w:r>
          </w:p>
        </w:tc>
        <w:tc>
          <w:tcPr>
            <w:tcW w:w="874" w:type="dxa"/>
            <w:tcBorders>
              <w:top w:val="nil"/>
              <w:left w:val="nil"/>
              <w:bottom w:val="nil"/>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ab</w:t>
            </w:r>
          </w:p>
        </w:tc>
        <w:tc>
          <w:tcPr>
            <w:tcW w:w="1750" w:type="dxa"/>
            <w:tcBorders>
              <w:top w:val="nil"/>
              <w:left w:val="single" w:sz="4" w:space="0" w:color="auto"/>
              <w:bottom w:val="nil"/>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0.76</w:t>
            </w:r>
          </w:p>
        </w:tc>
      </w:tr>
      <w:tr w:rsidR="00397CE8" w:rsidRPr="00F12F46" w:rsidTr="00FA1FC4">
        <w:trPr>
          <w:cantSplit/>
        </w:trPr>
        <w:tc>
          <w:tcPr>
            <w:tcW w:w="1366" w:type="dxa"/>
            <w:tcBorders>
              <w:bottom w:val="single" w:sz="4" w:space="0" w:color="auto"/>
            </w:tcBorders>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SMPH MT 2</w:t>
            </w:r>
          </w:p>
        </w:tc>
        <w:tc>
          <w:tcPr>
            <w:tcW w:w="873"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1.7</w:t>
            </w:r>
          </w:p>
        </w:tc>
        <w:tc>
          <w:tcPr>
            <w:tcW w:w="874"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w:t>
            </w:r>
          </w:p>
        </w:tc>
        <w:tc>
          <w:tcPr>
            <w:tcW w:w="874"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2.3</w:t>
            </w:r>
          </w:p>
        </w:tc>
        <w:tc>
          <w:tcPr>
            <w:tcW w:w="875"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w:t>
            </w:r>
          </w:p>
        </w:tc>
        <w:tc>
          <w:tcPr>
            <w:tcW w:w="874"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2.4</w:t>
            </w:r>
          </w:p>
        </w:tc>
        <w:tc>
          <w:tcPr>
            <w:tcW w:w="875"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w:t>
            </w:r>
          </w:p>
        </w:tc>
        <w:tc>
          <w:tcPr>
            <w:tcW w:w="875"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2.8</w:t>
            </w:r>
          </w:p>
        </w:tc>
        <w:tc>
          <w:tcPr>
            <w:tcW w:w="874"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ab</w:t>
            </w:r>
          </w:p>
        </w:tc>
        <w:tc>
          <w:tcPr>
            <w:tcW w:w="875"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2.3</w:t>
            </w:r>
          </w:p>
        </w:tc>
        <w:tc>
          <w:tcPr>
            <w:tcW w:w="874"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a</w:t>
            </w:r>
          </w:p>
        </w:tc>
        <w:tc>
          <w:tcPr>
            <w:tcW w:w="875" w:type="dxa"/>
            <w:tcBorders>
              <w:top w:val="nil"/>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1.9</w:t>
            </w:r>
          </w:p>
        </w:tc>
        <w:tc>
          <w:tcPr>
            <w:tcW w:w="874" w:type="dxa"/>
            <w:tcBorders>
              <w:top w:val="nil"/>
              <w:left w:val="nil"/>
              <w:bottom w:val="single" w:sz="4" w:space="0" w:color="auto"/>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a</w:t>
            </w:r>
          </w:p>
        </w:tc>
        <w:tc>
          <w:tcPr>
            <w:tcW w:w="1750" w:type="dxa"/>
            <w:tcBorders>
              <w:top w:val="nil"/>
              <w:left w:val="single" w:sz="4" w:space="0" w:color="auto"/>
              <w:bottom w:val="single" w:sz="4" w:space="0" w:color="auto"/>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0.66</w:t>
            </w:r>
          </w:p>
        </w:tc>
      </w:tr>
      <w:tr w:rsidR="00397CE8" w:rsidRPr="00F12F46" w:rsidTr="00FA1FC4">
        <w:trPr>
          <w:cantSplit/>
        </w:trPr>
        <w:tc>
          <w:tcPr>
            <w:tcW w:w="1366" w:type="dxa"/>
            <w:tcBorders>
              <w:top w:val="single" w:sz="4" w:space="0" w:color="auto"/>
              <w:bottom w:val="single" w:sz="4" w:space="0" w:color="auto"/>
            </w:tcBorders>
          </w:tcPr>
          <w:p w:rsidR="00397CE8" w:rsidRPr="00F12F46" w:rsidRDefault="00397CE8" w:rsidP="00FA1FC4">
            <w:pPr>
              <w:spacing w:after="0" w:line="240" w:lineRule="auto"/>
              <w:rPr>
                <w:rFonts w:ascii="Arial" w:hAnsi="Arial" w:cs="Arial"/>
                <w:b/>
                <w:color w:val="000000" w:themeColor="text1"/>
                <w:sz w:val="20"/>
                <w:szCs w:val="20"/>
              </w:rPr>
            </w:pPr>
            <w:r w:rsidRPr="00F12F46">
              <w:rPr>
                <w:rFonts w:ascii="Arial" w:hAnsi="Arial" w:cs="Arial"/>
                <w:b/>
                <w:color w:val="000000" w:themeColor="text1"/>
                <w:sz w:val="20"/>
                <w:szCs w:val="20"/>
              </w:rPr>
              <w:t>Average</w:t>
            </w:r>
          </w:p>
        </w:tc>
        <w:tc>
          <w:tcPr>
            <w:tcW w:w="873"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2.7</w:t>
            </w:r>
          </w:p>
        </w:tc>
        <w:tc>
          <w:tcPr>
            <w:tcW w:w="874"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 </w:t>
            </w:r>
          </w:p>
        </w:tc>
        <w:tc>
          <w:tcPr>
            <w:tcW w:w="874"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3.5</w:t>
            </w:r>
          </w:p>
        </w:tc>
        <w:tc>
          <w:tcPr>
            <w:tcW w:w="875"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 </w:t>
            </w:r>
          </w:p>
        </w:tc>
        <w:tc>
          <w:tcPr>
            <w:tcW w:w="874"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3.2</w:t>
            </w:r>
          </w:p>
        </w:tc>
        <w:tc>
          <w:tcPr>
            <w:tcW w:w="875"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 </w:t>
            </w:r>
          </w:p>
        </w:tc>
        <w:tc>
          <w:tcPr>
            <w:tcW w:w="875"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2.9</w:t>
            </w:r>
          </w:p>
        </w:tc>
        <w:tc>
          <w:tcPr>
            <w:tcW w:w="874"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 </w:t>
            </w:r>
          </w:p>
        </w:tc>
        <w:tc>
          <w:tcPr>
            <w:tcW w:w="875"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3.4</w:t>
            </w:r>
          </w:p>
        </w:tc>
        <w:tc>
          <w:tcPr>
            <w:tcW w:w="874"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 </w:t>
            </w:r>
          </w:p>
        </w:tc>
        <w:tc>
          <w:tcPr>
            <w:tcW w:w="875" w:type="dxa"/>
            <w:tcBorders>
              <w:top w:val="single" w:sz="4" w:space="0" w:color="auto"/>
              <w:left w:val="nil"/>
              <w:bottom w:val="single" w:sz="4" w:space="0" w:color="auto"/>
              <w:right w:val="nil"/>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2.5</w:t>
            </w:r>
          </w:p>
        </w:tc>
        <w:tc>
          <w:tcPr>
            <w:tcW w:w="874" w:type="dxa"/>
            <w:tcBorders>
              <w:top w:val="single" w:sz="4" w:space="0" w:color="auto"/>
              <w:left w:val="nil"/>
              <w:bottom w:val="single" w:sz="4" w:space="0" w:color="auto"/>
              <w:right w:val="single" w:sz="4" w:space="0" w:color="auto"/>
            </w:tcBorders>
            <w:shd w:val="clear" w:color="auto" w:fill="auto"/>
            <w:vAlign w:val="center"/>
          </w:tcPr>
          <w:p w:rsidR="00397CE8" w:rsidRPr="00F12F46" w:rsidRDefault="00397CE8" w:rsidP="00FA1FC4">
            <w:pPr>
              <w:spacing w:after="0" w:line="240" w:lineRule="auto"/>
              <w:jc w:val="center"/>
              <w:rPr>
                <w:rFonts w:ascii="Arial" w:hAnsi="Arial" w:cs="Arial"/>
                <w:color w:val="000000" w:themeColor="text1"/>
                <w:sz w:val="20"/>
                <w:szCs w:val="20"/>
              </w:rPr>
            </w:pPr>
          </w:p>
        </w:tc>
        <w:tc>
          <w:tcPr>
            <w:tcW w:w="1750" w:type="dxa"/>
            <w:tcBorders>
              <w:top w:val="single" w:sz="4" w:space="0" w:color="auto"/>
              <w:left w:val="single" w:sz="4" w:space="0" w:color="auto"/>
              <w:bottom w:val="single" w:sz="4" w:space="0" w:color="auto"/>
              <w:right w:val="single" w:sz="4" w:space="0" w:color="auto"/>
            </w:tcBorders>
            <w:vAlign w:val="center"/>
          </w:tcPr>
          <w:p w:rsidR="00397CE8" w:rsidRPr="00F12F46" w:rsidRDefault="00397CE8" w:rsidP="00FA1FC4">
            <w:pPr>
              <w:spacing w:after="0" w:line="240" w:lineRule="auto"/>
              <w:jc w:val="center"/>
              <w:rPr>
                <w:rFonts w:ascii="Arial" w:hAnsi="Arial" w:cs="Arial"/>
                <w:color w:val="000000" w:themeColor="text1"/>
                <w:sz w:val="20"/>
                <w:szCs w:val="20"/>
              </w:rPr>
            </w:pPr>
            <w:r w:rsidRPr="00F12F46">
              <w:rPr>
                <w:rFonts w:ascii="Arial" w:hAnsi="Arial" w:cs="Arial"/>
                <w:color w:val="000000" w:themeColor="text1"/>
                <w:sz w:val="20"/>
                <w:szCs w:val="20"/>
              </w:rPr>
              <w:t>0.88</w:t>
            </w:r>
          </w:p>
        </w:tc>
      </w:tr>
    </w:tbl>
    <w:p w:rsidR="00397CE8" w:rsidRPr="00F12F46" w:rsidRDefault="00397CE8" w:rsidP="00397CE8">
      <w:pPr>
        <w:pStyle w:val="Caption"/>
        <w:spacing w:before="0" w:after="0" w:line="480" w:lineRule="auto"/>
        <w:rPr>
          <w:color w:val="000000" w:themeColor="text1"/>
        </w:rPr>
      </w:pPr>
      <w:r w:rsidRPr="00F12F46">
        <w:rPr>
          <w:color w:val="000000" w:themeColor="text1"/>
        </w:rPr>
        <w:t>* SMPH= semi</w:t>
      </w:r>
      <w:r>
        <w:rPr>
          <w:color w:val="000000" w:themeColor="text1"/>
        </w:rPr>
        <w:t>-</w:t>
      </w:r>
      <w:r w:rsidRPr="00F12F46">
        <w:rPr>
          <w:color w:val="000000" w:themeColor="text1"/>
        </w:rPr>
        <w:t xml:space="preserve">minimal pruned hedge, ST= shoot topping, VSP= vertical shoot positioning, MT= mechanical thinning.  </w:t>
      </w:r>
    </w:p>
    <w:p w:rsidR="000A20EE" w:rsidRPr="00504598" w:rsidRDefault="008F6593" w:rsidP="00504598"/>
    <w:sectPr w:rsidR="000A20EE" w:rsidRPr="00504598" w:rsidSect="00E749B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564"/>
    <w:rsid w:val="000E1058"/>
    <w:rsid w:val="001472CE"/>
    <w:rsid w:val="00397CE8"/>
    <w:rsid w:val="00504598"/>
    <w:rsid w:val="008F6593"/>
    <w:rsid w:val="009B77DE"/>
    <w:rsid w:val="00AB2564"/>
    <w:rsid w:val="00B628E6"/>
    <w:rsid w:val="00C33600"/>
    <w:rsid w:val="00E749B6"/>
    <w:rsid w:val="00EA04D7"/>
    <w:rsid w:val="00F4081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385FBF-40EB-4083-A919-2C888CB14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59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504598"/>
    <w:pPr>
      <w:spacing w:before="120" w:after="120" w:line="240" w:lineRule="auto"/>
    </w:pPr>
    <w:rPr>
      <w:rFonts w:ascii="Arial" w:eastAsia="Times New Roman" w:hAnsi="Arial" w:cs="Arial"/>
      <w:b/>
      <w:bCs/>
      <w:sz w:val="20"/>
      <w:szCs w:val="20"/>
    </w:rPr>
  </w:style>
  <w:style w:type="paragraph" w:customStyle="1" w:styleId="Tabelle">
    <w:name w:val="Tabelle"/>
    <w:basedOn w:val="Normal"/>
    <w:rsid w:val="00504598"/>
    <w:pPr>
      <w:spacing w:after="0" w:line="240" w:lineRule="auto"/>
    </w:pPr>
    <w:rPr>
      <w:rFonts w:ascii="Arial" w:eastAsia="Times New Roman" w:hAnsi="Arial"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Luxembourg Institute of Science and Technology</Company>
  <LinksUpToDate>false</LinksUpToDate>
  <CharactersWithSpaces>1254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Molitor</dc:creator>
  <cp:keywords/>
  <dc:description/>
  <cp:lastModifiedBy>MDPI</cp:lastModifiedBy>
  <cp:revision>3</cp:revision>
  <dcterms:created xsi:type="dcterms:W3CDTF">2019-03-18T16:33:00Z</dcterms:created>
  <dcterms:modified xsi:type="dcterms:W3CDTF">2019-03-29T06:41:00Z</dcterms:modified>
</cp:coreProperties>
</file>