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124" w:rsidRPr="00F12F46" w:rsidRDefault="00AE6124" w:rsidP="00AE6124">
      <w:pPr>
        <w:pStyle w:val="Caption"/>
        <w:spacing w:before="0" w:after="0"/>
        <w:rPr>
          <w:color w:val="000000" w:themeColor="text1"/>
        </w:rPr>
      </w:pPr>
      <w:bookmarkStart w:id="0" w:name="_Ref531097529"/>
      <w:r w:rsidRPr="00F12F46">
        <w:rPr>
          <w:color w:val="000000" w:themeColor="text1"/>
        </w:rPr>
        <w:t xml:space="preserve">Table </w:t>
      </w:r>
      <w:r w:rsidR="00011D70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8</w:t>
      </w:r>
      <w:r w:rsidRPr="00F12F46">
        <w:rPr>
          <w:color w:val="000000" w:themeColor="text1"/>
        </w:rPr>
        <w:fldChar w:fldCharType="end"/>
      </w:r>
      <w:bookmarkEnd w:id="0"/>
      <w:r w:rsidR="00011D70">
        <w:rPr>
          <w:color w:val="000000" w:themeColor="text1"/>
        </w:rPr>
        <w:t>.</w:t>
      </w:r>
      <w:bookmarkStart w:id="1" w:name="_GoBack"/>
      <w:bookmarkEnd w:id="1"/>
      <w:r w:rsidRPr="00F12F46">
        <w:rPr>
          <w:color w:val="000000" w:themeColor="text1"/>
        </w:rPr>
        <w:t xml:space="preserve"> Total soluble solids in the different treatments at the different assessment dates </w:t>
      </w:r>
      <w:r>
        <w:rPr>
          <w:color w:val="000000" w:themeColor="text1"/>
        </w:rPr>
        <w:t>between 2013 and</w:t>
      </w:r>
      <w:r w:rsidRPr="00F12F46">
        <w:rPr>
          <w:color w:val="000000" w:themeColor="text1"/>
        </w:rPr>
        <w:t xml:space="preserve"> 2018. Treatments in the same year at the same assessment date marked with the same letter did not differ significantly (according to Tukey’s multiple comparison procedure (</w:t>
      </w:r>
      <w:r w:rsidRPr="00F12F46">
        <w:rPr>
          <w:i/>
          <w:color w:val="000000" w:themeColor="text1"/>
        </w:rPr>
        <w:t>P</w:t>
      </w:r>
      <w:r w:rsidRPr="00F12F46">
        <w:rPr>
          <w:color w:val="000000" w:themeColor="text1"/>
        </w:rPr>
        <w:t xml:space="preserve"> ≤ 0.05)). If no significant differences were observed, no notations were indicated.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tbl>
      <w:tblPr>
        <w:tblW w:w="13608" w:type="dxa"/>
        <w:tblLayout w:type="fixed"/>
        <w:tblLook w:val="0000" w:firstRow="0" w:lastRow="0" w:firstColumn="0" w:lastColumn="0" w:noHBand="0" w:noVBand="0"/>
      </w:tblPr>
      <w:tblGrid>
        <w:gridCol w:w="791"/>
        <w:gridCol w:w="909"/>
        <w:gridCol w:w="793"/>
        <w:gridCol w:w="794"/>
        <w:gridCol w:w="794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  <w:gridCol w:w="794"/>
        <w:gridCol w:w="794"/>
        <w:gridCol w:w="794"/>
      </w:tblGrid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908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Total soluble solids (brix)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Average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11.3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08/10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13.8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22/10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13.4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15.2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13.9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16.0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11.1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15.0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16.7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19.6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18.2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19.9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19.3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20.5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20.8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6.8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7.5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11.4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13.4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13.7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14.9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15.9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16.5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31/08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11.8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08/09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15.2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15/09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22/09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18.7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20.7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20.6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20.4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20.7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06/10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cd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20.9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29/08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15.3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13/09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17.5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17.8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19/09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18.2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18.3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18.7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18.9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26/09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19.9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9.5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10.4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27/08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14.3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04/09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16.1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11/09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15.8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17.1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18/09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18.6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24/09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17.5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21.9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19.2</w:t>
            </w:r>
          </w:p>
        </w:tc>
      </w:tr>
      <w:tr w:rsidR="00AE6124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  <w:t>01/10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18.9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22.1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6124" w:rsidRPr="00F12F46" w:rsidRDefault="00AE6124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20.5</w:t>
            </w:r>
          </w:p>
        </w:tc>
      </w:tr>
    </w:tbl>
    <w:p w:rsidR="000A20EE" w:rsidRPr="00AE6124" w:rsidRDefault="00011D70" w:rsidP="00AE6124"/>
    <w:sectPr w:rsidR="000A20EE" w:rsidRPr="00AE6124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11D70"/>
    <w:rsid w:val="000E1058"/>
    <w:rsid w:val="001472CE"/>
    <w:rsid w:val="00273CF9"/>
    <w:rsid w:val="00397CE8"/>
    <w:rsid w:val="00504598"/>
    <w:rsid w:val="008167DA"/>
    <w:rsid w:val="009B77DE"/>
    <w:rsid w:val="00AB2564"/>
    <w:rsid w:val="00AE6124"/>
    <w:rsid w:val="00B628E6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2019-03-18T16:35:00Z</dcterms:created>
  <dcterms:modified xsi:type="dcterms:W3CDTF">2019-03-29T06:44:00Z</dcterms:modified>
</cp:coreProperties>
</file>