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37F2E" w14:textId="4584EF5D" w:rsidR="00B7122F" w:rsidRPr="00E462A7" w:rsidRDefault="00E462A7" w:rsidP="00121C98">
      <w:pPr>
        <w:pStyle w:val="MDPI22heading2"/>
        <w:rPr>
          <w:b/>
          <w:bCs/>
          <w:i w:val="0"/>
          <w:iCs/>
        </w:rPr>
      </w:pPr>
      <w:r w:rsidRPr="00E462A7">
        <w:rPr>
          <w:b/>
          <w:bCs/>
          <w:i w:val="0"/>
          <w:iCs/>
        </w:rPr>
        <w:t>Supplementary Methods</w:t>
      </w:r>
      <w:r w:rsidR="00B7122F" w:rsidRPr="00E462A7">
        <w:rPr>
          <w:b/>
          <w:bCs/>
          <w:i w:val="0"/>
          <w:iCs/>
        </w:rPr>
        <w:t xml:space="preserve"> </w:t>
      </w:r>
    </w:p>
    <w:p w14:paraId="137EF284" w14:textId="4B8BA3A2" w:rsidR="00121C98" w:rsidRPr="007C30BD" w:rsidRDefault="00121C98" w:rsidP="00121C98">
      <w:pPr>
        <w:pStyle w:val="MDPI22heading2"/>
      </w:pPr>
      <w:r w:rsidRPr="007C30BD">
        <w:t>AlamarBlue Assay</w:t>
      </w:r>
    </w:p>
    <w:p w14:paraId="461FF230" w14:textId="00DD51F9" w:rsidR="00121C98" w:rsidRDefault="00121C98" w:rsidP="00121C98">
      <w:pPr>
        <w:pStyle w:val="MDPI31text"/>
        <w:rPr>
          <w:spacing w:val="-2"/>
        </w:rPr>
      </w:pPr>
      <w:r w:rsidRPr="009C18EB">
        <w:t>The antiproliferative effect of CX-4945 on HL-60 and OCI-AML3 was assessed using AlamarBlue assay (Life Technologies, CA, USA). Briefly, cells were seeded in flat-bottom 96-well plates (2 × 10</w:t>
      </w:r>
      <w:r w:rsidRPr="009C18EB">
        <w:rPr>
          <w:vertAlign w:val="superscript"/>
        </w:rPr>
        <w:t>5</w:t>
      </w:r>
      <w:r w:rsidRPr="009C18EB">
        <w:t xml:space="preserve"> cells/mL, 200 µL/well) and 24 h later serial dilutions 1:2 ranging from 50-1.6 µM of CX-4945 (Selleck Chemicals, TX, USA) were added. After 72 h of incubation, AlamarBlue was added at 10% (v/v), and cell suspension</w:t>
      </w:r>
      <w:r w:rsidR="004821E7">
        <w:t>s</w:t>
      </w:r>
      <w:r w:rsidRPr="009C18EB">
        <w:t xml:space="preserve"> were incubated for 4 h. </w:t>
      </w:r>
      <w:r w:rsidR="004821E7">
        <w:t>Finally, f</w:t>
      </w:r>
      <w:r w:rsidRPr="009C18EB">
        <w:t>luorescence was measured using a CLARIOstar microplate reader (BMG L</w:t>
      </w:r>
      <w:r>
        <w:t>ABTECH, Ortenberg, Germany) and</w:t>
      </w:r>
      <w:r w:rsidRPr="009C18EB">
        <w:t xml:space="preserve"> </w:t>
      </w:r>
      <w:r w:rsidRPr="00E50EF6">
        <w:t>half-inhibitory concentration (IC</w:t>
      </w:r>
      <w:r w:rsidRPr="00E50EF6">
        <w:rPr>
          <w:vertAlign w:val="subscript"/>
        </w:rPr>
        <w:t>50</w:t>
      </w:r>
      <w:r w:rsidRPr="00E50EF6">
        <w:t>)</w:t>
      </w:r>
      <w:r w:rsidRPr="009C18EB">
        <w:t xml:space="preserve"> values were estimated using CalcuSyn software (v2.1) (Biosoft, Cambridge, United Kingdom)</w:t>
      </w:r>
      <w:r w:rsidR="00E462A7">
        <w:rPr>
          <w:spacing w:val="-2"/>
        </w:rPr>
        <w:t>.</w:t>
      </w:r>
    </w:p>
    <w:p w14:paraId="24CD6326" w14:textId="7497331A" w:rsidR="00121C98" w:rsidRPr="007C30BD" w:rsidRDefault="00344668" w:rsidP="00121C98">
      <w:pPr>
        <w:pStyle w:val="MDPI22heading2"/>
      </w:pPr>
      <w:r w:rsidRPr="00191731">
        <w:t xml:space="preserve">Cell </w:t>
      </w:r>
      <w:r>
        <w:t>C</w:t>
      </w:r>
      <w:r w:rsidRPr="00191731">
        <w:t xml:space="preserve">ycle </w:t>
      </w:r>
      <w:r>
        <w:t>A</w:t>
      </w:r>
      <w:r w:rsidRPr="00191731">
        <w:t>nalysis</w:t>
      </w:r>
    </w:p>
    <w:p w14:paraId="0C6D3780" w14:textId="2E76B500" w:rsidR="00121C98" w:rsidRPr="00121C98" w:rsidRDefault="00344668" w:rsidP="00121C98">
      <w:pPr>
        <w:pStyle w:val="MDPI31text"/>
        <w:rPr>
          <w:spacing w:val="-2"/>
        </w:rPr>
      </w:pPr>
      <w:r>
        <w:t xml:space="preserve">For cell cycle analysis HL-60 and OCI-AML3 cells were incubated with </w:t>
      </w:r>
      <w:r w:rsidR="004821E7">
        <w:t>5</w:t>
      </w:r>
      <w:r>
        <w:t xml:space="preserve"> µM </w:t>
      </w:r>
      <w:r w:rsidR="004821E7">
        <w:t>CX-4945</w:t>
      </w:r>
      <w:r>
        <w:t xml:space="preserve"> </w:t>
      </w:r>
      <w:r w:rsidR="004821E7">
        <w:t>for</w:t>
      </w:r>
      <w:r>
        <w:t xml:space="preserve"> 24 h. Following treatment with the </w:t>
      </w:r>
      <w:r w:rsidR="004821E7">
        <w:t>inhibitor</w:t>
      </w:r>
      <w:r>
        <w:t xml:space="preserve">, cells were collected by centrifugation, washed with PBS and fixed at 4 </w:t>
      </w:r>
      <w:r w:rsidRPr="00C41F7A">
        <w:t>°C</w:t>
      </w:r>
      <w:r w:rsidRPr="00673320">
        <w:t xml:space="preserve"> for </w:t>
      </w:r>
      <w:r>
        <w:t xml:space="preserve">30 min with </w:t>
      </w:r>
      <w:r w:rsidRPr="00673320">
        <w:t xml:space="preserve">ice-cold </w:t>
      </w:r>
      <w:r>
        <w:t>70% ethanol.</w:t>
      </w:r>
      <w:r w:rsidR="004821E7">
        <w:t xml:space="preserve"> C</w:t>
      </w:r>
      <w:r>
        <w:t xml:space="preserve">ells were treated with DNase-free </w:t>
      </w:r>
      <w:r w:rsidRPr="00AC09A8">
        <w:t xml:space="preserve">RNase </w:t>
      </w:r>
      <w:r>
        <w:t xml:space="preserve">A </w:t>
      </w:r>
      <w:r w:rsidRPr="00AC09A8">
        <w:t>(</w:t>
      </w:r>
      <w:r>
        <w:rPr>
          <w:spacing w:val="-2"/>
        </w:rPr>
        <w:t xml:space="preserve">Sigma, </w:t>
      </w:r>
      <w:r w:rsidRPr="00B908DE">
        <w:rPr>
          <w:spacing w:val="-2"/>
        </w:rPr>
        <w:t>MO</w:t>
      </w:r>
      <w:r>
        <w:rPr>
          <w:spacing w:val="-2"/>
        </w:rPr>
        <w:t>, USA</w:t>
      </w:r>
      <w:r w:rsidRPr="00AC09A8">
        <w:t>)</w:t>
      </w:r>
      <w:r>
        <w:t xml:space="preserve"> and subsequently stained at 37 </w:t>
      </w:r>
      <w:r w:rsidRPr="00C41F7A">
        <w:t>°C</w:t>
      </w:r>
      <w:r>
        <w:t xml:space="preserve"> for 20 min with 50 µg/mL PI solution (</w:t>
      </w:r>
      <w:r>
        <w:rPr>
          <w:spacing w:val="-2"/>
        </w:rPr>
        <w:t xml:space="preserve">Sigma, </w:t>
      </w:r>
      <w:r w:rsidRPr="00B908DE">
        <w:rPr>
          <w:spacing w:val="-2"/>
        </w:rPr>
        <w:t>MO</w:t>
      </w:r>
      <w:r>
        <w:rPr>
          <w:spacing w:val="-2"/>
        </w:rPr>
        <w:t>, USA</w:t>
      </w:r>
      <w:r>
        <w:t xml:space="preserve">). Stained cells were analyzed in </w:t>
      </w:r>
      <w:proofErr w:type="spellStart"/>
      <w:r w:rsidR="004821E7">
        <w:t>Partec</w:t>
      </w:r>
      <w:proofErr w:type="spellEnd"/>
      <w:r w:rsidR="004821E7">
        <w:t xml:space="preserve"> </w:t>
      </w:r>
      <w:proofErr w:type="spellStart"/>
      <w:r w:rsidR="004821E7">
        <w:t>CyFlow</w:t>
      </w:r>
      <w:proofErr w:type="spellEnd"/>
      <w:r w:rsidR="004821E7">
        <w:t xml:space="preserve"> Space instrument (Sysmex </w:t>
      </w:r>
      <w:proofErr w:type="spellStart"/>
      <w:r w:rsidR="004821E7">
        <w:t>Partec</w:t>
      </w:r>
      <w:proofErr w:type="spellEnd"/>
      <w:r w:rsidR="004821E7">
        <w:t xml:space="preserve"> GmbH, G</w:t>
      </w:r>
      <w:r w:rsidR="004821E7" w:rsidRPr="00360525">
        <w:t>o</w:t>
      </w:r>
      <w:r w:rsidR="004821E7">
        <w:t>rlitz, German</w:t>
      </w:r>
      <w:r w:rsidR="004821E7" w:rsidRPr="00360525">
        <w:t>y</w:t>
      </w:r>
      <w:r w:rsidR="004821E7">
        <w:t xml:space="preserve">) and </w:t>
      </w:r>
      <w:proofErr w:type="spellStart"/>
      <w:r w:rsidR="004821E7">
        <w:t>FlowJo</w:t>
      </w:r>
      <w:proofErr w:type="spellEnd"/>
      <w:r w:rsidR="004821E7">
        <w:t xml:space="preserve"> software (v7.6.1) (BD, Ashland, OR, USA) was used for data analysis and visualization</w:t>
      </w:r>
      <w:r w:rsidR="00121C98" w:rsidRPr="009C18EB">
        <w:rPr>
          <w:spacing w:val="-2"/>
        </w:rPr>
        <w:t>.</w:t>
      </w:r>
    </w:p>
    <w:p w14:paraId="53B22D41" w14:textId="77777777" w:rsidR="00344668" w:rsidRPr="00744116" w:rsidRDefault="00344668" w:rsidP="00344668">
      <w:pPr>
        <w:pStyle w:val="MDPI22heading2"/>
      </w:pPr>
      <w:r>
        <w:t>Annexin V/PI Staining</w:t>
      </w:r>
    </w:p>
    <w:p w14:paraId="1BBDED9E" w14:textId="7B379E22" w:rsidR="00121C98" w:rsidRDefault="00344668" w:rsidP="00344668">
      <w:pPr>
        <w:pStyle w:val="MDPI31text"/>
        <w:rPr>
          <w:spacing w:val="-2"/>
        </w:rPr>
      </w:pPr>
      <w:r>
        <w:t xml:space="preserve">Viability of AML cells was measured using FITC Annexin V Apoptosis Detection Kit I (BD Biosciences, CA, USA). Briefly, HL-60 and OCI-AML3 cells were incubated with </w:t>
      </w:r>
      <w:r w:rsidR="004821E7">
        <w:t>5</w:t>
      </w:r>
      <w:r>
        <w:t xml:space="preserve"> µM C</w:t>
      </w:r>
      <w:r w:rsidR="004821E7">
        <w:t>X-4945</w:t>
      </w:r>
      <w:r>
        <w:t xml:space="preserve"> </w:t>
      </w:r>
      <w:r w:rsidR="004821E7">
        <w:t>for</w:t>
      </w:r>
      <w:r>
        <w:t xml:space="preserve"> 24 h. </w:t>
      </w:r>
      <w:r w:rsidR="004821E7">
        <w:t>C</w:t>
      </w:r>
      <w:r>
        <w:t>ells were w</w:t>
      </w:r>
      <w:r w:rsidRPr="00360525">
        <w:t>ash</w:t>
      </w:r>
      <w:r>
        <w:t>ed</w:t>
      </w:r>
      <w:r w:rsidRPr="00360525">
        <w:t xml:space="preserve"> twice with cold PBS</w:t>
      </w:r>
      <w:r>
        <w:t xml:space="preserve"> and resuspended in binding buffer (1×) at a final concentration of 1 × 10</w:t>
      </w:r>
      <w:r w:rsidRPr="00A30462">
        <w:rPr>
          <w:vertAlign w:val="superscript"/>
        </w:rPr>
        <w:t>6</w:t>
      </w:r>
      <w:r>
        <w:t xml:space="preserve"> cells/</w:t>
      </w:r>
      <w:proofErr w:type="spellStart"/>
      <w:r>
        <w:t>mL.</w:t>
      </w:r>
      <w:proofErr w:type="spellEnd"/>
      <w:r>
        <w:t xml:space="preserve"> Subsequently, 5 µL of FITC Annexin V and PI were added and cells suspensions were incubated for 15 min at room temperature in the dark. Flow cytometric analysis of stained cells was performed in </w:t>
      </w:r>
      <w:r w:rsidR="004821E7">
        <w:t xml:space="preserve">abovementioned </w:t>
      </w:r>
      <w:proofErr w:type="spellStart"/>
      <w:r w:rsidR="004821E7">
        <w:t>Partec</w:t>
      </w:r>
      <w:proofErr w:type="spellEnd"/>
      <w:r w:rsidR="004821E7">
        <w:t xml:space="preserve"> </w:t>
      </w:r>
      <w:proofErr w:type="spellStart"/>
      <w:r w:rsidR="004821E7">
        <w:t>CyFlow</w:t>
      </w:r>
      <w:proofErr w:type="spellEnd"/>
      <w:r w:rsidR="004821E7">
        <w:t xml:space="preserve"> Space instrument and </w:t>
      </w:r>
      <w:proofErr w:type="spellStart"/>
      <w:r w:rsidR="004821E7">
        <w:t>FlowJo</w:t>
      </w:r>
      <w:proofErr w:type="spellEnd"/>
      <w:r w:rsidR="004821E7">
        <w:t xml:space="preserve"> Software (v7.6.1) was used for data processing and visualization</w:t>
      </w:r>
      <w:r w:rsidR="00121C98" w:rsidRPr="009C18EB">
        <w:rPr>
          <w:spacing w:val="-2"/>
        </w:rPr>
        <w:t>.</w:t>
      </w:r>
    </w:p>
    <w:p w14:paraId="24BCFE64" w14:textId="77777777" w:rsidR="00344668" w:rsidRPr="004A3890" w:rsidRDefault="00344668" w:rsidP="00344668">
      <w:pPr>
        <w:pStyle w:val="MDPI22heading2"/>
      </w:pPr>
      <w:r w:rsidRPr="004A3890">
        <w:t xml:space="preserve">Western </w:t>
      </w:r>
      <w:r>
        <w:t>B</w:t>
      </w:r>
      <w:r w:rsidRPr="004A3890">
        <w:t>lot</w:t>
      </w:r>
    </w:p>
    <w:p w14:paraId="134CE24E" w14:textId="4A56F46E" w:rsidR="00121C98" w:rsidRPr="00121C98" w:rsidRDefault="00344668" w:rsidP="00344668">
      <w:pPr>
        <w:pStyle w:val="MDPI31text"/>
        <w:rPr>
          <w:spacing w:val="-2"/>
        </w:rPr>
      </w:pPr>
      <w:r>
        <w:t>Cells were lysed in RIPA buffer containing protease/phosphatase inhibitor (</w:t>
      </w:r>
      <w:r w:rsidRPr="00E27F9F">
        <w:rPr>
          <w:spacing w:val="-2"/>
        </w:rPr>
        <w:t>Thermo Fisher Scientific, MA, USA</w:t>
      </w:r>
      <w:r>
        <w:t xml:space="preserve">), and equal amounts of protein were resolved in 12.5% SDS-PAGE </w:t>
      </w:r>
      <w:r>
        <w:fldChar w:fldCharType="begin"/>
      </w:r>
      <w:r>
        <w:instrText xml:space="preserve"> ADDIN EN.CITE &lt;EndNote&gt;&lt;Cite&gt;&lt;Author&gt;Laemmli&lt;/Author&gt;&lt;Year&gt;1970&lt;/Year&gt;&lt;RecNum&gt;413&lt;/RecNum&gt;&lt;DisplayText&gt;[47]&lt;/DisplayText&gt;&lt;record&gt;&lt;rec-number&gt;413&lt;/rec-number&gt;&lt;foreign-keys&gt;&lt;key app="EN" db-id="xr20tev9jefrz2e2aae5aaf0ezfvpzawteef" timestamp="1600796814"&gt;413&lt;/key&gt;&lt;/foreign-keys&gt;&lt;ref-type name="Journal Article"&gt;17&lt;/ref-type&gt;&lt;contributors&gt;&lt;authors&gt;&lt;author&gt;Laemmli, U. K.&lt;/author&gt;&lt;/authors&gt;&lt;/contributors&gt;&lt;titles&gt;&lt;title&gt;Cleavage of structural proteins during the assembly of the head of bacteriophage T4&lt;/title&gt;&lt;secondary-title&gt;Nature&lt;/secondary-title&gt;&lt;alt-title&gt;Nature&lt;/alt-title&gt;&lt;/titles&gt;&lt;periodical&gt;&lt;full-title&gt;Nature&lt;/full-title&gt;&lt;/periodical&gt;&lt;alt-periodical&gt;&lt;full-title&gt;Nature&lt;/full-title&gt;&lt;/alt-periodical&gt;&lt;pages&gt;680-5&lt;/pages&gt;&lt;volume&gt;227&lt;/volume&gt;&lt;number&gt;5259&lt;/number&gt;&lt;edition&gt;1970/08/15&lt;/edition&gt;&lt;keywords&gt;&lt;keyword&gt;Autoradiography&lt;/keyword&gt;&lt;keyword&gt;Carbon Isotopes&lt;/keyword&gt;&lt;keyword&gt;Coliphages/*metabolism&lt;/keyword&gt;&lt;keyword&gt;Electrophoresis, Disc&lt;/keyword&gt;&lt;keyword&gt;Genes&lt;/keyword&gt;&lt;keyword&gt;Genetics, Microbial&lt;/keyword&gt;&lt;keyword&gt;Kinetics&lt;/keyword&gt;&lt;keyword&gt;Viral Proteins/*metabolism&lt;/keyword&gt;&lt;/keywords&gt;&lt;dates&gt;&lt;year&gt;1970&lt;/year&gt;&lt;pub-dates&gt;&lt;date&gt;Aug 15&lt;/date&gt;&lt;/pub-dates&gt;&lt;/dates&gt;&lt;isbn&gt;0028-0836 (Print)&amp;#xD;0028-0836&lt;/isbn&gt;&lt;accession-num&gt;5432063&lt;/accession-num&gt;&lt;urls&gt;&lt;/urls&gt;&lt;electronic-resource-num&gt;10.1038/227680a0&lt;/electronic-resource-num&gt;&lt;remote-database-provider&gt;NLM&lt;/remote-database-provider&gt;&lt;language&gt;eng&lt;/language&gt;&lt;/record&gt;&lt;/Cite&gt;&lt;/EndNote&gt;</w:instrText>
      </w:r>
      <w:r>
        <w:fldChar w:fldCharType="separate"/>
      </w:r>
      <w:r>
        <w:rPr>
          <w:noProof/>
        </w:rPr>
        <w:t>[</w:t>
      </w:r>
      <w:hyperlink w:anchor="_ENREF_47" w:tooltip="Laemmli, 1970 #413" w:history="1">
        <w:r w:rsidRPr="009C400D">
          <w:rPr>
            <w:rStyle w:val="Hyperlink"/>
          </w:rPr>
          <w:t>47</w:t>
        </w:r>
      </w:hyperlink>
      <w:r>
        <w:rPr>
          <w:noProof/>
        </w:rPr>
        <w:t>]</w:t>
      </w:r>
      <w:r>
        <w:fldChar w:fldCharType="end"/>
      </w:r>
      <w:r>
        <w:t xml:space="preserve">. Next, proteins were transferred to a nitrocellulose membrane and immunoblotted with the following antibodies according to instructions from the manufacturer: </w:t>
      </w:r>
      <w:r w:rsidR="00E462A7">
        <w:t>p-AKT (S473), AKT, p-RPS6 (S235/6), RPS6</w:t>
      </w:r>
      <w:r>
        <w:t xml:space="preserve"> (</w:t>
      </w:r>
      <w:r w:rsidRPr="00F601EA">
        <w:t>Cell Signaling Technology, MA, USA</w:t>
      </w:r>
      <w:r>
        <w:t>)</w:t>
      </w:r>
      <w:r w:rsidRPr="00F601EA">
        <w:t>,</w:t>
      </w:r>
      <w:r>
        <w:t xml:space="preserve"> </w:t>
      </w:r>
      <w:r w:rsidR="00E462A7">
        <w:t xml:space="preserve">and </w:t>
      </w:r>
      <w:r>
        <w:t>β-actin (</w:t>
      </w:r>
      <w:r>
        <w:rPr>
          <w:spacing w:val="-2"/>
        </w:rPr>
        <w:t xml:space="preserve">Sigma, </w:t>
      </w:r>
      <w:r w:rsidRPr="00B908DE">
        <w:rPr>
          <w:spacing w:val="-2"/>
        </w:rPr>
        <w:t>MO</w:t>
      </w:r>
      <w:r>
        <w:rPr>
          <w:spacing w:val="-2"/>
        </w:rPr>
        <w:t>, USA</w:t>
      </w:r>
      <w:r>
        <w:t>). Detection was performed with peroxidase-conjugate</w:t>
      </w:r>
      <w:r w:rsidR="00F56E0B">
        <w:t xml:space="preserve">d </w:t>
      </w:r>
      <w:r>
        <w:t xml:space="preserve">anti-rabbit </w:t>
      </w:r>
      <w:r w:rsidR="00F56E0B">
        <w:t xml:space="preserve">or </w:t>
      </w:r>
      <w:r w:rsidR="00F56E0B">
        <w:t>anti-mouse IgG</w:t>
      </w:r>
      <w:r w:rsidR="00F56E0B">
        <w:t xml:space="preserve"> </w:t>
      </w:r>
      <w:r>
        <w:t>(</w:t>
      </w:r>
      <w:r>
        <w:rPr>
          <w:spacing w:val="-2"/>
        </w:rPr>
        <w:t xml:space="preserve">Sigma, </w:t>
      </w:r>
      <w:r w:rsidRPr="00B908DE">
        <w:rPr>
          <w:spacing w:val="-2"/>
        </w:rPr>
        <w:t>MO</w:t>
      </w:r>
      <w:r>
        <w:rPr>
          <w:spacing w:val="-2"/>
        </w:rPr>
        <w:t>, USA</w:t>
      </w:r>
      <w:r>
        <w:t xml:space="preserve">), and signal was developed using </w:t>
      </w:r>
      <w:proofErr w:type="spellStart"/>
      <w:r w:rsidRPr="005B3E30">
        <w:t>SuperSignal</w:t>
      </w:r>
      <w:proofErr w:type="spellEnd"/>
      <w:r w:rsidRPr="005B3E30">
        <w:t xml:space="preserve"> West Pico Chem</w:t>
      </w:r>
      <w:bookmarkStart w:id="0" w:name="_GoBack"/>
      <w:bookmarkEnd w:id="0"/>
      <w:r w:rsidRPr="005B3E30">
        <w:t>iluminescent Substrate</w:t>
      </w:r>
      <w:r>
        <w:t xml:space="preserve"> (</w:t>
      </w:r>
      <w:r w:rsidRPr="00E27F9F">
        <w:rPr>
          <w:spacing w:val="-2"/>
        </w:rPr>
        <w:t>Thermo Fisher Scientific, MA, USA</w:t>
      </w:r>
      <w:r>
        <w:t>).</w:t>
      </w:r>
    </w:p>
    <w:sectPr w:rsidR="00121C98" w:rsidRPr="00121C98" w:rsidSect="000C3F29">
      <w:headerReference w:type="even" r:id="rId6"/>
      <w:footerReference w:type="default" r:id="rId7"/>
      <w:footerReference w:type="first" r:id="rId8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718DF" w14:textId="77777777" w:rsidR="007B162D" w:rsidRDefault="007B162D" w:rsidP="000C3F29">
      <w:pPr>
        <w:spacing w:line="240" w:lineRule="auto"/>
      </w:pPr>
      <w:r>
        <w:separator/>
      </w:r>
    </w:p>
  </w:endnote>
  <w:endnote w:type="continuationSeparator" w:id="0">
    <w:p w14:paraId="08850C2A" w14:textId="77777777" w:rsidR="007B162D" w:rsidRDefault="007B162D" w:rsidP="000C3F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0D6ED" w14:textId="77777777" w:rsidR="0004400E" w:rsidRPr="00A71A3D" w:rsidRDefault="007B162D" w:rsidP="0004400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75795" w14:textId="7FD24894" w:rsidR="0004400E" w:rsidRPr="008B308E" w:rsidRDefault="007B162D" w:rsidP="00EC23EC">
    <w:pPr>
      <w:pStyle w:val="MDPIfooterfirstpage"/>
      <w:spacing w:line="240" w:lineRule="auto"/>
      <w:jc w:val="both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EA32" w14:textId="77777777" w:rsidR="007B162D" w:rsidRDefault="007B162D" w:rsidP="000C3F29">
      <w:pPr>
        <w:spacing w:line="240" w:lineRule="auto"/>
      </w:pPr>
      <w:r>
        <w:separator/>
      </w:r>
    </w:p>
  </w:footnote>
  <w:footnote w:type="continuationSeparator" w:id="0">
    <w:p w14:paraId="48620FBA" w14:textId="77777777" w:rsidR="007B162D" w:rsidRDefault="007B162D" w:rsidP="000C3F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4B0BD" w14:textId="77777777" w:rsidR="0004400E" w:rsidRDefault="007B162D" w:rsidP="0004400E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E6"/>
    <w:rsid w:val="0006133B"/>
    <w:rsid w:val="000C3F29"/>
    <w:rsid w:val="00121C98"/>
    <w:rsid w:val="00130A35"/>
    <w:rsid w:val="001A63C6"/>
    <w:rsid w:val="001C294F"/>
    <w:rsid w:val="00210EE3"/>
    <w:rsid w:val="002E5C20"/>
    <w:rsid w:val="002F786F"/>
    <w:rsid w:val="00344668"/>
    <w:rsid w:val="004446B3"/>
    <w:rsid w:val="004821E7"/>
    <w:rsid w:val="00497E83"/>
    <w:rsid w:val="004A6C2B"/>
    <w:rsid w:val="004B4DE5"/>
    <w:rsid w:val="004F1CC5"/>
    <w:rsid w:val="00543B1B"/>
    <w:rsid w:val="00560713"/>
    <w:rsid w:val="005F6EEC"/>
    <w:rsid w:val="0067650E"/>
    <w:rsid w:val="00742F25"/>
    <w:rsid w:val="00776E99"/>
    <w:rsid w:val="007B162D"/>
    <w:rsid w:val="0086593B"/>
    <w:rsid w:val="008C0752"/>
    <w:rsid w:val="0098519F"/>
    <w:rsid w:val="009E6951"/>
    <w:rsid w:val="00A26FE6"/>
    <w:rsid w:val="00A67CCF"/>
    <w:rsid w:val="00AF4D28"/>
    <w:rsid w:val="00B01329"/>
    <w:rsid w:val="00B36673"/>
    <w:rsid w:val="00B407B8"/>
    <w:rsid w:val="00B4798B"/>
    <w:rsid w:val="00B7122F"/>
    <w:rsid w:val="00BB7833"/>
    <w:rsid w:val="00CD0B3E"/>
    <w:rsid w:val="00D07B31"/>
    <w:rsid w:val="00D60A0A"/>
    <w:rsid w:val="00D6267D"/>
    <w:rsid w:val="00E4125B"/>
    <w:rsid w:val="00E462A7"/>
    <w:rsid w:val="00E5616C"/>
    <w:rsid w:val="00E57C15"/>
    <w:rsid w:val="00E73E27"/>
    <w:rsid w:val="00E91473"/>
    <w:rsid w:val="00F56E0B"/>
    <w:rsid w:val="00F87340"/>
    <w:rsid w:val="00FA15D7"/>
    <w:rsid w:val="00FA321A"/>
    <w:rsid w:val="00FD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B1BAEA"/>
  <w14:defaultImageDpi w14:val="32767"/>
  <w15:chartTrackingRefBased/>
  <w15:docId w15:val="{754B6398-9E5B-4140-A122-4AFC3AEB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F2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C3F2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C3F29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Header">
    <w:name w:val="header"/>
    <w:basedOn w:val="Normal"/>
    <w:link w:val="HeaderChar"/>
    <w:uiPriority w:val="99"/>
    <w:rsid w:val="000C3F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C3F29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0C3F29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lang w:val="en-US" w:eastAsia="de-CH"/>
    </w:rPr>
  </w:style>
  <w:style w:type="paragraph" w:customStyle="1" w:styleId="MDPI51figurecaption">
    <w:name w:val="MDPI_5.1_figure_caption"/>
    <w:basedOn w:val="Normal"/>
    <w:qFormat/>
    <w:rsid w:val="000C3F29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customStyle="1" w:styleId="MDPIfooterfirstpage">
    <w:name w:val="MDPI_footer_firstpage"/>
    <w:basedOn w:val="Normal"/>
    <w:qFormat/>
    <w:rsid w:val="000C3F29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character" w:styleId="Hyperlink">
    <w:name w:val="Hyperlink"/>
    <w:uiPriority w:val="99"/>
    <w:unhideWhenUsed/>
    <w:rsid w:val="000C3F29"/>
    <w:rPr>
      <w:color w:val="0563C1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0C3F29"/>
  </w:style>
  <w:style w:type="paragraph" w:customStyle="1" w:styleId="MDPI31text">
    <w:name w:val="MDPI_3.1_text"/>
    <w:link w:val="MDPI31textChar"/>
    <w:qFormat/>
    <w:rsid w:val="00121C98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customStyle="1" w:styleId="MDPI31textChar">
    <w:name w:val="MDPI_3.1_text Char"/>
    <w:link w:val="MDPI31text"/>
    <w:rsid w:val="00121C98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basedOn w:val="Normal"/>
    <w:qFormat/>
    <w:rsid w:val="00121C9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</dc:creator>
  <cp:keywords/>
  <dc:description/>
  <cp:lastModifiedBy>MAURO</cp:lastModifiedBy>
  <cp:revision>27</cp:revision>
  <dcterms:created xsi:type="dcterms:W3CDTF">2020-08-23T16:11:00Z</dcterms:created>
  <dcterms:modified xsi:type="dcterms:W3CDTF">2021-01-27T15:06:00Z</dcterms:modified>
</cp:coreProperties>
</file>