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CCE33D5" w14:textId="6F2666CC" w:rsidR="00EE3507" w:rsidRDefault="00EE3507" w:rsidP="00EE3507">
      <w:pPr>
        <w:pStyle w:val="MDPI51figurecaption"/>
        <w:spacing w:after="120"/>
        <w:jc w:val="left"/>
        <w:rPr>
          <w:b/>
          <w:bCs/>
          <w:sz w:val="20"/>
          <w:szCs w:val="22"/>
        </w:rPr>
      </w:pPr>
      <w:r w:rsidRPr="00EE3507">
        <w:rPr>
          <w:b/>
          <w:bCs/>
          <w:sz w:val="20"/>
          <w:szCs w:val="22"/>
        </w:rPr>
        <w:t xml:space="preserve">Supplementary </w:t>
      </w:r>
      <w:r>
        <w:rPr>
          <w:b/>
          <w:bCs/>
          <w:sz w:val="20"/>
          <w:szCs w:val="22"/>
        </w:rPr>
        <w:t>Figures</w:t>
      </w:r>
      <w:bookmarkStart w:id="0" w:name="_GoBack"/>
      <w:bookmarkEnd w:id="0"/>
    </w:p>
    <w:p w14:paraId="2F428856" w14:textId="77777777" w:rsidR="00EE3507" w:rsidRPr="00EE3507" w:rsidRDefault="00EE3507" w:rsidP="00EE3507">
      <w:pPr>
        <w:pStyle w:val="MDPI51figurecaption"/>
        <w:spacing w:after="120"/>
        <w:jc w:val="left"/>
        <w:rPr>
          <w:b/>
          <w:bCs/>
          <w:noProof/>
          <w:sz w:val="20"/>
          <w:szCs w:val="22"/>
        </w:rPr>
      </w:pPr>
    </w:p>
    <w:p w14:paraId="521DAA93" w14:textId="7F7E56A0" w:rsidR="00FA321A" w:rsidRDefault="00497E83" w:rsidP="00AF4D28">
      <w:pPr>
        <w:pStyle w:val="MDPI51figurecaption"/>
        <w:spacing w:after="120"/>
        <w:jc w:val="center"/>
        <w:rPr>
          <w:b/>
        </w:rPr>
      </w:pPr>
      <w:r>
        <w:rPr>
          <w:b/>
          <w:noProof/>
        </w:rPr>
        <w:drawing>
          <wp:inline distT="0" distB="0" distL="0" distR="0" wp14:anchorId="4DAD270A" wp14:editId="5C129FA2">
            <wp:extent cx="5113604" cy="4059936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60" r="2625"/>
                    <a:stretch/>
                  </pic:blipFill>
                  <pic:spPr bwMode="auto">
                    <a:xfrm>
                      <a:off x="0" y="0"/>
                      <a:ext cx="5127479" cy="40709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5E0B608" w14:textId="3E1305EA" w:rsidR="00130A35" w:rsidRDefault="004446B3" w:rsidP="0006133B">
      <w:pPr>
        <w:pStyle w:val="MDPI51figurecaption"/>
        <w:spacing w:after="120"/>
      </w:pPr>
      <w:r>
        <w:rPr>
          <w:b/>
        </w:rPr>
        <w:t>Figure S1</w:t>
      </w:r>
      <w:r w:rsidRPr="000D5B0B">
        <w:rPr>
          <w:b/>
        </w:rPr>
        <w:t>.</w:t>
      </w:r>
      <w:r>
        <w:rPr>
          <w:b/>
        </w:rPr>
        <w:t xml:space="preserve"> </w:t>
      </w:r>
      <w:r w:rsidR="0006133B">
        <w:t xml:space="preserve">CK2 inhibitor </w:t>
      </w:r>
      <w:r w:rsidR="00560713">
        <w:t xml:space="preserve">CX-4945 </w:t>
      </w:r>
      <w:r w:rsidR="00D60A0A">
        <w:t>impairs</w:t>
      </w:r>
      <w:r w:rsidR="00560713" w:rsidRPr="000D5B0B">
        <w:t xml:space="preserve"> </w:t>
      </w:r>
      <w:r w:rsidR="00D60A0A">
        <w:t>proliferation and viability</w:t>
      </w:r>
      <w:r w:rsidR="007A6745" w:rsidRPr="007A6745">
        <w:t xml:space="preserve"> </w:t>
      </w:r>
      <w:r w:rsidR="007A6745">
        <w:t xml:space="preserve">of </w:t>
      </w:r>
      <w:r w:rsidR="007A6745" w:rsidRPr="000D5B0B">
        <w:t>AML cell</w:t>
      </w:r>
      <w:r w:rsidR="007A6745">
        <w:t>s</w:t>
      </w:r>
      <w:r w:rsidR="007A6745" w:rsidRPr="009C18EB">
        <w:t>: (</w:t>
      </w:r>
      <w:r w:rsidR="007A6745" w:rsidRPr="009C18EB">
        <w:rPr>
          <w:b/>
        </w:rPr>
        <w:t>a</w:t>
      </w:r>
      <w:r w:rsidR="007A6745" w:rsidRPr="009C18EB">
        <w:t xml:space="preserve">) </w:t>
      </w:r>
      <w:r w:rsidR="00560713">
        <w:t xml:space="preserve">Proliferation of HL-60 and OCI-AML3 cells was assessed using </w:t>
      </w:r>
      <w:r w:rsidR="00560713" w:rsidRPr="000D5B0B">
        <w:t>AlamarBlue</w:t>
      </w:r>
      <w:r w:rsidR="00560713">
        <w:t xml:space="preserve"> assay.</w:t>
      </w:r>
      <w:r w:rsidR="0086593B">
        <w:t xml:space="preserve"> </w:t>
      </w:r>
      <w:r w:rsidR="00560713">
        <w:t>Dose-response curve</w:t>
      </w:r>
      <w:r w:rsidR="00B01329">
        <w:t>s</w:t>
      </w:r>
      <w:r w:rsidR="00560713">
        <w:t xml:space="preserve"> </w:t>
      </w:r>
      <w:r w:rsidR="00B01329">
        <w:t>are</w:t>
      </w:r>
      <w:r w:rsidR="00560713">
        <w:t xml:space="preserve"> representative of three independent experiments and </w:t>
      </w:r>
      <w:r w:rsidR="00560713" w:rsidRPr="00972B27">
        <w:t>IC</w:t>
      </w:r>
      <w:r w:rsidR="00560713" w:rsidRPr="009B76DE">
        <w:rPr>
          <w:vertAlign w:val="subscript"/>
        </w:rPr>
        <w:t>50</w:t>
      </w:r>
      <w:r w:rsidR="00560713">
        <w:t xml:space="preserve"> values are shown as mean ± SD, n = 3</w:t>
      </w:r>
      <w:r>
        <w:t>.</w:t>
      </w:r>
      <w:r w:rsidR="005F6EEC">
        <w:t xml:space="preserve"> ns</w:t>
      </w:r>
      <w:r w:rsidR="00BB7833">
        <w:t>,</w:t>
      </w:r>
      <w:r w:rsidR="005F6EEC">
        <w:t xml:space="preserve"> not significant</w:t>
      </w:r>
      <w:r w:rsidR="007A6745" w:rsidRPr="009C18EB">
        <w:t>; (</w:t>
      </w:r>
      <w:r w:rsidR="007A6745" w:rsidRPr="009C18EB">
        <w:rPr>
          <w:b/>
        </w:rPr>
        <w:t>b</w:t>
      </w:r>
      <w:r w:rsidR="007A6745" w:rsidRPr="009C18EB">
        <w:t xml:space="preserve">) </w:t>
      </w:r>
      <w:r w:rsidR="00B420C7">
        <w:t>Analysis of c</w:t>
      </w:r>
      <w:r w:rsidR="00B420C7" w:rsidRPr="000D5B0B">
        <w:t>ell cycle</w:t>
      </w:r>
      <w:r w:rsidR="00B420C7">
        <w:t xml:space="preserve"> distribution was conducted </w:t>
      </w:r>
      <w:r w:rsidR="00511E7A">
        <w:t>after</w:t>
      </w:r>
      <w:r w:rsidR="00B420C7">
        <w:t xml:space="preserve"> 24 h of incubation </w:t>
      </w:r>
      <w:r w:rsidR="00AE6183">
        <w:t xml:space="preserve">of AML cells </w:t>
      </w:r>
      <w:r w:rsidR="00B420C7">
        <w:t>with 5 µM CX-4945. The inhibitor induced accumulation of HL-60 cells in G2/M</w:t>
      </w:r>
      <w:r w:rsidR="00B420C7" w:rsidRPr="00972B27">
        <w:t xml:space="preserve"> phase</w:t>
      </w:r>
      <w:r w:rsidR="00B420C7">
        <w:t>, whereas accumulation of OCI-AML3 cells in S phase was observed</w:t>
      </w:r>
      <w:r w:rsidR="007A6745" w:rsidRPr="009C18EB">
        <w:t>; (</w:t>
      </w:r>
      <w:r w:rsidR="007A6745">
        <w:rPr>
          <w:b/>
        </w:rPr>
        <w:t>c</w:t>
      </w:r>
      <w:r w:rsidR="007A6745" w:rsidRPr="009C18EB">
        <w:t xml:space="preserve">) </w:t>
      </w:r>
      <w:r w:rsidR="00B420C7">
        <w:t xml:space="preserve">Viability of HL-60 and OCI-AML3 cells was measured by </w:t>
      </w:r>
      <w:r w:rsidR="00B420C7" w:rsidRPr="000D5B0B">
        <w:t>A</w:t>
      </w:r>
      <w:r w:rsidR="00B420C7">
        <w:t>n</w:t>
      </w:r>
      <w:r w:rsidR="00B420C7" w:rsidRPr="000D5B0B">
        <w:t>nexin V/PI</w:t>
      </w:r>
      <w:r w:rsidR="00B420C7">
        <w:t xml:space="preserve"> staining. Following 24 h of incubation, CX-4945 induced apoptosis in both AML cell </w:t>
      </w:r>
      <w:r w:rsidR="008844EC">
        <w:t>lines;</w:t>
      </w:r>
      <w:r w:rsidR="00B420C7">
        <w:t xml:space="preserve"> however</w:t>
      </w:r>
      <w:r w:rsidR="008844EC">
        <w:t>,</w:t>
      </w:r>
      <w:r w:rsidR="00B420C7">
        <w:t xml:space="preserve"> the percentage of apoptotic cells </w:t>
      </w:r>
      <w:r w:rsidR="008844EC">
        <w:t>was</w:t>
      </w:r>
      <w:r w:rsidR="00B420C7">
        <w:t xml:space="preserve"> higher in OCI-AML3 treated cells when compared to HL-60 cells</w:t>
      </w:r>
      <w:r w:rsidR="007A6745" w:rsidRPr="009C18EB">
        <w:t>; (</w:t>
      </w:r>
      <w:r w:rsidR="007A6745">
        <w:rPr>
          <w:b/>
        </w:rPr>
        <w:t>d</w:t>
      </w:r>
      <w:r w:rsidR="007A6745" w:rsidRPr="009C18EB">
        <w:t xml:space="preserve">) </w:t>
      </w:r>
      <w:r w:rsidR="00AE6183">
        <w:t xml:space="preserve">Immunodetection of </w:t>
      </w:r>
      <w:r w:rsidR="00814030">
        <w:t xml:space="preserve">PI3K/AKT signaling pathway mediators </w:t>
      </w:r>
      <w:r w:rsidR="00AE6183">
        <w:t>in HL-60 and OCI-AML3 cells treated with 5 µM CX-4945</w:t>
      </w:r>
      <w:r w:rsidR="007A6745">
        <w:t>.</w:t>
      </w:r>
      <w:r w:rsidR="00814030">
        <w:t xml:space="preserve"> Experiments were conducted in the presence of serum 10 % v/v (R10) or 1 % v/v (R1). To note, we were unable to detect the selected PI3K/AKT mediators in HL-60 cells under R1 conditions. </w:t>
      </w:r>
    </w:p>
    <w:p w14:paraId="35C9D12D" w14:textId="1A6A7F32" w:rsidR="00130A35" w:rsidRDefault="00130A35" w:rsidP="004446B3">
      <w:pPr>
        <w:pStyle w:val="MDPI51figurecaption"/>
        <w:spacing w:after="120"/>
      </w:pPr>
    </w:p>
    <w:p w14:paraId="029E5E76" w14:textId="109A7850" w:rsidR="00130A35" w:rsidRDefault="00130A35" w:rsidP="004446B3">
      <w:pPr>
        <w:pStyle w:val="MDPI51figurecaption"/>
        <w:spacing w:after="120"/>
      </w:pPr>
    </w:p>
    <w:p w14:paraId="11064552" w14:textId="389E245F" w:rsidR="00130A35" w:rsidRDefault="00130A35" w:rsidP="004446B3">
      <w:pPr>
        <w:pStyle w:val="MDPI51figurecaption"/>
        <w:spacing w:after="120"/>
      </w:pPr>
    </w:p>
    <w:p w14:paraId="25E6123A" w14:textId="0655FA04" w:rsidR="00130A35" w:rsidRDefault="00130A35" w:rsidP="004446B3">
      <w:pPr>
        <w:pStyle w:val="MDPI51figurecaption"/>
        <w:spacing w:after="120"/>
      </w:pPr>
    </w:p>
    <w:p w14:paraId="2B650EBF" w14:textId="5EF37E11" w:rsidR="00130A35" w:rsidRDefault="00130A35" w:rsidP="004446B3">
      <w:pPr>
        <w:pStyle w:val="MDPI51figurecaption"/>
        <w:spacing w:after="120"/>
      </w:pPr>
    </w:p>
    <w:p w14:paraId="3E38335C" w14:textId="0D171A74" w:rsidR="00130A35" w:rsidRDefault="00130A35" w:rsidP="004446B3">
      <w:pPr>
        <w:pStyle w:val="MDPI51figurecaption"/>
        <w:spacing w:after="120"/>
      </w:pPr>
    </w:p>
    <w:p w14:paraId="4A5E994D" w14:textId="2A2BEB8D" w:rsidR="00130A35" w:rsidRDefault="00130A35" w:rsidP="004446B3">
      <w:pPr>
        <w:pStyle w:val="MDPI51figurecaption"/>
        <w:spacing w:after="120"/>
      </w:pPr>
    </w:p>
    <w:p w14:paraId="49FE9247" w14:textId="5ABF4FF5" w:rsidR="00A67CCF" w:rsidRDefault="00A67CCF" w:rsidP="000C3F29">
      <w:pPr>
        <w:pStyle w:val="MDPI51figurecaption"/>
        <w:spacing w:after="120"/>
        <w:rPr>
          <w:b/>
        </w:rPr>
      </w:pPr>
      <w:r>
        <w:rPr>
          <w:b/>
          <w:noProof/>
        </w:rPr>
        <w:lastRenderedPageBreak/>
        <w:drawing>
          <wp:inline distT="0" distB="0" distL="0" distR="0" wp14:anchorId="58EC17F7" wp14:editId="26AE71D9">
            <wp:extent cx="5081503" cy="6081623"/>
            <wp:effectExtent l="0" t="0" r="508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1186" cy="609321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45FC374" w14:textId="09407174" w:rsidR="000C3F29" w:rsidRDefault="000C3F29" w:rsidP="000C3F29">
      <w:pPr>
        <w:pStyle w:val="MDPI51figurecaption"/>
        <w:spacing w:after="120"/>
        <w:rPr>
          <w:bCs/>
        </w:rPr>
      </w:pPr>
      <w:r>
        <w:rPr>
          <w:b/>
        </w:rPr>
        <w:t>Figure S</w:t>
      </w:r>
      <w:r w:rsidR="00F87340">
        <w:rPr>
          <w:b/>
        </w:rPr>
        <w:t>2</w:t>
      </w:r>
      <w:r w:rsidRPr="000D5B0B">
        <w:rPr>
          <w:b/>
        </w:rPr>
        <w:t>.</w:t>
      </w:r>
      <w:r>
        <w:rPr>
          <w:b/>
        </w:rPr>
        <w:t xml:space="preserve"> </w:t>
      </w:r>
      <w:r>
        <w:t>Enzyme</w:t>
      </w:r>
      <w:r w:rsidR="00742F25">
        <w:t>-</w:t>
      </w:r>
      <w:r>
        <w:t xml:space="preserve">substrate network of </w:t>
      </w:r>
      <w:r w:rsidRPr="009E11CB">
        <w:t>differentially modulated phosphopeptides identified in</w:t>
      </w:r>
      <w:r>
        <w:t xml:space="preserve"> </w:t>
      </w:r>
      <w:r w:rsidR="00742F25">
        <w:t xml:space="preserve">AML </w:t>
      </w:r>
      <w:r>
        <w:t>cells</w:t>
      </w:r>
      <w:r w:rsidR="00130A35">
        <w:t xml:space="preserve"> </w:t>
      </w:r>
      <w:r w:rsidR="00130A35" w:rsidRPr="00FC0EE2">
        <w:rPr>
          <w:bCs/>
        </w:rPr>
        <w:t xml:space="preserve">using </w:t>
      </w:r>
      <w:r w:rsidR="00130A35">
        <w:rPr>
          <w:bCs/>
        </w:rPr>
        <w:t xml:space="preserve">annotations from </w:t>
      </w:r>
      <w:r w:rsidR="00130A35" w:rsidRPr="00FC0EE2">
        <w:rPr>
          <w:bCs/>
        </w:rPr>
        <w:t>iPTMnet and KEA2</w:t>
      </w:r>
      <w:r w:rsidR="00130A35">
        <w:rPr>
          <w:bCs/>
        </w:rPr>
        <w:t>.</w:t>
      </w:r>
      <w:r>
        <w:t xml:space="preserve"> In squares are indicated the MAPK and CDK families as well as the CK2 substrates differentially modulated in </w:t>
      </w:r>
      <w:r w:rsidR="00742F25" w:rsidRPr="009E11CB">
        <w:t xml:space="preserve">HL-60 and </w:t>
      </w:r>
      <w:r w:rsidR="00742F25">
        <w:t>OCI-AML3</w:t>
      </w:r>
      <w:r>
        <w:t xml:space="preserve"> cells after CK2 inhibition by CX</w:t>
      </w:r>
      <w:r w:rsidR="00244E67">
        <w:t>-</w:t>
      </w:r>
      <w:r>
        <w:t>4945.</w:t>
      </w:r>
      <w:r w:rsidR="00130A35">
        <w:t xml:space="preserve"> K</w:t>
      </w:r>
      <w:r w:rsidR="00130A35" w:rsidRPr="00956744">
        <w:t xml:space="preserve">inases </w:t>
      </w:r>
      <w:r w:rsidR="00130A35">
        <w:t xml:space="preserve">that </w:t>
      </w:r>
      <w:r w:rsidR="00130A35" w:rsidRPr="00956744">
        <w:t>are significantly associated with the phosphoproteomic profile</w:t>
      </w:r>
      <w:r w:rsidR="00130A35">
        <w:t>s</w:t>
      </w:r>
      <w:r w:rsidR="00130A35" w:rsidRPr="00956744">
        <w:t xml:space="preserve">, according to KEA2 results, are highlighted with a red border. </w:t>
      </w:r>
      <w:r w:rsidR="00130A35">
        <w:t xml:space="preserve">Network includes all kinases associated to AML cells modulated phosphoproteome, however green and blue nodes correspond to those kinases that were identified in our analysis </w:t>
      </w:r>
      <w:r w:rsidR="00130A35">
        <w:rPr>
          <w:bCs/>
        </w:rPr>
        <w:t xml:space="preserve">with either </w:t>
      </w:r>
      <w:r w:rsidR="00130A35" w:rsidRPr="00E411E4">
        <w:rPr>
          <w:bCs/>
        </w:rPr>
        <w:t xml:space="preserve">not differentially modulated phosphopeptides </w:t>
      </w:r>
      <w:r w:rsidR="00130A35">
        <w:rPr>
          <w:bCs/>
        </w:rPr>
        <w:t xml:space="preserve">and </w:t>
      </w:r>
      <w:r w:rsidR="00130A35" w:rsidRPr="00FC0EE2">
        <w:rPr>
          <w:bCs/>
        </w:rPr>
        <w:t xml:space="preserve">down-phosphorylated </w:t>
      </w:r>
      <w:r w:rsidR="00130A35">
        <w:rPr>
          <w:bCs/>
        </w:rPr>
        <w:t>peptides, respectively.</w:t>
      </w:r>
    </w:p>
    <w:p w14:paraId="158AF446" w14:textId="0EC9E338" w:rsidR="002F786F" w:rsidRDefault="002F786F" w:rsidP="000C3F29">
      <w:pPr>
        <w:pStyle w:val="MDPI51figurecaption"/>
        <w:spacing w:after="120"/>
      </w:pPr>
    </w:p>
    <w:p w14:paraId="721EA140" w14:textId="1C1D0026" w:rsidR="002F786F" w:rsidRDefault="002F786F" w:rsidP="000C3F29">
      <w:pPr>
        <w:pStyle w:val="MDPI51figurecaption"/>
        <w:spacing w:after="120"/>
      </w:pPr>
    </w:p>
    <w:p w14:paraId="1F9B7ADD" w14:textId="2AC52795" w:rsidR="002F786F" w:rsidRDefault="002F786F" w:rsidP="000C3F29">
      <w:pPr>
        <w:pStyle w:val="MDPI51figurecaption"/>
        <w:spacing w:after="120"/>
      </w:pPr>
    </w:p>
    <w:p w14:paraId="688C5AEA" w14:textId="6B88B067" w:rsidR="002F786F" w:rsidRDefault="002F786F" w:rsidP="000C3F29">
      <w:pPr>
        <w:pStyle w:val="MDPI51figurecaption"/>
        <w:spacing w:after="120"/>
      </w:pPr>
    </w:p>
    <w:p w14:paraId="75E440BF" w14:textId="5094DDCA" w:rsidR="002F786F" w:rsidRDefault="002F786F" w:rsidP="000C3F29">
      <w:pPr>
        <w:pStyle w:val="MDPI51figurecaption"/>
        <w:spacing w:after="120"/>
      </w:pPr>
    </w:p>
    <w:p w14:paraId="7A0D78B4" w14:textId="71DC87ED" w:rsidR="002F786F" w:rsidRDefault="002F786F" w:rsidP="000C3F29">
      <w:pPr>
        <w:pStyle w:val="MDPI51figurecaption"/>
        <w:spacing w:after="120"/>
      </w:pPr>
    </w:p>
    <w:p w14:paraId="077FF2A6" w14:textId="7EA03E28" w:rsidR="00130A35" w:rsidRPr="0011149A" w:rsidRDefault="002F786F" w:rsidP="000C3F29">
      <w:pPr>
        <w:pStyle w:val="MDPI51figurecaption"/>
        <w:spacing w:after="120"/>
      </w:pPr>
      <w:r>
        <w:rPr>
          <w:noProof/>
        </w:rPr>
        <w:lastRenderedPageBreak/>
        <w:drawing>
          <wp:inline distT="0" distB="0" distL="0" distR="0" wp14:anchorId="285B56C2" wp14:editId="78034AAC">
            <wp:extent cx="5086350" cy="3979034"/>
            <wp:effectExtent l="0" t="0" r="0" b="254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3635" cy="398473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3B9D810" w14:textId="35105D03" w:rsidR="002E5C20" w:rsidRPr="000C3F29" w:rsidRDefault="000C3F29" w:rsidP="000C3F29">
      <w:pPr>
        <w:pStyle w:val="MDPI51figurecaption"/>
        <w:spacing w:before="0" w:after="120"/>
        <w:rPr>
          <w:b/>
        </w:rPr>
      </w:pPr>
      <w:r>
        <w:rPr>
          <w:b/>
        </w:rPr>
        <w:t>Figure S</w:t>
      </w:r>
      <w:r w:rsidR="00F87340">
        <w:rPr>
          <w:b/>
        </w:rPr>
        <w:t>3</w:t>
      </w:r>
      <w:r w:rsidRPr="000D5B0B">
        <w:rPr>
          <w:b/>
        </w:rPr>
        <w:t>.</w:t>
      </w:r>
      <w:r>
        <w:rPr>
          <w:b/>
        </w:rPr>
        <w:t xml:space="preserve"> </w:t>
      </w:r>
      <w:r>
        <w:t xml:space="preserve">Sequence logos of phosphopeptides targeted by protein kinases </w:t>
      </w:r>
      <w:r w:rsidR="00E5616C">
        <w:t xml:space="preserve">representing </w:t>
      </w:r>
      <w:r>
        <w:t xml:space="preserve">five kinase groups (CAMK, Atypical, CK1, AGC and other) in the </w:t>
      </w:r>
      <w:r w:rsidR="00D6267D">
        <w:t xml:space="preserve">human </w:t>
      </w:r>
      <w:r>
        <w:t xml:space="preserve">kinome. The analysis was performed using the Motif Analysis tool of </w:t>
      </w:r>
      <w:proofErr w:type="spellStart"/>
      <w:r>
        <w:t>PhosphositePlus</w:t>
      </w:r>
      <w:proofErr w:type="spellEnd"/>
      <w:r>
        <w:t xml:space="preserve"> (PSP) (</w:t>
      </w:r>
      <w:hyperlink r:id="rId9" w:history="1">
        <w:r w:rsidRPr="00096164">
          <w:rPr>
            <w:rStyle w:val="Hyperlink"/>
          </w:rPr>
          <w:t>http://www.phosphosite.org/</w:t>
        </w:r>
      </w:hyperlink>
      <w:r>
        <w:t>)</w:t>
      </w:r>
      <w:r w:rsidR="00130A35">
        <w:t>. A</w:t>
      </w:r>
      <w:r>
        <w:t xml:space="preserve">ll the substrates annotated in PSP </w:t>
      </w:r>
      <w:r w:rsidR="00130A35">
        <w:t xml:space="preserve">database </w:t>
      </w:r>
      <w:r>
        <w:t xml:space="preserve">for each kinase were </w:t>
      </w:r>
      <w:r w:rsidR="00E5616C">
        <w:t>used as input sequences</w:t>
      </w:r>
      <w:r>
        <w:t>.</w:t>
      </w:r>
    </w:p>
    <w:sectPr w:rsidR="002E5C20" w:rsidRPr="000C3F29" w:rsidSect="000C3F29">
      <w:headerReference w:type="even" r:id="rId10"/>
      <w:footerReference w:type="default" r:id="rId11"/>
      <w:footerReference w:type="first" r:id="rId12"/>
      <w:pgSz w:w="11906" w:h="16838" w:code="9"/>
      <w:pgMar w:top="1417" w:right="1531" w:bottom="1077" w:left="1531" w:header="1020" w:footer="850" w:gutter="0"/>
      <w:pgNumType w:start="1"/>
      <w:cols w:space="425"/>
      <w:titlePg/>
      <w:docGrid w:type="lines"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2B6E03D" w14:textId="77777777" w:rsidR="0088776D" w:rsidRDefault="0088776D" w:rsidP="000C3F29">
      <w:pPr>
        <w:spacing w:line="240" w:lineRule="auto"/>
      </w:pPr>
      <w:r>
        <w:separator/>
      </w:r>
    </w:p>
  </w:endnote>
  <w:endnote w:type="continuationSeparator" w:id="0">
    <w:p w14:paraId="6F880022" w14:textId="77777777" w:rsidR="0088776D" w:rsidRDefault="0088776D" w:rsidP="000C3F29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090D6ED" w14:textId="77777777" w:rsidR="0004400E" w:rsidRPr="00A71A3D" w:rsidRDefault="0088776D" w:rsidP="0004400E">
    <w:pPr>
      <w:pStyle w:val="Footer"/>
      <w:spacing w:line="240" w:lineRule="auto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AB75795" w14:textId="7FD24894" w:rsidR="0004400E" w:rsidRPr="008B308E" w:rsidRDefault="0088776D" w:rsidP="00EC23EC">
    <w:pPr>
      <w:pStyle w:val="MDPIfooterfirstpage"/>
      <w:spacing w:line="240" w:lineRule="auto"/>
      <w:jc w:val="both"/>
      <w:rPr>
        <w:lang w:val="fr-CH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C400170" w14:textId="77777777" w:rsidR="0088776D" w:rsidRDefault="0088776D" w:rsidP="000C3F29">
      <w:pPr>
        <w:spacing w:line="240" w:lineRule="auto"/>
      </w:pPr>
      <w:r>
        <w:separator/>
      </w:r>
    </w:p>
  </w:footnote>
  <w:footnote w:type="continuationSeparator" w:id="0">
    <w:p w14:paraId="49C36625" w14:textId="77777777" w:rsidR="0088776D" w:rsidRDefault="0088776D" w:rsidP="000C3F29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504B0BD" w14:textId="77777777" w:rsidR="0004400E" w:rsidRDefault="0088776D" w:rsidP="0004400E">
    <w:pPr>
      <w:pStyle w:val="Header"/>
      <w:pBdr>
        <w:bottom w:val="none" w:sz="0" w:space="0" w:color="auto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30"/>
  <w:proofState w:spelling="clean" w:grammar="clean"/>
  <w:defaultTabStop w:val="708"/>
  <w:hyphenationZone w:val="425"/>
  <w:drawingGridHorizontalSpacing w:val="120"/>
  <w:drawingGridVerticalSpacing w:val="163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26FE6"/>
    <w:rsid w:val="0006133B"/>
    <w:rsid w:val="000C3F29"/>
    <w:rsid w:val="00130A35"/>
    <w:rsid w:val="001A63C6"/>
    <w:rsid w:val="00210EE3"/>
    <w:rsid w:val="00244E67"/>
    <w:rsid w:val="00280D74"/>
    <w:rsid w:val="002A367B"/>
    <w:rsid w:val="002E5C20"/>
    <w:rsid w:val="002F786F"/>
    <w:rsid w:val="004446B3"/>
    <w:rsid w:val="00497E83"/>
    <w:rsid w:val="004A6C2B"/>
    <w:rsid w:val="004B4DE5"/>
    <w:rsid w:val="004F1CC5"/>
    <w:rsid w:val="00511E7A"/>
    <w:rsid w:val="00543B1B"/>
    <w:rsid w:val="00560713"/>
    <w:rsid w:val="005F6EEC"/>
    <w:rsid w:val="0067650E"/>
    <w:rsid w:val="00742F25"/>
    <w:rsid w:val="00776E99"/>
    <w:rsid w:val="007A6745"/>
    <w:rsid w:val="00814030"/>
    <w:rsid w:val="0086593B"/>
    <w:rsid w:val="008844EC"/>
    <w:rsid w:val="0088776D"/>
    <w:rsid w:val="008C0752"/>
    <w:rsid w:val="0098519F"/>
    <w:rsid w:val="009E6951"/>
    <w:rsid w:val="00A15EE0"/>
    <w:rsid w:val="00A26FE6"/>
    <w:rsid w:val="00A67CCF"/>
    <w:rsid w:val="00AE6183"/>
    <w:rsid w:val="00AF4D28"/>
    <w:rsid w:val="00B01329"/>
    <w:rsid w:val="00B36673"/>
    <w:rsid w:val="00B407B8"/>
    <w:rsid w:val="00B420C7"/>
    <w:rsid w:val="00B4798B"/>
    <w:rsid w:val="00BB7833"/>
    <w:rsid w:val="00CD0B3E"/>
    <w:rsid w:val="00D60A0A"/>
    <w:rsid w:val="00D6267D"/>
    <w:rsid w:val="00E4125B"/>
    <w:rsid w:val="00E5616C"/>
    <w:rsid w:val="00E57C15"/>
    <w:rsid w:val="00E73E27"/>
    <w:rsid w:val="00E91473"/>
    <w:rsid w:val="00EE3507"/>
    <w:rsid w:val="00F451E1"/>
    <w:rsid w:val="00F87340"/>
    <w:rsid w:val="00FA15D7"/>
    <w:rsid w:val="00FA321A"/>
    <w:rsid w:val="00FD50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419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7CB1BAEA"/>
  <w14:defaultImageDpi w14:val="32767"/>
  <w15:chartTrackingRefBased/>
  <w15:docId w15:val="{754B6398-9E5B-4140-A122-4AFC3AEB80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Arial" w:eastAsiaTheme="minorHAnsi" w:hAnsi="Arial" w:cs="Arial"/>
        <w:sz w:val="24"/>
        <w:szCs w:val="22"/>
        <w:lang w:val="es-419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C3F29"/>
    <w:pPr>
      <w:spacing w:after="0" w:line="340" w:lineRule="atLeast"/>
      <w:jc w:val="both"/>
    </w:pPr>
    <w:rPr>
      <w:rFonts w:ascii="Times New Roman" w:eastAsia="Times New Roman" w:hAnsi="Times New Roman" w:cs="Times New Roman"/>
      <w:color w:val="000000"/>
      <w:szCs w:val="20"/>
      <w:lang w:val="en-US" w:eastAsia="de-D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link w:val="FooterChar"/>
    <w:uiPriority w:val="99"/>
    <w:rsid w:val="000C3F29"/>
    <w:pPr>
      <w:tabs>
        <w:tab w:val="center" w:pos="4153"/>
        <w:tab w:val="right" w:pos="8306"/>
      </w:tabs>
      <w:snapToGrid w:val="0"/>
      <w:spacing w:line="240" w:lineRule="atLeast"/>
    </w:pPr>
    <w:rPr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rsid w:val="000C3F29"/>
    <w:rPr>
      <w:rFonts w:ascii="Times New Roman" w:eastAsia="Times New Roman" w:hAnsi="Times New Roman" w:cs="Times New Roman"/>
      <w:color w:val="000000"/>
      <w:sz w:val="18"/>
      <w:szCs w:val="18"/>
      <w:lang w:val="en-US" w:eastAsia="de-DE"/>
    </w:rPr>
  </w:style>
  <w:style w:type="paragraph" w:styleId="Header">
    <w:name w:val="header"/>
    <w:basedOn w:val="Normal"/>
    <w:link w:val="HeaderChar"/>
    <w:uiPriority w:val="99"/>
    <w:rsid w:val="000C3F2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sz w:val="18"/>
      <w:szCs w:val="18"/>
    </w:rPr>
  </w:style>
  <w:style w:type="character" w:customStyle="1" w:styleId="HeaderChar">
    <w:name w:val="Header Char"/>
    <w:basedOn w:val="DefaultParagraphFont"/>
    <w:link w:val="Header"/>
    <w:uiPriority w:val="99"/>
    <w:rsid w:val="000C3F29"/>
    <w:rPr>
      <w:rFonts w:ascii="Times New Roman" w:eastAsia="Times New Roman" w:hAnsi="Times New Roman" w:cs="Times New Roman"/>
      <w:color w:val="000000"/>
      <w:sz w:val="18"/>
      <w:szCs w:val="18"/>
      <w:lang w:val="en-US" w:eastAsia="de-DE"/>
    </w:rPr>
  </w:style>
  <w:style w:type="paragraph" w:customStyle="1" w:styleId="MDPIheaderjournallogo">
    <w:name w:val="MDPI_header_journal_logo"/>
    <w:qFormat/>
    <w:rsid w:val="000C3F29"/>
    <w:pPr>
      <w:adjustRightInd w:val="0"/>
      <w:snapToGrid w:val="0"/>
      <w:spacing w:after="0" w:line="240" w:lineRule="auto"/>
    </w:pPr>
    <w:rPr>
      <w:rFonts w:ascii="Palatino Linotype" w:eastAsia="Times New Roman" w:hAnsi="Palatino Linotype" w:cs="Times New Roman"/>
      <w:i/>
      <w:color w:val="000000"/>
      <w:lang w:val="en-US" w:eastAsia="de-CH"/>
    </w:rPr>
  </w:style>
  <w:style w:type="paragraph" w:customStyle="1" w:styleId="MDPI51figurecaption">
    <w:name w:val="MDPI_5.1_figure_caption"/>
    <w:basedOn w:val="Normal"/>
    <w:qFormat/>
    <w:rsid w:val="000C3F29"/>
    <w:pPr>
      <w:adjustRightInd w:val="0"/>
      <w:snapToGrid w:val="0"/>
      <w:spacing w:before="120" w:after="240" w:line="260" w:lineRule="atLeast"/>
      <w:ind w:left="425" w:right="425"/>
    </w:pPr>
    <w:rPr>
      <w:rFonts w:ascii="Palatino Linotype" w:hAnsi="Palatino Linotype"/>
      <w:sz w:val="18"/>
      <w:lang w:bidi="en-US"/>
    </w:rPr>
  </w:style>
  <w:style w:type="paragraph" w:customStyle="1" w:styleId="MDPIfooterfirstpage">
    <w:name w:val="MDPI_footer_firstpage"/>
    <w:basedOn w:val="Normal"/>
    <w:qFormat/>
    <w:rsid w:val="000C3F29"/>
    <w:pPr>
      <w:tabs>
        <w:tab w:val="right" w:pos="8845"/>
      </w:tabs>
      <w:adjustRightInd w:val="0"/>
      <w:snapToGrid w:val="0"/>
      <w:spacing w:before="120" w:line="160" w:lineRule="exact"/>
      <w:jc w:val="left"/>
    </w:pPr>
    <w:rPr>
      <w:rFonts w:ascii="Palatino Linotype" w:hAnsi="Palatino Linotype"/>
      <w:color w:val="auto"/>
      <w:sz w:val="16"/>
    </w:rPr>
  </w:style>
  <w:style w:type="character" w:styleId="Hyperlink">
    <w:name w:val="Hyperlink"/>
    <w:uiPriority w:val="99"/>
    <w:unhideWhenUsed/>
    <w:rsid w:val="000C3F29"/>
    <w:rPr>
      <w:color w:val="0563C1"/>
      <w:u w:val="single"/>
    </w:rPr>
  </w:style>
  <w:style w:type="character" w:styleId="LineNumber">
    <w:name w:val="line number"/>
    <w:basedOn w:val="DefaultParagraphFont"/>
    <w:uiPriority w:val="99"/>
    <w:semiHidden/>
    <w:unhideWhenUsed/>
    <w:rsid w:val="000C3F2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footer" Target="footer2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oter" Target="footer1.xml"/><Relationship Id="rId5" Type="http://schemas.openxmlformats.org/officeDocument/2006/relationships/endnotes" Target="endnotes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hyperlink" Target="http://www.phosphosite.org/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352</TotalTime>
  <Pages>3</Pages>
  <Words>343</Words>
  <Characters>1961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MAURO</dc:creator>
  <cp:keywords/>
  <dc:description/>
  <cp:lastModifiedBy>MAURO</cp:lastModifiedBy>
  <cp:revision>30</cp:revision>
  <dcterms:created xsi:type="dcterms:W3CDTF">2020-08-23T16:11:00Z</dcterms:created>
  <dcterms:modified xsi:type="dcterms:W3CDTF">2021-01-27T23:57:00Z</dcterms:modified>
</cp:coreProperties>
</file>