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E3D93" w14:textId="20F4274C" w:rsidR="00614A54" w:rsidRPr="00FC493B" w:rsidRDefault="00614A54" w:rsidP="00FC493B">
      <w:pPr>
        <w:pStyle w:val="MDPI12title"/>
      </w:pPr>
      <w:r w:rsidRPr="00FC493B">
        <w:t xml:space="preserve">Supplementary material </w:t>
      </w:r>
    </w:p>
    <w:p w14:paraId="0B495192" w14:textId="6D2A0FA1" w:rsidR="00F939CB" w:rsidRPr="00FC493B" w:rsidRDefault="00165EB0" w:rsidP="00165EB0">
      <w:pPr>
        <w:pStyle w:val="MDPI21heading1"/>
      </w:pPr>
      <w:r>
        <w:t xml:space="preserve">1. </w:t>
      </w:r>
      <w:r w:rsidR="0049396D" w:rsidRPr="00FC493B">
        <w:t xml:space="preserve">Additional </w:t>
      </w:r>
      <w:r w:rsidR="00FC493B" w:rsidRPr="00FC493B">
        <w:t>Simulation Conditions</w:t>
      </w:r>
      <w:r w:rsidR="006831B1" w:rsidRPr="00FC493B">
        <w:t>: Methods</w:t>
      </w:r>
    </w:p>
    <w:p w14:paraId="1A8D86B7" w14:textId="7B0E69B4" w:rsidR="0049396D" w:rsidRPr="00FC493B" w:rsidRDefault="0049396D" w:rsidP="00165EB0">
      <w:pPr>
        <w:pStyle w:val="MDPI31text"/>
      </w:pPr>
      <w:r w:rsidRPr="00FC493B">
        <w:t xml:space="preserve">To assess </w:t>
      </w:r>
      <w:r w:rsidR="0053425D" w:rsidRPr="00FC493B">
        <w:t xml:space="preserve">the </w:t>
      </w:r>
      <w:r w:rsidRPr="00FC493B">
        <w:t xml:space="preserve">robustness of the results to different assumptions about extra-pair copulation and fertilization </w:t>
      </w:r>
      <w:r w:rsidR="00326CD6" w:rsidRPr="00FC493B">
        <w:t>processes</w:t>
      </w:r>
      <w:r w:rsidRPr="00FC493B">
        <w:t xml:space="preserve">, I made </w:t>
      </w:r>
      <w:r w:rsidR="00811744" w:rsidRPr="00FC493B">
        <w:t>four</w:t>
      </w:r>
      <w:r w:rsidRPr="00FC493B">
        <w:t xml:space="preserve"> modifications to the basic simulation. </w:t>
      </w:r>
      <w:r w:rsidR="00AE3A19" w:rsidRPr="00FC493B">
        <w:t xml:space="preserve">(1) To dissociate within-pair and extra-pair copulation success, </w:t>
      </w:r>
      <w:r w:rsidRPr="00FC493B">
        <w:t xml:space="preserve">I assigned the value of </w:t>
      </w:r>
      <w:r w:rsidRPr="00FC493B">
        <w:rPr>
          <w:i/>
        </w:rPr>
        <w:t xml:space="preserve">E </w:t>
      </w:r>
      <w:r w:rsidRPr="00FC493B">
        <w:t xml:space="preserve">randomly with respect to the </w:t>
      </w:r>
      <w:r w:rsidR="00614A54" w:rsidRPr="00FC493B">
        <w:t xml:space="preserve">within-pair </w:t>
      </w:r>
      <w:r w:rsidRPr="00FC493B">
        <w:t xml:space="preserve">male trait, but caused the male trait to correlate with extra-pair copulation success as in the main simulations. </w:t>
      </w:r>
      <w:r w:rsidR="00AE3A19" w:rsidRPr="00FC493B">
        <w:t xml:space="preserve">(2) </w:t>
      </w:r>
      <w:r w:rsidRPr="00FC493B">
        <w:t>I removed spatial constraints</w:t>
      </w:r>
      <w:r w:rsidR="00AE3A19" w:rsidRPr="00FC493B">
        <w:t xml:space="preserve"> on extra-pair copulations. I</w:t>
      </w:r>
      <w:r w:rsidRPr="00FC493B">
        <w:t xml:space="preserve">n determining a female’s value of </w:t>
      </w:r>
      <w:r w:rsidRPr="00FC493B">
        <w:rPr>
          <w:i/>
        </w:rPr>
        <w:t xml:space="preserve">E, </w:t>
      </w:r>
      <w:r w:rsidRPr="00FC493B">
        <w:t xml:space="preserve">I arranged all males in decreasing order of the trait value (rather than relative trait value); </w:t>
      </w:r>
      <w:r w:rsidR="00AE3A19" w:rsidRPr="00FC493B">
        <w:t>any</w:t>
      </w:r>
      <w:r w:rsidRPr="00FC493B">
        <w:t xml:space="preserve"> male </w:t>
      </w:r>
      <w:r w:rsidR="00AE3A19" w:rsidRPr="00FC493B">
        <w:t>was</w:t>
      </w:r>
      <w:r w:rsidRPr="00FC493B">
        <w:t xml:space="preserve"> a potential extra-pair copulation partner for any female; and a male’s likelihood of copulating with a female depended only on his trait score, rather than on the quotient of trait and distance squared.</w:t>
      </w:r>
      <w:r w:rsidR="00AE3A19" w:rsidRPr="00FC493B">
        <w:t xml:space="preserve"> (3)</w:t>
      </w:r>
      <w:r w:rsidR="002336E1" w:rsidRPr="00FC493B">
        <w:t xml:space="preserve"> </w:t>
      </w:r>
      <w:r w:rsidR="00AE3A19" w:rsidRPr="00FC493B">
        <w:t>I dissociated within-pair and ex</w:t>
      </w:r>
      <w:r w:rsidR="00614A54" w:rsidRPr="00FC493B">
        <w:t>tra-pair fertilization success</w:t>
      </w:r>
      <w:r w:rsidR="00811744" w:rsidRPr="00FC493B">
        <w:t xml:space="preserve">. </w:t>
      </w:r>
      <w:r w:rsidR="002336E1" w:rsidRPr="00FC493B">
        <w:t xml:space="preserve">Here, I used </w:t>
      </w:r>
      <w:r w:rsidR="0053425D" w:rsidRPr="00FC493B">
        <w:t>Equation</w:t>
      </w:r>
      <w:r w:rsidR="002336E1" w:rsidRPr="00FC493B">
        <w:t xml:space="preserve"> 1 </w:t>
      </w:r>
      <w:r w:rsidR="00811744" w:rsidRPr="00FC493B">
        <w:t xml:space="preserve">from the main paper </w:t>
      </w:r>
      <w:r w:rsidR="002336E1" w:rsidRPr="00FC493B">
        <w:t xml:space="preserve">to calculate </w:t>
      </w:r>
      <w:r w:rsidR="002336E1" w:rsidRPr="00FC493B">
        <w:rPr>
          <w:i/>
        </w:rPr>
        <w:t xml:space="preserve">f, </w:t>
      </w:r>
      <w:r w:rsidR="002336E1" w:rsidRPr="00FC493B">
        <w:t xml:space="preserve">rather than </w:t>
      </w:r>
      <w:r w:rsidR="0053425D" w:rsidRPr="00FC493B">
        <w:t>Equation</w:t>
      </w:r>
      <w:r w:rsidR="002336E1" w:rsidRPr="00FC493B">
        <w:t xml:space="preserve"> 2, but I assigned </w:t>
      </w:r>
      <w:r w:rsidR="00614A54" w:rsidRPr="00FC493B">
        <w:t>extra-pair sires to extra-pair eggs</w:t>
      </w:r>
      <w:r w:rsidR="002336E1" w:rsidRPr="00FC493B">
        <w:t xml:space="preserve"> as in the main simulation. </w:t>
      </w:r>
      <w:r w:rsidR="00811744" w:rsidRPr="00FC493B">
        <w:t xml:space="preserve">(4) I strengthened the impact of the non-focal trait on success; this was particularly relevant as a way to increase the frequency of repeated copulations between </w:t>
      </w:r>
      <w:r w:rsidR="002336E1" w:rsidRPr="00FC493B">
        <w:t>the same extra-pair male and female</w:t>
      </w:r>
      <w:r w:rsidR="00811744" w:rsidRPr="00FC493B">
        <w:t xml:space="preserve"> </w:t>
      </w:r>
      <w:r w:rsidR="00811744" w:rsidRPr="00FC493B">
        <w:fldChar w:fldCharType="begin" w:fldLock="1"/>
      </w:r>
      <w:r w:rsidR="00686032" w:rsidRPr="00FC493B">
        <w:instrText>ADDIN CSL_CITATION {"citationItems":[{"id":"ITEM-1","itemData":{"DOI":"10.1093/beheco/araa001","ISSN":"14657279","abstract":"© 2020 The Author(s) 2020. Published by Oxford University Press on behalf of the International Society for Behavioral Ecology. All rights reserved. Extrapair paternity should contribute to sexual selection by increasing the number of potential mates available to each individual. Potential copulation partners are, however, limited by their proximity. Spatial constraints may therefore reduce the impact of extrapair paternity on sexual selection. We tested the effect of spatial constraints on sexual selection by simulating extrapair copulations for 15 species of socially monogamous songbirds with varying rates of extrapair paternity. We compared four metrics of sexual selection between simulated populations without spatial constraints and populations where extrapair copulations were restricted to first- and second-order neighbors. Counter to predictions, sexual selection as measured by the Bateman gradient (the association between the number of copulation partners and offspring produced) increased under spatial constraints. In these conditions, repeated extrapair copulations between the same individuals led to more offspring per copulation partner. In contrast, spatial constraints did somewhat reduce sexual selection - as measured by the opportunity for selection, s'max, and the selection gradient on male quality - when the association between simulated male quality scores and copulation success (e.g., female preferences or male-male competition) was strong. Sexual selection remained strong overall in those populations even under spatial constraints. Spatial constraints did not substantially reduce sexual selection when the association between male quality and copulation success was moderate or weak. Thus, spatial constraints on extrapair copulations are insufficient to explain the absence of strong selection on male traits in many species.","author":[{"dropping-particle":"","family":"Cramer","given":"E.R.A.","non-dropping-particle":"","parse-names":false,"suffix":""},{"dropping-particle":"","family":"Greig","given":"E.I.","non-dropping-particle":"","parse-names":false,"suffix":""},{"dropping-particle":"","family":"Kaiser","given":"S.A.","non-dropping-particle":"","parse-names":false,"suffix":""}],"container-title":"Behavioral Ecology","id":"ITEM-1","issue":"3","issued":{"date-parts":[["2020"]]},"page":"618-626","title":"Strong sexual selection despite spatial constraints on extrapair paternity","type":"article-journal","volume":"31"},"uris":["http://www.mendeley.com/documents/?uuid=6e410cd2-6793-3346-89a4-fd09faa66753"]}],"mendeley":{"formattedCitation":"[1]","plainTextFormattedCitation":"[1]","previouslyFormattedCitation":"[1]"},"properties":{"noteIndex":0},"schema":"https://github.com/citation-style-language/schema/raw/master/csl-citation.json"}</w:instrText>
      </w:r>
      <w:r w:rsidR="00811744" w:rsidRPr="00FC493B">
        <w:fldChar w:fldCharType="separate"/>
      </w:r>
      <w:r w:rsidR="00707120" w:rsidRPr="00FC493B">
        <w:rPr>
          <w:noProof/>
        </w:rPr>
        <w:t>[1]</w:t>
      </w:r>
      <w:r w:rsidR="00811744" w:rsidRPr="00FC493B">
        <w:fldChar w:fldCharType="end"/>
      </w:r>
      <w:r w:rsidR="00811744" w:rsidRPr="00FC493B">
        <w:t>, as a potential additional source of bias for analyses on sperm.</w:t>
      </w:r>
      <w:r w:rsidR="001A0C6A" w:rsidRPr="00FC493B">
        <w:t xml:space="preserve"> </w:t>
      </w:r>
      <w:r w:rsidR="00811744" w:rsidRPr="00FC493B">
        <w:t xml:space="preserve">To increase the impact of the male trait, </w:t>
      </w:r>
      <w:r w:rsidR="002336E1" w:rsidRPr="00FC493B">
        <w:t>I raised the male trait to the power of 9</w:t>
      </w:r>
      <w:r w:rsidR="000D73C7" w:rsidRPr="00FC493B">
        <w:t xml:space="preserve"> </w:t>
      </w:r>
      <w:r w:rsidR="000D73C7" w:rsidRPr="00FC493B">
        <w:fldChar w:fldCharType="begin" w:fldLock="1"/>
      </w:r>
      <w:r w:rsidR="00686032" w:rsidRPr="00FC493B">
        <w:instrText>ADDIN CSL_CITATION {"citationItems":[{"id":"ITEM-1","itemData":{"DOI":"10.1093/beheco/araa001","ISSN":"14657279","abstract":"© 2020 The Author(s) 2020. Published by Oxford University Press on behalf of the International Society for Behavioral Ecology. All rights reserved. Extrapair paternity should contribute to sexual selection by increasing the number of potential mates available to each individual. Potential copulation partners are, however, limited by their proximity. Spatial constraints may therefore reduce the impact of extrapair paternity on sexual selection. We tested the effect of spatial constraints on sexual selection by simulating extrapair copulations for 15 species of socially monogamous songbirds with varying rates of extrapair paternity. We compared four metrics of sexual selection between simulated populations without spatial constraints and populations where extrapair copulations were restricted to first- and second-order neighbors. Counter to predictions, sexual selection as measured by the Bateman gradient (the association between the number of copulation partners and offspring produced) increased under spatial constraints. In these conditions, repeated extrapair copulations between the same individuals led to more offspring per copulation partner. In contrast, spatial constraints did somewhat reduce sexual selection - as measured by the opportunity for selection, s'max, and the selection gradient on male quality - when the association between simulated male quality scores and copulation success (e.g., female preferences or male-male competition) was strong. Sexual selection remained strong overall in those populations even under spatial constraints. Spatial constraints did not substantially reduce sexual selection when the association between male quality and copulation success was moderate or weak. Thus, spatial constraints on extrapair copulations are insufficient to explain the absence of strong selection on male traits in many species.","author":[{"dropping-particle":"","family":"Cramer","given":"E.R.A.","non-dropping-particle":"","parse-names":false,"suffix":""},{"dropping-particle":"","family":"Greig","given":"E.I.","non-dropping-particle":"","parse-names":false,"suffix":""},{"dropping-particle":"","family":"Kaiser","given":"S.A.","non-dropping-particle":"","parse-names":false,"suffix":""}],"container-title":"Behavioral Ecology","id":"ITEM-1","issue":"3","issued":{"date-parts":[["2020"]]},"page":"618-626","title":"Strong sexual selection despite spatial constraints on extrapair paternity","type":"article-journal","volume":"31"},"uris":["http://www.mendeley.com/documents/?uuid=6e410cd2-6793-3346-89a4-fd09faa66753"]}],"mendeley":{"formattedCitation":"[1]","plainTextFormattedCitation":"[1]","previouslyFormattedCitation":"[1]"},"properties":{"noteIndex":0},"schema":"https://github.com/citation-style-language/schema/raw/master/csl-citation.json"}</w:instrText>
      </w:r>
      <w:r w:rsidR="000D73C7" w:rsidRPr="00FC493B">
        <w:fldChar w:fldCharType="separate"/>
      </w:r>
      <w:r w:rsidR="00707120" w:rsidRPr="00FC493B">
        <w:rPr>
          <w:noProof/>
        </w:rPr>
        <w:t>[1]</w:t>
      </w:r>
      <w:r w:rsidR="000D73C7" w:rsidRPr="00FC493B">
        <w:fldChar w:fldCharType="end"/>
      </w:r>
      <w:r w:rsidR="002336E1" w:rsidRPr="00FC493B">
        <w:t xml:space="preserve">, and used this variable, rather than the male trait itself, for determining </w:t>
      </w:r>
      <w:r w:rsidR="002336E1" w:rsidRPr="00FC493B">
        <w:rPr>
          <w:i/>
        </w:rPr>
        <w:t xml:space="preserve">E </w:t>
      </w:r>
      <w:r w:rsidR="002336E1" w:rsidRPr="00FC493B">
        <w:t>and for assigning extra-pair copulation partners.</w:t>
      </w:r>
      <w:r w:rsidR="00394AAC" w:rsidRPr="00FC493B">
        <w:t xml:space="preserve"> </w:t>
      </w:r>
      <w:r w:rsidR="00811744" w:rsidRPr="00FC493B">
        <w:t xml:space="preserve">To increase the impact of the sperm trait, </w:t>
      </w:r>
      <w:r w:rsidR="00394AAC" w:rsidRPr="00FC493B">
        <w:t xml:space="preserve">I raised the sperm trait to the power of 9, and used this variable rather than the sperm trait to calculate </w:t>
      </w:r>
      <w:r w:rsidR="00394AAC" w:rsidRPr="00FC493B">
        <w:rPr>
          <w:i/>
        </w:rPr>
        <w:t xml:space="preserve">f </w:t>
      </w:r>
      <w:r w:rsidR="00394AAC" w:rsidRPr="00FC493B">
        <w:t xml:space="preserve">and to assign extra-pair fertilization. </w:t>
      </w:r>
    </w:p>
    <w:p w14:paraId="605D011A" w14:textId="7D19058E" w:rsidR="0049396D" w:rsidRPr="00FC493B" w:rsidRDefault="00811744" w:rsidP="00165EB0">
      <w:pPr>
        <w:pStyle w:val="MDPI31text"/>
      </w:pPr>
      <w:r w:rsidRPr="00FC493B">
        <w:t>For these conditions, I simulated 100 replicate populations per species, with male</w:t>
      </w:r>
      <w:r w:rsidR="004526CB" w:rsidRPr="00FC493B">
        <w:t>–</w:t>
      </w:r>
      <w:r w:rsidRPr="00FC493B">
        <w:t xml:space="preserve">sperm trait correlations </w:t>
      </w:r>
      <w:r w:rsidR="002336E1" w:rsidRPr="00FC493B">
        <w:t xml:space="preserve">of </w:t>
      </w:r>
      <w:r w:rsidR="00655A36" w:rsidRPr="00FC493B">
        <w:t>−</w:t>
      </w:r>
      <w:r w:rsidR="002336E1" w:rsidRPr="00FC493B">
        <w:t xml:space="preserve">0.3 and 0.3 </w:t>
      </w:r>
      <w:r w:rsidRPr="00FC493B">
        <w:t>only, to reduce computational burden. Since the male</w:t>
      </w:r>
      <w:r w:rsidR="004526CB" w:rsidRPr="00FC493B">
        <w:t>–</w:t>
      </w:r>
      <w:r w:rsidRPr="00FC493B">
        <w:t xml:space="preserve">sperm </w:t>
      </w:r>
      <w:r w:rsidR="004526CB" w:rsidRPr="00FC493B">
        <w:t xml:space="preserve">train </w:t>
      </w:r>
      <w:r w:rsidRPr="00FC493B">
        <w:t xml:space="preserve">correlation appeared linearly related in the main simulation results (not shown), this simplification should not impact interpretations substantially. </w:t>
      </w:r>
      <w:r w:rsidR="00614A54" w:rsidRPr="00FC493B">
        <w:t xml:space="preserve">Note that additional populations, </w:t>
      </w:r>
      <w:proofErr w:type="gramStart"/>
      <w:r w:rsidR="00614A54" w:rsidRPr="00FC493B">
        <w:t>similar to</w:t>
      </w:r>
      <w:proofErr w:type="gramEnd"/>
      <w:r w:rsidR="00614A54" w:rsidRPr="00FC493B">
        <w:t xml:space="preserve"> conditions 4 above, were run where the male and sperm trait were not correlated (see main text). </w:t>
      </w:r>
    </w:p>
    <w:p w14:paraId="3A25282A" w14:textId="1B5925E3" w:rsidR="00686032" w:rsidRPr="00FC493B" w:rsidRDefault="00165EB0" w:rsidP="00165EB0">
      <w:pPr>
        <w:pStyle w:val="MDPI21heading1"/>
      </w:pPr>
      <w:r>
        <w:t xml:space="preserve">2. </w:t>
      </w:r>
      <w:r w:rsidR="00686032" w:rsidRPr="00FC493B">
        <w:t xml:space="preserve">Phylogenetically </w:t>
      </w:r>
      <w:r w:rsidR="00FC493B" w:rsidRPr="00FC493B">
        <w:t>Controlled Analyses</w:t>
      </w:r>
    </w:p>
    <w:p w14:paraId="09DB97D7" w14:textId="60A2AE6E" w:rsidR="00B900E1" w:rsidRPr="00FC493B" w:rsidRDefault="004B2C6A" w:rsidP="00165EB0">
      <w:pPr>
        <w:pStyle w:val="MDPI31text"/>
      </w:pPr>
      <w:r w:rsidRPr="00FC493B">
        <w:t xml:space="preserve">To conduct phylogenetically controlled versions of the mixed models </w:t>
      </w:r>
      <w:r w:rsidR="008C2D1A" w:rsidRPr="00FC493B">
        <w:t xml:space="preserve">on statistical bias, </w:t>
      </w:r>
      <w:r w:rsidRPr="00FC493B">
        <w:t xml:space="preserve">presented in the main text, </w:t>
      </w:r>
      <w:r w:rsidR="00686032" w:rsidRPr="00FC493B">
        <w:t xml:space="preserve">I downloaded 1000 trees from the Hackett backbone from birdtrees.org, then calculated the consensus tree of these replicates using </w:t>
      </w:r>
      <w:proofErr w:type="spellStart"/>
      <w:r w:rsidR="00686032" w:rsidRPr="00FC493B">
        <w:rPr>
          <w:i/>
        </w:rPr>
        <w:t>phyltools</w:t>
      </w:r>
      <w:proofErr w:type="spellEnd"/>
      <w:r w:rsidR="00686032" w:rsidRPr="00FC493B">
        <w:rPr>
          <w:i/>
        </w:rPr>
        <w:t xml:space="preserve"> </w:t>
      </w:r>
      <w:r w:rsidR="00686032" w:rsidRPr="00FC493B">
        <w:rPr>
          <w:i/>
        </w:rPr>
        <w:fldChar w:fldCharType="begin" w:fldLock="1"/>
      </w:r>
      <w:r w:rsidR="00686032" w:rsidRPr="00FC493B">
        <w:rPr>
          <w:i/>
        </w:rPr>
        <w:instrText>ADDIN CSL_CITATION {"citationItems":[{"id":"ITEM-1","itemData":{"author":[{"dropping-particle":"","family":"Revell","given":"Liam J","non-dropping-particle":"","parse-names":false,"suffix":""}],"id":"ITEM-1","issued":{"date-parts":[["2016"]]},"number":"0.5-38","title":"phytools: Phylogenetic tools for comparative biology (and other things)","type":"article"},"uris":["http://www.mendeley.com/documents/?uuid=bcfe0ee0-dbaf-4257-bfa3-1132217d7cf6"]}],"mendeley":{"formattedCitation":"[2]","plainTextFormattedCitation":"[2]","previouslyFormattedCitation":"[2]"},"properties":{"noteIndex":0},"schema":"https://github.com/citation-style-language/schema/raw/master/csl-citation.json"}</w:instrText>
      </w:r>
      <w:r w:rsidR="00686032" w:rsidRPr="00FC493B">
        <w:rPr>
          <w:i/>
        </w:rPr>
        <w:fldChar w:fldCharType="separate"/>
      </w:r>
      <w:r w:rsidR="00686032" w:rsidRPr="00FC493B">
        <w:rPr>
          <w:noProof/>
        </w:rPr>
        <w:t>[2]</w:t>
      </w:r>
      <w:r w:rsidR="00686032" w:rsidRPr="00FC493B">
        <w:rPr>
          <w:i/>
        </w:rPr>
        <w:fldChar w:fldCharType="end"/>
      </w:r>
      <w:r w:rsidR="00686032" w:rsidRPr="00FC493B">
        <w:rPr>
          <w:i/>
        </w:rPr>
        <w:t xml:space="preserve">. </w:t>
      </w:r>
      <w:r w:rsidR="00686032" w:rsidRPr="00FC493B">
        <w:t xml:space="preserve">I then included this consensus phylogeny, as well as a random </w:t>
      </w:r>
      <w:r w:rsidRPr="00FC493B">
        <w:t>effect of species identity, in</w:t>
      </w:r>
      <w:r w:rsidR="00686032" w:rsidRPr="00FC493B">
        <w:t xml:space="preserve"> generalized linear mixed model</w:t>
      </w:r>
      <w:r w:rsidRPr="00FC493B">
        <w:t>s</w:t>
      </w:r>
      <w:r w:rsidR="00686032" w:rsidRPr="00FC493B">
        <w:t xml:space="preserve"> using </w:t>
      </w:r>
      <w:proofErr w:type="spellStart"/>
      <w:r w:rsidR="00686032" w:rsidRPr="00FC493B">
        <w:rPr>
          <w:i/>
        </w:rPr>
        <w:t>MCMCglmm</w:t>
      </w:r>
      <w:proofErr w:type="spellEnd"/>
      <w:r w:rsidR="00686032" w:rsidRPr="00FC493B">
        <w:rPr>
          <w:i/>
        </w:rPr>
        <w:t xml:space="preserve"> </w:t>
      </w:r>
      <w:r w:rsidR="00686032" w:rsidRPr="00FC493B">
        <w:rPr>
          <w:i/>
        </w:rPr>
        <w:fldChar w:fldCharType="begin" w:fldLock="1"/>
      </w:r>
      <w:r w:rsidR="0060134B" w:rsidRPr="00FC493B">
        <w:rPr>
          <w:i/>
        </w:rPr>
        <w:instrText>ADDIN CSL_CITATION {"citationItems":[{"id":"ITEM-1","itemData":{"DOI":"10.1086/648604","ISBN":"0003-0147","ISSN":"0003-0147","PMID":"19922262","abstract":"Best linear unbiased prediction (BLUP) is a method for obtaining point estimates of a random effect in a mixed effect model. Over the past decade it has been used extensively in ecology and evolutionary biology to predict individual breeding values and reaction norms. These predictions have been used to infer natural selection, evolutionary change, spatial-genetic patterns, individual reaction norms, and frailties. In this article we show analytically and through simulation and example why BLUP often gives anticonservative and biased estimates of evolutionary and ecological parameters. Although some concerns with BLUP methodology have been voiced before, the scale and breadth of the problems have probably not been widely appreciated. Bias arises because BLUPs are often used to estimate effects that are not explicitly accounted for in the model used to make the predictions. In these cases, predicted breeding values will often say more about phenotypic patterns than the genetic patterns of interest. An additional problem is that BLUPs are point estimates of quantities that are usually known with little certainty. Failure to account for this uncertainty in subsequent tests can lead to both bias and extreme anticonservatism. We demonstrate that restricted maximum likelihood and Bayesian solutions exist for these problems and show how unbiased and powerful tests can be derived that adequately quantify uncertainty. Of particular utility is a new test for detecting evolutionary change that not only accounts for prediction error in breeding values but also accounts for drift. To illustrate the problem, we apply these tests to long-term data on the Soay sheep (Ovis aries) and the great tit (Parus major) and show that previously reported temporal trends in breeding values are not supported.","author":[{"dropping-particle":"","family":"Hadfield","given":"J D","non-dropping-particle":"","parse-names":false,"suffix":""},{"dropping-particle":"","family":"Wilson","given":"A J","non-dropping-particle":"","parse-names":false,"suffix":""},{"dropping-particle":"","family":"Garant","given":"D","non-dropping-particle":"","parse-names":false,"suffix":""},{"dropping-particle":"","family":"Sheldon","given":"B C","non-dropping-particle":"","parse-names":false,"suffix":""},{"dropping-particle":"","family":"Kruuk","given":"L E B","non-dropping-particle":"","parse-names":false,"suffix":""}],"container-title":"American Naturalist","id":"ITEM-1","issue":"1","issued":{"date-parts":[["2010"]]},"page":"116-125","title":"The Misuse of BLUP in Ecology and Evolution","type":"article-journal","volume":"175"},"uris":["http://www.mendeley.com/documents/?uuid=00bef2bd-89c9-4f57-9087-54aaf3a218ab"]}],"mendeley":{"formattedCitation":"[3]","plainTextFormattedCitation":"[3]","previouslyFormattedCitation":"[3]"},"properties":{"noteIndex":0},"schema":"https://github.com/citation-style-language/schema/raw/master/csl-citation.json"}</w:instrText>
      </w:r>
      <w:r w:rsidR="00686032" w:rsidRPr="00FC493B">
        <w:rPr>
          <w:i/>
        </w:rPr>
        <w:fldChar w:fldCharType="separate"/>
      </w:r>
      <w:r w:rsidR="00686032" w:rsidRPr="00FC493B">
        <w:rPr>
          <w:noProof/>
        </w:rPr>
        <w:t>[3]</w:t>
      </w:r>
      <w:r w:rsidR="00686032" w:rsidRPr="00FC493B">
        <w:rPr>
          <w:i/>
        </w:rPr>
        <w:fldChar w:fldCharType="end"/>
      </w:r>
      <w:r w:rsidR="00686032" w:rsidRPr="00FC493B">
        <w:rPr>
          <w:i/>
        </w:rPr>
        <w:t xml:space="preserve">. </w:t>
      </w:r>
      <w:r w:rsidR="00686032" w:rsidRPr="00FC493B">
        <w:t xml:space="preserve">Fixed effects </w:t>
      </w:r>
      <w:r w:rsidRPr="00FC493B">
        <w:t xml:space="preserve">and data subsets </w:t>
      </w:r>
      <w:r w:rsidR="00686032" w:rsidRPr="00FC493B">
        <w:t xml:space="preserve">were the same as described in the main text. I constructed models to test how the number of significant results in the negative direction changed with </w:t>
      </w:r>
      <w:r w:rsidR="004526CB" w:rsidRPr="00FC493B">
        <w:t>male–sperm trait</w:t>
      </w:r>
      <w:r w:rsidR="00686032" w:rsidRPr="00FC493B">
        <w:t xml:space="preserve"> correlation when the focal episode of selection was not active (directly comparable to the first set of tests for Aim I; with the </w:t>
      </w:r>
      <w:r w:rsidR="004526CB" w:rsidRPr="00FC493B">
        <w:t>male–sperm trait</w:t>
      </w:r>
      <w:r w:rsidR="00686032" w:rsidRPr="00FC493B">
        <w:t xml:space="preserve"> correlation as a categorical variable). For comparing estimated effects (second set of tests for Aim I</w:t>
      </w:r>
      <w:r w:rsidRPr="00FC493B">
        <w:t>; first tests for Aim II</w:t>
      </w:r>
      <w:r w:rsidR="00686032" w:rsidRPr="00FC493B">
        <w:t xml:space="preserve">), I reduced computational burden by first calculating the average effect (difference between groups, or regression coefficient) across </w:t>
      </w:r>
      <w:r w:rsidRPr="00FC493B">
        <w:t>the</w:t>
      </w:r>
      <w:r w:rsidR="00686032" w:rsidRPr="00FC493B">
        <w:t xml:space="preserve"> 100 replicate populations, for each species and set of simulation conditions. I then used these averages to test for the interaction between active episodes and </w:t>
      </w:r>
      <w:r w:rsidR="004526CB" w:rsidRPr="00FC493B">
        <w:t>male–sperm trait</w:t>
      </w:r>
      <w:r w:rsidR="00686032" w:rsidRPr="00FC493B">
        <w:t xml:space="preserve"> correlation</w:t>
      </w:r>
      <w:r w:rsidR="0060134B" w:rsidRPr="00FC493B">
        <w:t xml:space="preserve"> (as a continuous variable</w:t>
      </w:r>
      <w:r w:rsidRPr="00FC493B">
        <w:t>; Aim I</w:t>
      </w:r>
      <w:r w:rsidR="0060134B" w:rsidRPr="00FC493B">
        <w:t>)</w:t>
      </w:r>
      <w:r w:rsidRPr="00FC493B">
        <w:t xml:space="preserve"> and to test whether the activation of the non-focal episode impacted selection in the focal episode (Aim II; multivariate selection gradients only)</w:t>
      </w:r>
      <w:r w:rsidR="00686032" w:rsidRPr="00FC493B">
        <w:t xml:space="preserve">. For </w:t>
      </w:r>
      <w:r w:rsidRPr="00FC493B">
        <w:t xml:space="preserve">all </w:t>
      </w:r>
      <w:proofErr w:type="spellStart"/>
      <w:r w:rsidRPr="00FC493B">
        <w:t>MCMCglmm</w:t>
      </w:r>
      <w:proofErr w:type="spellEnd"/>
      <w:r w:rsidRPr="00FC493B">
        <w:t xml:space="preserve"> models</w:t>
      </w:r>
      <w:r w:rsidR="00686032" w:rsidRPr="00FC493B">
        <w:t xml:space="preserve">, </w:t>
      </w:r>
      <w:r w:rsidRPr="00FC493B">
        <w:t xml:space="preserve">I ran </w:t>
      </w:r>
      <w:r w:rsidR="00686032" w:rsidRPr="00FC493B">
        <w:t>2,000,000 ite</w:t>
      </w:r>
      <w:r w:rsidRPr="00FC493B">
        <w:t>rations, with a burn-in of 1000</w:t>
      </w:r>
      <w:r w:rsidR="00686032" w:rsidRPr="00FC493B">
        <w:t xml:space="preserve"> and thinning = 500. </w:t>
      </w:r>
      <w:r w:rsidR="0060134B" w:rsidRPr="00FC493B">
        <w:t xml:space="preserve">Priors were set with V = 1 and nu = 0.02 for the random effects of species and phylogeny, as well as </w:t>
      </w:r>
      <w:r w:rsidRPr="00FC493B">
        <w:t xml:space="preserve">for </w:t>
      </w:r>
      <w:r w:rsidR="0060134B" w:rsidRPr="00FC493B">
        <w:t xml:space="preserve">residual variance, as recommended in </w:t>
      </w:r>
      <w:r w:rsidR="0060134B" w:rsidRPr="00FC493B">
        <w:fldChar w:fldCharType="begin" w:fldLock="1"/>
      </w:r>
      <w:r w:rsidR="00463D2D" w:rsidRPr="00FC493B">
        <w:instrText>ADDIN CSL_CITATION {"citationItems":[{"id":"ITEM-1","itemData":{"author":[{"dropping-particle":"","family":"Villemereuil","given":"Pierre","non-dropping-particle":"de","parse-names":false,"suffix":""},{"dropping-particle":"","family":"Nakagawa","given":"Shinichi","non-dropping-particle":"","parse-names":false,"suffix":""}],"container-title":"Modern Phylogenetic Comparative Methods and their Application in Evolutionary Biology","editor":[{"dropping-particle":"","family":"Garamszegi","given":"László Zsolt","non-dropping-particle":"","parse-names":false,"suffix":""}],"id":"ITEM-1","issued":{"date-parts":[["2014"]]},"page":"287-303","publisher":"Springer","publisher-place":"Heidelberg","title":"General quantitative genetic methods for comparative biology","type":"chapter"},"uris":["http://www.mendeley.com/documents/?uuid=86b28a5a-28e4-42a8-878d-6a374d3d8291"]}],"mendeley":{"formattedCitation":"[4]","plainTextFormattedCitation":"[4]","previouslyFormattedCitation":"[4]"},"properties":{"noteIndex":0},"schema":"https://github.com/citation-style-language/schema/raw/master/csl-citation.json"}</w:instrText>
      </w:r>
      <w:r w:rsidR="0060134B" w:rsidRPr="00FC493B">
        <w:fldChar w:fldCharType="separate"/>
      </w:r>
      <w:r w:rsidR="0060134B" w:rsidRPr="00FC493B">
        <w:rPr>
          <w:noProof/>
        </w:rPr>
        <w:t>[4]</w:t>
      </w:r>
      <w:r w:rsidR="0060134B" w:rsidRPr="00FC493B">
        <w:fldChar w:fldCharType="end"/>
      </w:r>
      <w:r w:rsidR="0060134B" w:rsidRPr="00FC493B">
        <w:t xml:space="preserve">. </w:t>
      </w:r>
      <w:r w:rsidR="0083189A" w:rsidRPr="00FC493B">
        <w:t xml:space="preserve">Convergence </w:t>
      </w:r>
      <w:proofErr w:type="gramStart"/>
      <w:r w:rsidR="0083189A" w:rsidRPr="00FC493B">
        <w:t>was assessed</w:t>
      </w:r>
      <w:proofErr w:type="gramEnd"/>
      <w:r w:rsidR="0083189A" w:rsidRPr="00FC493B">
        <w:t xml:space="preserve"> by visual inspection of plots, as well as the </w:t>
      </w:r>
      <w:r w:rsidR="00363F82" w:rsidRPr="00FC493B">
        <w:t xml:space="preserve">Heidelberger and Welch’s convergence diagnostic. </w:t>
      </w:r>
      <w:r w:rsidR="0083189A" w:rsidRPr="00FC493B">
        <w:t xml:space="preserve">This </w:t>
      </w:r>
      <w:r w:rsidR="001975A7" w:rsidRPr="00FC493B">
        <w:t>diagnostic</w:t>
      </w:r>
      <w:r w:rsidR="0083189A" w:rsidRPr="00FC493B">
        <w:t xml:space="preserve"> performs poorly for parameters with a mean of 0, and indeed, gave a “failed” score for the effect of the </w:t>
      </w:r>
      <w:r w:rsidR="004526CB" w:rsidRPr="00FC493B">
        <w:t>male–sperm trait</w:t>
      </w:r>
      <w:r w:rsidR="0083189A" w:rsidRPr="00FC493B">
        <w:t xml:space="preserve"> correlation in predicting estimated test effects (expected to be</w:t>
      </w:r>
      <w:r w:rsidR="001975A7" w:rsidRPr="00FC493B">
        <w:t>, and estimated close to,</w:t>
      </w:r>
      <w:r w:rsidR="0083189A" w:rsidRPr="00FC493B">
        <w:t xml:space="preserve"> 0 in the reference category)</w:t>
      </w:r>
      <w:r w:rsidR="00363F82" w:rsidRPr="00FC493B">
        <w:t xml:space="preserve">. </w:t>
      </w:r>
      <w:r w:rsidR="0083189A" w:rsidRPr="00FC493B">
        <w:t xml:space="preserve">If other fixed effects </w:t>
      </w:r>
      <w:r w:rsidR="005C0653" w:rsidRPr="00FC493B">
        <w:t xml:space="preserve">did not “pass” </w:t>
      </w:r>
      <w:r w:rsidR="00363F82" w:rsidRPr="00FC493B">
        <w:t>this diagnostic</w:t>
      </w:r>
      <w:r w:rsidR="005C0653" w:rsidRPr="00FC493B">
        <w:t>, I ran 5,000,000 iterations</w:t>
      </w:r>
      <w:r w:rsidR="0083189A" w:rsidRPr="00FC493B">
        <w:t xml:space="preserve"> of the model. </w:t>
      </w:r>
      <w:r w:rsidR="00363F82" w:rsidRPr="00FC493B">
        <w:t xml:space="preserve">Only </w:t>
      </w:r>
      <w:r w:rsidR="00363F82" w:rsidRPr="00FC493B">
        <w:lastRenderedPageBreak/>
        <w:t xml:space="preserve">one other parameter estimate failed this test after running 5,000,000 iterations; it </w:t>
      </w:r>
      <w:proofErr w:type="gramStart"/>
      <w:r w:rsidR="00363F82" w:rsidRPr="00FC493B">
        <w:t>was also estimated</w:t>
      </w:r>
      <w:proofErr w:type="gramEnd"/>
      <w:r w:rsidR="00363F82" w:rsidRPr="00FC493B">
        <w:t xml:space="preserve"> at close to 0</w:t>
      </w:r>
      <w:r w:rsidR="001975A7" w:rsidRPr="00FC493B">
        <w:t>, and therefore I concluded that the models had converged sufficiently</w:t>
      </w:r>
      <w:r w:rsidR="00363F82" w:rsidRPr="00FC493B">
        <w:t xml:space="preserve">. </w:t>
      </w:r>
      <w:r w:rsidR="0060134B" w:rsidRPr="00FC493B">
        <w:t xml:space="preserve">This </w:t>
      </w:r>
      <w:r w:rsidRPr="00FC493B">
        <w:t>package</w:t>
      </w:r>
      <w:r w:rsidR="0060134B" w:rsidRPr="00FC493B">
        <w:t xml:space="preserve"> produces </w:t>
      </w:r>
      <w:r w:rsidRPr="00FC493B">
        <w:t xml:space="preserve">pairwise </w:t>
      </w:r>
      <w:r w:rsidR="0060134B" w:rsidRPr="00FC493B">
        <w:t>comparisons between the reference level and other levels, rather than overall F</w:t>
      </w:r>
      <w:r w:rsidRPr="00FC493B">
        <w:t>-tests, which somewhat complicated comparison to the main results.</w:t>
      </w:r>
    </w:p>
    <w:p w14:paraId="1DA02431" w14:textId="60BAF7D2" w:rsidR="0060134B" w:rsidRPr="00FC493B" w:rsidRDefault="00B900E1" w:rsidP="00165EB0">
      <w:pPr>
        <w:pStyle w:val="MDPI31text"/>
      </w:pPr>
      <w:r w:rsidRPr="00FC493B">
        <w:t>For the number of spurious</w:t>
      </w:r>
      <w:r w:rsidR="004B2C6A" w:rsidRPr="00FC493B">
        <w:t xml:space="preserve"> significant</w:t>
      </w:r>
      <w:r w:rsidRPr="00FC493B">
        <w:t xml:space="preserve"> results, all analytical approaches that resulted in a significant F-test in Table 2 showed a similar pattern in the </w:t>
      </w:r>
      <w:proofErr w:type="spellStart"/>
      <w:r w:rsidRPr="00FC493B">
        <w:t>MCMCglmm</w:t>
      </w:r>
      <w:proofErr w:type="spellEnd"/>
      <w:r w:rsidRPr="00FC493B">
        <w:t xml:space="preserve"> results. Specifically, the number of significant results was significantly higher for the </w:t>
      </w:r>
      <w:r w:rsidR="004526CB" w:rsidRPr="00FC493B">
        <w:t>male–sperm trait</w:t>
      </w:r>
      <w:r w:rsidRPr="00FC493B">
        <w:t xml:space="preserve"> correlation of </w:t>
      </w:r>
      <w:r w:rsidR="00FC2AB4" w:rsidRPr="00FC493B">
        <w:t>−</w:t>
      </w:r>
      <w:r w:rsidRPr="00FC493B">
        <w:t xml:space="preserve">0.3 (compared to the reference correlation of 0), and the number of spurious significant results decreased with less-negative </w:t>
      </w:r>
      <w:r w:rsidR="004526CB" w:rsidRPr="00FC493B">
        <w:t>male–sperm trait</w:t>
      </w:r>
      <w:r w:rsidRPr="00FC493B">
        <w:t xml:space="preserve"> correlations (consistent with the pattern in Fig. </w:t>
      </w:r>
      <w:r w:rsidR="008C2D1A" w:rsidRPr="00FC493B">
        <w:t>2,3</w:t>
      </w:r>
      <w:r w:rsidRPr="00FC493B">
        <w:t>; full results not shown). For the multivariate regression on male traits and the regression of the</w:t>
      </w:r>
      <w:r w:rsidR="004B2C6A" w:rsidRPr="00FC493B">
        <w:t xml:space="preserve"> proportion of extra-pair brood</w:t>
      </w:r>
      <w:r w:rsidRPr="00FC493B">
        <w:t xml:space="preserve"> sired on the sperm trait</w:t>
      </w:r>
      <w:r w:rsidR="004B2C6A" w:rsidRPr="00FC493B">
        <w:t xml:space="preserve"> of the extra-pair male</w:t>
      </w:r>
      <w:r w:rsidRPr="00FC493B">
        <w:t xml:space="preserve">, no categories differed from the reference value (full results not shown), consistent with the non-significant F tests (Table 2). For the multivariate selection gradient on the sperm trait, the number of spurious results differed for the </w:t>
      </w:r>
      <w:r w:rsidR="004526CB" w:rsidRPr="00FC493B">
        <w:t>male–sperm trait</w:t>
      </w:r>
      <w:r w:rsidRPr="00FC493B">
        <w:t xml:space="preserve"> correlation of </w:t>
      </w:r>
      <w:r w:rsidR="00E7758C" w:rsidRPr="00FC493B">
        <w:t>−</w:t>
      </w:r>
      <w:r w:rsidRPr="00FC493B">
        <w:t>0.2 and 0.1, but there was no overall pattern of increasing or decreasing number of spurious results, nor were estimated effects large (</w:t>
      </w:r>
      <w:r w:rsidR="005C0653" w:rsidRPr="00FC493B">
        <w:t xml:space="preserve">with these categories showing 1.7 and 1 fewer spurious significant result, respectively, than the reference; </w:t>
      </w:r>
      <w:r w:rsidRPr="00FC493B">
        <w:t>full results not shown). I therefore interpret this result as not substantively different from the main results.</w:t>
      </w:r>
      <w:r w:rsidR="001A0C6A" w:rsidRPr="00FC493B">
        <w:t xml:space="preserve"> </w:t>
      </w:r>
    </w:p>
    <w:p w14:paraId="3BEA991B" w14:textId="53E2EC9F" w:rsidR="00326E15" w:rsidRPr="00FC493B" w:rsidRDefault="00326E15" w:rsidP="00165EB0">
      <w:pPr>
        <w:pStyle w:val="MDPI31text"/>
      </w:pPr>
      <w:r w:rsidRPr="00FC493B">
        <w:t xml:space="preserve">For the size of estimated effects, I considered results from the </w:t>
      </w:r>
      <w:proofErr w:type="spellStart"/>
      <w:r w:rsidRPr="00FC493B">
        <w:t>MCMCglmm</w:t>
      </w:r>
      <w:proofErr w:type="spellEnd"/>
      <w:r w:rsidRPr="00FC493B">
        <w:t xml:space="preserve"> analysis </w:t>
      </w:r>
      <w:r w:rsidR="007B41BE" w:rsidRPr="00FC493B">
        <w:t xml:space="preserve">completely </w:t>
      </w:r>
      <w:r w:rsidRPr="00FC493B">
        <w:t>consistent with main results if the estimated interaction term</w:t>
      </w:r>
      <w:r w:rsidR="009D5A4F" w:rsidRPr="00FC493B">
        <w:t xml:space="preserve"> was less than </w:t>
      </w:r>
      <w:r w:rsidR="007B41BE" w:rsidRPr="00FC493B">
        <w:t>1</w:t>
      </w:r>
      <w:r w:rsidR="009D5A4F" w:rsidRPr="00FC493B">
        <w:t>0</w:t>
      </w:r>
      <w:r w:rsidRPr="00FC493B">
        <w:t>% different from those for the main results (in Table S3)</w:t>
      </w:r>
      <w:r w:rsidR="009D5A4F" w:rsidRPr="00FC493B">
        <w:t xml:space="preserve">, for main tests with Cohen’s d &gt; 0.08. For the main results with smaller Cohen’s d, </w:t>
      </w:r>
      <w:proofErr w:type="spellStart"/>
      <w:r w:rsidR="009D5A4F" w:rsidRPr="00FC493B">
        <w:t>MCMCglmm</w:t>
      </w:r>
      <w:proofErr w:type="spellEnd"/>
      <w:r w:rsidR="009D5A4F" w:rsidRPr="00FC493B">
        <w:t xml:space="preserve"> resulted in non-significant interaction terms, which I interpret as consistent. Among tests with Cohen’s d &gt; 0.08, results were consistent except as follows. </w:t>
      </w:r>
      <w:proofErr w:type="spellStart"/>
      <w:r w:rsidR="00CC6D2D" w:rsidRPr="00FC493B">
        <w:t>MCMCglmm</w:t>
      </w:r>
      <w:proofErr w:type="spellEnd"/>
      <w:r w:rsidR="00CC6D2D" w:rsidRPr="00FC493B">
        <w:t xml:space="preserve"> indicated a significant interaction term, but with </w:t>
      </w:r>
      <w:r w:rsidR="007B41BE" w:rsidRPr="00FC493B">
        <w:t>smaller estimated effects, for t-tests on</w:t>
      </w:r>
      <w:r w:rsidR="00CC6D2D" w:rsidRPr="00FC493B">
        <w:t xml:space="preserve"> sperm quality of males that were or were not cuckolded</w:t>
      </w:r>
      <w:r w:rsidR="007B41BE" w:rsidRPr="00FC493B">
        <w:t xml:space="preserve"> (estimated effect was 66% of that for main results); t-tests on sperm traits between males that did or did not sire extra-pair offspring in other nests (45%);</w:t>
      </w:r>
      <w:r w:rsidR="001A0C6A" w:rsidRPr="00FC493B">
        <w:t xml:space="preserve"> </w:t>
      </w:r>
      <w:r w:rsidR="00CC6D2D" w:rsidRPr="00FC493B">
        <w:t>paired t-test</w:t>
      </w:r>
      <w:r w:rsidR="007B41BE" w:rsidRPr="00FC493B">
        <w:t>s</w:t>
      </w:r>
      <w:r w:rsidR="00CC6D2D" w:rsidRPr="00FC493B">
        <w:t xml:space="preserve"> of sperm quality</w:t>
      </w:r>
      <w:r w:rsidR="007B41BE" w:rsidRPr="00FC493B">
        <w:t xml:space="preserve"> (75%); </w:t>
      </w:r>
      <w:r w:rsidR="00CC6D2D" w:rsidRPr="00FC493B">
        <w:t>and t</w:t>
      </w:r>
      <w:r w:rsidRPr="00FC493B">
        <w:t>he regression of the sperm trait on detected extra-pair copulation partners</w:t>
      </w:r>
      <w:r w:rsidR="00CC6D2D" w:rsidRPr="00FC493B">
        <w:t xml:space="preserve"> (</w:t>
      </w:r>
      <w:r w:rsidR="007B41BE" w:rsidRPr="00FC493B">
        <w:t xml:space="preserve">50%; </w:t>
      </w:r>
      <w:r w:rsidR="00CC6D2D" w:rsidRPr="00FC493B">
        <w:t>full results not shown). I consider these substantively similar.</w:t>
      </w:r>
    </w:p>
    <w:p w14:paraId="389BCF56" w14:textId="53ECC49B" w:rsidR="00760CEE" w:rsidRPr="00FC493B" w:rsidRDefault="00760CEE" w:rsidP="00165EB0">
      <w:pPr>
        <w:pStyle w:val="MDPI31text"/>
        <w:rPr>
          <w:iCs/>
        </w:rPr>
      </w:pPr>
      <w:r w:rsidRPr="00FC493B">
        <w:t xml:space="preserve">For Aim II, the </w:t>
      </w:r>
      <w:proofErr w:type="spellStart"/>
      <w:r w:rsidRPr="00FC493B">
        <w:t>MCMCglmm</w:t>
      </w:r>
      <w:proofErr w:type="spellEnd"/>
      <w:r w:rsidRPr="00FC493B">
        <w:t xml:space="preserve"> results indicated that selection in one episode did not depend on whether the other episode was active (full results not shown). </w:t>
      </w:r>
    </w:p>
    <w:p w14:paraId="57045222" w14:textId="68ED8EC2" w:rsidR="00F939CB" w:rsidRPr="00FC493B" w:rsidRDefault="00165EB0" w:rsidP="00165EB0">
      <w:pPr>
        <w:pStyle w:val="MDPI21heading1"/>
      </w:pPr>
      <w:r>
        <w:t xml:space="preserve">3. </w:t>
      </w:r>
      <w:r w:rsidR="00F939CB" w:rsidRPr="00FC493B">
        <w:t xml:space="preserve">Partitioning </w:t>
      </w:r>
      <w:r w:rsidR="00FC493B" w:rsidRPr="00FC493B">
        <w:t xml:space="preserve">Variance </w:t>
      </w:r>
      <w:r w:rsidR="00F939CB" w:rsidRPr="00FC493B">
        <w:t xml:space="preserve">in </w:t>
      </w:r>
      <w:r w:rsidR="00FC493B" w:rsidRPr="00FC493B">
        <w:t xml:space="preserve">Male Reproductive Success </w:t>
      </w:r>
      <w:r w:rsidR="00614A54" w:rsidRPr="00FC493B">
        <w:t>(Opportunity for selection)</w:t>
      </w:r>
      <w:r w:rsidR="000D73C7" w:rsidRPr="00FC493B">
        <w:t>: Methods</w:t>
      </w:r>
    </w:p>
    <w:p w14:paraId="5BCFC45C" w14:textId="4D72DC14" w:rsidR="00F939CB" w:rsidRPr="00FC493B" w:rsidRDefault="000D73C7" w:rsidP="00165EB0">
      <w:pPr>
        <w:pStyle w:val="MDPI31text"/>
      </w:pPr>
      <w:r w:rsidRPr="00FC493B">
        <w:t xml:space="preserve">For comparability with other studies (reviewed in </w:t>
      </w:r>
      <w:r w:rsidRPr="00FC493B">
        <w:fldChar w:fldCharType="begin" w:fldLock="1"/>
      </w:r>
      <w:r w:rsidR="00463D2D" w:rsidRPr="00FC493B">
        <w:instrText>ADDIN CSL_CITATION {"citationItems":[{"id":"ITEM-1","itemData":{"DOI":"10.1111/jeb.12960","author":[{"dropping-particle":"","family":"Evans","given":"Jonathan P","non-dropping-particle":"","parse-names":false,"suffix":""},{"dropping-particle":"","family":"Garcia-Gonzalez","given":"Francisco","non-dropping-particle":"","parse-names":false,"suffix":""}],"container-title":"Journal of Evolutionary Biology","id":"ITEM-1","issued":{"date-parts":[["2016"]]},"page":"2338-2361","title":"The total opportunity for sexual selection and the integration of pre- and post-mating episodes of sexual selection in a complex world","type":"article-journal","volume":"29"},"uris":["http://www.mendeley.com/documents/?uuid=481dca42-7939-40a3-8fb5-85dec7bc28d3"]}],"mendeley":{"formattedCitation":"[5]","plainTextFormattedCitation":"[5]","previouslyFormattedCitation":"[5]"},"properties":{"noteIndex":0},"schema":"https://github.com/citation-style-language/schema/raw/master/csl-citation.json"}</w:instrText>
      </w:r>
      <w:r w:rsidRPr="00FC493B">
        <w:fldChar w:fldCharType="separate"/>
      </w:r>
      <w:r w:rsidR="0060134B" w:rsidRPr="00FC493B">
        <w:rPr>
          <w:noProof/>
        </w:rPr>
        <w:t>[5]</w:t>
      </w:r>
      <w:r w:rsidRPr="00FC493B">
        <w:fldChar w:fldCharType="end"/>
      </w:r>
      <w:r w:rsidR="00707120" w:rsidRPr="00FC493B">
        <w:t>)</w:t>
      </w:r>
      <w:r w:rsidRPr="00FC493B">
        <w:t xml:space="preserve">, I partitioned variance in total reproductive success </w:t>
      </w:r>
      <w:r w:rsidR="00F939CB" w:rsidRPr="00FC493B">
        <w:t xml:space="preserve">following </w:t>
      </w:r>
      <w:r w:rsidR="00F939CB" w:rsidRPr="00FC493B">
        <w:fldChar w:fldCharType="begin" w:fldLock="1"/>
      </w:r>
      <w:r w:rsidR="00463D2D" w:rsidRPr="00FC493B">
        <w:instrText>ADDIN CSL_CITATION {"citationItems":[{"id":"ITEM-1","itemData":{"author":[{"dropping-particle":"","family":"Webster","given":"Michael S","non-dropping-particle":"","parse-names":false,"suffix":""},{"dropping-particle":"","family":"Pruett-Jones","given":"Stephen","non-dropping-particle":"","parse-names":false,"suffix":""},{"dropping-particle":"","family":"Westneat","given":"David F","non-dropping-particle":"","parse-names":false,"suffix":""},{"dropping-particle":"","family":"Arnold","given":"Stevan J","non-dropping-particle":"","parse-names":false,"suffix":""}],"container-title":"Evolution","id":"ITEM-1","issue":"6","issued":{"date-parts":[["1995"]]},"page":"1147-1157","title":"Measuring the effects of pairing success, extra-pair copulations and mate quality on the opportunity for sexual selection","type":"article-journal","volume":"49"},"uris":["http://www.mendeley.com/documents/?uuid=f8746180-cb72-4a84-a6d1-22c8b9a8609e"]}],"mendeley":{"formattedCitation":"[6]","plainTextFormattedCitation":"[6]","previouslyFormattedCitation":"[6]"},"properties":{"noteIndex":0},"schema":"https://github.com/citation-style-language/schema/raw/master/csl-citation.json"}</w:instrText>
      </w:r>
      <w:r w:rsidR="00F939CB" w:rsidRPr="00FC493B">
        <w:fldChar w:fldCharType="separate"/>
      </w:r>
      <w:r w:rsidR="0060134B" w:rsidRPr="00FC493B">
        <w:rPr>
          <w:noProof/>
        </w:rPr>
        <w:t>[6]</w:t>
      </w:r>
      <w:r w:rsidR="00F939CB" w:rsidRPr="00FC493B">
        <w:fldChar w:fldCharType="end"/>
      </w:r>
      <w:r w:rsidR="00F939CB" w:rsidRPr="00FC493B">
        <w:t xml:space="preserve">. </w:t>
      </w:r>
      <w:r w:rsidRPr="00FC493B">
        <w:t xml:space="preserve">Total reproductive success (i.e., number of offspring sired) </w:t>
      </w:r>
      <w:r w:rsidR="00F939CB" w:rsidRPr="00FC493B">
        <w:t xml:space="preserve">was partitioned into two additive components, within-pair and extra-pair success, and each of these components was further partitioned into three multiplicative components representing copulation success, fecundity of the female copulation partner(s), and fertilization success </w:t>
      </w:r>
      <w:r w:rsidR="00F939CB" w:rsidRPr="00FC493B">
        <w:fldChar w:fldCharType="begin" w:fldLock="1"/>
      </w:r>
      <w:r w:rsidR="00463D2D" w:rsidRPr="00FC493B">
        <w:instrText>ADDIN CSL_CITATION {"citationItems":[{"id":"ITEM-1","itemData":{"author":[{"dropping-particle":"","family":"Webster","given":"Michael S","non-dropping-particle":"","parse-names":false,"suffix":""},{"dropping-particle":"","family":"Pruett-Jones","given":"Stephen","non-dropping-particle":"","parse-names":false,"suffix":""},{"dropping-particle":"","family":"Westneat","given":"David F","non-dropping-particle":"","parse-names":false,"suffix":""},{"dropping-particle":"","family":"Arnold","given":"Stevan J","non-dropping-particle":"","parse-names":false,"suffix":""}],"container-title":"Evolution","id":"ITEM-1","issue":"6","issued":{"date-parts":[["1995"]]},"page":"1147-1157","title":"Measuring the effects of pairing success, extra-pair copulations and mate quality on the opportunity for sexual selection","type":"article-journal","volume":"49"},"uris":["http://www.mendeley.com/documents/?uuid=f8746180-cb72-4a84-a6d1-22c8b9a8609e"]}],"mendeley":{"formattedCitation":"[6]","plainTextFormattedCitation":"[6]","previouslyFormattedCitation":"[6]"},"properties":{"noteIndex":0},"schema":"https://github.com/citation-style-language/schema/raw/master/csl-citation.json"}</w:instrText>
      </w:r>
      <w:r w:rsidR="00F939CB" w:rsidRPr="00FC493B">
        <w:fldChar w:fldCharType="separate"/>
      </w:r>
      <w:r w:rsidR="0060134B" w:rsidRPr="00FC493B">
        <w:rPr>
          <w:noProof/>
        </w:rPr>
        <w:t>[6]</w:t>
      </w:r>
      <w:r w:rsidR="00F939CB" w:rsidRPr="00FC493B">
        <w:fldChar w:fldCharType="end"/>
      </w:r>
      <w:r w:rsidR="00F939CB" w:rsidRPr="00FC493B">
        <w:t xml:space="preserve">. </w:t>
      </w:r>
      <w:r w:rsidRPr="00FC493B">
        <w:t xml:space="preserve">Copulation success was the number of </w:t>
      </w:r>
      <w:proofErr w:type="gramStart"/>
      <w:r w:rsidRPr="00FC493B">
        <w:t>copulation</w:t>
      </w:r>
      <w:proofErr w:type="gramEnd"/>
      <w:r w:rsidRPr="00FC493B">
        <w:t xml:space="preserve"> partners a male had, regardless of whether he fertilized any eggs with her and regardless of number of copulations together. Within-pair copulation success was 1 for all males. Fecundity was the average clutch size of all extra-pair copulation partners, or the clutch size of the within-pair female. Fertilization success was the proportion of eggs fertilized (for extra-pair copulations, calculated as total number of eggs fertilized, divided by the sum of the clutch sizes of all extra-pair copulation partners). To avoid inflating variance terms, males that did not obtain extra-pair copulations were excluded from calculating terms that included extra-pair mate fecundity and fertilization success of extra-pair eggs </w:t>
      </w:r>
      <w:r w:rsidRPr="00FC493B">
        <w:fldChar w:fldCharType="begin" w:fldLock="1"/>
      </w:r>
      <w:r w:rsidR="00463D2D" w:rsidRPr="00FC493B">
        <w:instrText>ADDIN CSL_CITATION {"citationItems":[{"id":"ITEM-1","itemData":{"author":[{"dropping-particle":"","family":"Arnold","given":"Stevan J","non-dropping-particle":"","parse-names":false,"suffix":""},{"dropping-particle":"","family":"Wade","given":"Michael J","non-dropping-particle":"","parse-names":false,"suffix":""}],"container-title":"Evolution","id":"ITEM-1","issue":"4","issued":{"date-parts":[["1984"]]},"page":"720-734","title":"On the measurement of natural and sexual selection: applications","type":"article-journal","volume":"38"},"uris":["http://www.mendeley.com/documents/?uuid=4b00c0a5-64eb-483b-b877-222190d6b94a"]}],"mendeley":{"formattedCitation":"[7]","plainTextFormattedCitation":"[7]","previouslyFormattedCitation":"[7]"},"properties":{"noteIndex":0},"schema":"https://github.com/citation-style-language/schema/raw/master/csl-citation.json"}</w:instrText>
      </w:r>
      <w:r w:rsidRPr="00FC493B">
        <w:fldChar w:fldCharType="separate"/>
      </w:r>
      <w:r w:rsidR="0060134B" w:rsidRPr="00FC493B">
        <w:rPr>
          <w:noProof/>
        </w:rPr>
        <w:t>[7]</w:t>
      </w:r>
      <w:r w:rsidRPr="00FC493B">
        <w:fldChar w:fldCharType="end"/>
      </w:r>
      <w:r w:rsidRPr="00FC493B">
        <w:t xml:space="preserve">. </w:t>
      </w:r>
      <w:r w:rsidR="00F939CB" w:rsidRPr="00FC493B">
        <w:t xml:space="preserve">Covariance terms between all pairs </w:t>
      </w:r>
      <w:proofErr w:type="gramStart"/>
      <w:r w:rsidR="00F939CB" w:rsidRPr="00FC493B">
        <w:t>were also calculated</w:t>
      </w:r>
      <w:proofErr w:type="gramEnd"/>
      <w:r w:rsidRPr="00FC493B">
        <w:t xml:space="preserve"> (Table S1)</w:t>
      </w:r>
      <w:r w:rsidR="00F939CB" w:rsidRPr="00FC493B">
        <w:t xml:space="preserve">. </w:t>
      </w:r>
      <w:r w:rsidRPr="00FC493B">
        <w:t xml:space="preserve">Each variance or covariance component was scaled </w:t>
      </w:r>
      <w:r w:rsidR="00F939CB" w:rsidRPr="00FC493B">
        <w:t xml:space="preserve">by multiplying by the appropriate squared mean or mean terms </w:t>
      </w:r>
      <w:r w:rsidR="00811744" w:rsidRPr="00FC493B">
        <w:fldChar w:fldCharType="begin" w:fldLock="1"/>
      </w:r>
      <w:r w:rsidR="00463D2D" w:rsidRPr="00FC493B">
        <w:instrText>ADDIN CSL_CITATION {"citationItems":[{"id":"ITEM-1","itemData":{"author":[{"dropping-particle":"","family":"Webster","given":"Michael S","non-dropping-particle":"","parse-names":false,"suffix":""},{"dropping-particle":"","family":"Pruett-Jones","given":"Stephen","non-dropping-particle":"","parse-names":false,"suffix":""},{"dropping-particle":"","family":"Westneat","given":"David F","non-dropping-particle":"","parse-names":false,"suffix":""},{"dropping-particle":"","family":"Arnold","given":"Stevan J","non-dropping-particle":"","parse-names":false,"suffix":""}],"container-title":"Evolution","id":"ITEM-1","issue":"6","issued":{"date-parts":[["1995"]]},"page":"1147-1157","title":"Measuring the effects of pairing success, extra-pair copulations and mate quality on the opportunity for sexual selection","type":"article-journal","volume":"49"},"uris":["http://www.mendeley.com/documents/?uuid=f8746180-cb72-4a84-a6d1-22c8b9a8609e"]}],"mendeley":{"formattedCitation":"[6]","plainTextFormattedCitation":"[6]","previouslyFormattedCitation":"[6]"},"properties":{"noteIndex":0},"schema":"https://github.com/citation-style-language/schema/raw/master/csl-citation.json"}</w:instrText>
      </w:r>
      <w:r w:rsidR="00811744" w:rsidRPr="00FC493B">
        <w:fldChar w:fldCharType="separate"/>
      </w:r>
      <w:r w:rsidR="0060134B" w:rsidRPr="00FC493B">
        <w:rPr>
          <w:noProof/>
        </w:rPr>
        <w:t>[6]</w:t>
      </w:r>
      <w:r w:rsidR="00811744" w:rsidRPr="00FC493B">
        <w:fldChar w:fldCharType="end"/>
      </w:r>
      <w:r w:rsidR="00F939CB" w:rsidRPr="00FC493B">
        <w:t xml:space="preserve">(Table S1). </w:t>
      </w:r>
      <w:r w:rsidRPr="00FC493B">
        <w:t>In order to discuss these variance terms as opportunity for selection and to facilitate comparison across species, each term was</w:t>
      </w:r>
      <w:r w:rsidR="00F939CB" w:rsidRPr="00FC493B">
        <w:t xml:space="preserve"> then divided by the square mean overall reproductive success</w:t>
      </w:r>
      <w:r w:rsidRPr="00FC493B">
        <w:t xml:space="preserve"> </w:t>
      </w:r>
      <w:r w:rsidRPr="00FC493B">
        <w:fldChar w:fldCharType="begin" w:fldLock="1"/>
      </w:r>
      <w:r w:rsidR="00463D2D" w:rsidRPr="00FC493B">
        <w:instrText>ADDIN CSL_CITATION {"citationItems":[{"id":"ITEM-1","itemData":{"author":[{"dropping-particle":"","family":"Webster","given":"Michael S","non-dropping-particle":"","parse-names":false,"suffix":""},{"dropping-particle":"","family":"Pruett-Jones","given":"Stephen","non-dropping-particle":"","parse-names":false,"suffix":""},{"dropping-particle":"","family":"Westneat","given":"David F","non-dropping-particle":"","parse-names":false,"suffix":""},{"dropping-particle":"","family":"Arnold","given":"Stevan J","non-dropping-particle":"","parse-names":false,"suffix":""}],"container-title":"Evolution","id":"ITEM-1","issue":"6","issued":{"date-parts":[["1995"]]},"page":"1147-1157","title":"Measuring the effects of pairing success, extra-pair copulations and mate quality on the opportunity for sexual selection","type":"article-journal","volume":"49"},"uris":["http://www.mendeley.com/documents/?uuid=f8746180-cb72-4a84-a6d1-22c8b9a8609e"]}],"mendeley":{"formattedCitation":"[6]","plainTextFormattedCitation":"[6]","previouslyFormattedCitation":"[6]"},"properties":{"noteIndex":0},"schema":"https://github.com/citation-style-language/schema/raw/master/csl-citation.json"}</w:instrText>
      </w:r>
      <w:r w:rsidRPr="00FC493B">
        <w:fldChar w:fldCharType="separate"/>
      </w:r>
      <w:r w:rsidR="0060134B" w:rsidRPr="00FC493B">
        <w:rPr>
          <w:noProof/>
        </w:rPr>
        <w:t>[6]</w:t>
      </w:r>
      <w:r w:rsidRPr="00FC493B">
        <w:fldChar w:fldCharType="end"/>
      </w:r>
      <w:r w:rsidRPr="00FC493B">
        <w:t xml:space="preserve">. </w:t>
      </w:r>
    </w:p>
    <w:p w14:paraId="03510A49" w14:textId="439C8360" w:rsidR="00725D15" w:rsidRPr="00FC493B" w:rsidRDefault="00F939CB" w:rsidP="00165EB0">
      <w:pPr>
        <w:pStyle w:val="MDPI31text"/>
      </w:pPr>
      <w:r w:rsidRPr="00FC493B">
        <w:lastRenderedPageBreak/>
        <w:t xml:space="preserve">To examine whether </w:t>
      </w:r>
      <w:r w:rsidR="00811744" w:rsidRPr="00FC493B">
        <w:t xml:space="preserve">opportunity for </w:t>
      </w:r>
      <w:r w:rsidRPr="00FC493B">
        <w:t xml:space="preserve">selection in one episode </w:t>
      </w:r>
      <w:r w:rsidR="00811744" w:rsidRPr="00FC493B">
        <w:t xml:space="preserve">depended on whether the other episode was active, </w:t>
      </w:r>
      <w:r w:rsidRPr="00FC493B">
        <w:t>I created a separate linear mixed model for each of the components</w:t>
      </w:r>
      <w:r w:rsidR="00811744" w:rsidRPr="00FC493B">
        <w:t xml:space="preserve"> of opportunity for selection</w:t>
      </w:r>
      <w:r w:rsidRPr="00FC493B">
        <w:t xml:space="preserve">, except for those involving within-pair copulation success (which was invariant in the simulation, resulting in values of 0 for all terms). The </w:t>
      </w:r>
      <w:r w:rsidR="00614A54" w:rsidRPr="00FC493B">
        <w:t>component</w:t>
      </w:r>
      <w:r w:rsidR="00811744" w:rsidRPr="00FC493B">
        <w:t xml:space="preserve"> of opportunity for selection </w:t>
      </w:r>
      <w:r w:rsidRPr="00FC493B">
        <w:t xml:space="preserve">was the response variable and species </w:t>
      </w:r>
      <w:proofErr w:type="gramStart"/>
      <w:r w:rsidRPr="00FC493B">
        <w:t>was</w:t>
      </w:r>
      <w:proofErr w:type="gramEnd"/>
      <w:r w:rsidRPr="00FC493B">
        <w:t xml:space="preserve"> a random effect. Fixed effects were the male</w:t>
      </w:r>
      <w:r w:rsidR="004526CB" w:rsidRPr="00FC493B">
        <w:t>–</w:t>
      </w:r>
      <w:r w:rsidRPr="00FC493B">
        <w:t xml:space="preserve">sperm quality correlation (treated as a continuous variable), a variable indicating which episodes of selection </w:t>
      </w:r>
      <w:r w:rsidR="000D73C7" w:rsidRPr="00FC493B">
        <w:t>were active</w:t>
      </w:r>
      <w:r w:rsidRPr="00FC493B">
        <w:t xml:space="preserve">, and the interaction between these two. The interaction </w:t>
      </w:r>
      <w:proofErr w:type="gramStart"/>
      <w:r w:rsidRPr="00FC493B">
        <w:t>was removed</w:t>
      </w:r>
      <w:proofErr w:type="gramEnd"/>
      <w:r w:rsidRPr="00FC493B">
        <w:t xml:space="preserve"> if it was non-significant (</w:t>
      </w:r>
      <w:r w:rsidR="00D77409" w:rsidRPr="00FC493B">
        <w:rPr>
          <w:i/>
        </w:rPr>
        <w:t xml:space="preserve">p </w:t>
      </w:r>
      <w:r w:rsidR="00D77409" w:rsidRPr="00FC493B">
        <w:t>&gt;</w:t>
      </w:r>
      <w:r w:rsidR="00D77409" w:rsidRPr="00FC493B">
        <w:rPr>
          <w:i/>
        </w:rPr>
        <w:t xml:space="preserve"> </w:t>
      </w:r>
      <w:r w:rsidR="00D77409" w:rsidRPr="00FC493B">
        <w:t>0</w:t>
      </w:r>
      <w:r w:rsidRPr="00FC493B">
        <w:t xml:space="preserve">.05). Causing one episode of selection to </w:t>
      </w:r>
      <w:r w:rsidR="00811744" w:rsidRPr="00FC493B">
        <w:t>be active</w:t>
      </w:r>
      <w:r w:rsidRPr="00FC493B">
        <w:t xml:space="preserve"> in these simulations can a priori</w:t>
      </w:r>
      <w:r w:rsidRPr="00FC493B">
        <w:rPr>
          <w:i/>
          <w:iCs/>
        </w:rPr>
        <w:t xml:space="preserve"> </w:t>
      </w:r>
      <w:r w:rsidRPr="00FC493B">
        <w:t>be expected to cause variance in male success at that episode to be increased, because male success is linked to a trait rather than being random</w:t>
      </w:r>
      <w:r w:rsidR="00315A8E" w:rsidRPr="00FC493B">
        <w:t>, thus increasing variance in reproductive success</w:t>
      </w:r>
      <w:r w:rsidRPr="00FC493B">
        <w:t xml:space="preserve"> (see also</w:t>
      </w:r>
      <w:r w:rsidR="000D73C7" w:rsidRPr="00FC493B">
        <w:t xml:space="preserve"> </w:t>
      </w:r>
      <w:r w:rsidR="000D73C7" w:rsidRPr="00FC493B">
        <w:fldChar w:fldCharType="begin" w:fldLock="1"/>
      </w:r>
      <w:r w:rsidR="00686032" w:rsidRPr="00FC493B">
        <w:instrText>ADDIN CSL_CITATION {"citationItems":[{"id":"ITEM-1","itemData":{"DOI":"10.1093/beheco/araa001","ISSN":"14657279","abstract":"© 2020 The Author(s) 2020. Published by Oxford University Press on behalf of the International Society for Behavioral Ecology. All rights reserved. Extrapair paternity should contribute to sexual selection by increasing the number of potential mates available to each individual. Potential copulation partners are, however, limited by their proximity. Spatial constraints may therefore reduce the impact of extrapair paternity on sexual selection. We tested the effect of spatial constraints on sexual selection by simulating extrapair copulations for 15 species of socially monogamous songbirds with varying rates of extrapair paternity. We compared four metrics of sexual selection between simulated populations without spatial constraints and populations where extrapair copulations were restricted to first- and second-order neighbors. Counter to predictions, sexual selection as measured by the Bateman gradient (the association between the number of copulation partners and offspring produced) increased under spatial constraints. In these conditions, repeated extrapair copulations between the same individuals led to more offspring per copulation partner. In contrast, spatial constraints did somewhat reduce sexual selection - as measured by the opportunity for selection, s'max, and the selection gradient on male quality - when the association between simulated male quality scores and copulation success (e.g., female preferences or male-male competition) was strong. Sexual selection remained strong overall in those populations even under spatial constraints. Spatial constraints did not substantially reduce sexual selection when the association between male quality and copulation success was moderate or weak. Thus, spatial constraints on extrapair copulations are insufficient to explain the absence of strong selection on male traits in many species.","author":[{"dropping-particle":"","family":"Cramer","given":"E.R.A.","non-dropping-particle":"","parse-names":false,"suffix":""},{"dropping-particle":"","family":"Greig","given":"E.I.","non-dropping-particle":"","parse-names":false,"suffix":""},{"dropping-particle":"","family":"Kaiser","given":"S.A.","non-dropping-particle":"","parse-names":false,"suffix":""}],"container-title":"Behavioral Ecology","id":"ITEM-1","issue":"3","issued":{"date-parts":[["2020"]]},"page":"618-626","title":"Strong sexual selection despite spatial constraints on extrapair paternity","type":"article-journal","volume":"31"},"uris":["http://www.mendeley.com/documents/?uuid=6e410cd2-6793-3346-89a4-fd09faa66753"]}],"mendeley":{"formattedCitation":"[1]","plainTextFormattedCitation":"[1]","previouslyFormattedCitation":"[1]"},"properties":{"noteIndex":0},"schema":"https://github.com/citation-style-language/schema/raw/master/csl-citation.json"}</w:instrText>
      </w:r>
      <w:r w:rsidR="000D73C7" w:rsidRPr="00FC493B">
        <w:fldChar w:fldCharType="separate"/>
      </w:r>
      <w:r w:rsidR="00707120" w:rsidRPr="00FC493B">
        <w:rPr>
          <w:noProof/>
        </w:rPr>
        <w:t>[1]</w:t>
      </w:r>
      <w:r w:rsidR="000D73C7" w:rsidRPr="00FC493B">
        <w:fldChar w:fldCharType="end"/>
      </w:r>
      <w:r w:rsidR="00707120" w:rsidRPr="00FC493B">
        <w:t>)</w:t>
      </w:r>
      <w:r w:rsidRPr="00FC493B">
        <w:t xml:space="preserve">. However, if the two episodes are independent, </w:t>
      </w:r>
      <w:proofErr w:type="gramStart"/>
      <w:r w:rsidRPr="00FC493B">
        <w:t>whether or not</w:t>
      </w:r>
      <w:proofErr w:type="gramEnd"/>
      <w:r w:rsidRPr="00FC493B">
        <w:t xml:space="preserve"> selection occurs on a trait in the non-focal episode should not affect selection during the focal episode. </w:t>
      </w:r>
    </w:p>
    <w:p w14:paraId="5D3947AD" w14:textId="7194AAA2" w:rsidR="00D1783C" w:rsidRPr="00FC493B" w:rsidRDefault="00885AAD" w:rsidP="00885AAD">
      <w:pPr>
        <w:pStyle w:val="MDPI41tablecaption"/>
      </w:pPr>
      <w:r w:rsidRPr="00FC493B">
        <w:rPr>
          <w:b/>
        </w:rPr>
        <w:t xml:space="preserve">Table S1. </w:t>
      </w:r>
      <w:r w:rsidR="00045347" w:rsidRPr="00FC493B">
        <w:t xml:space="preserve">Partitioning total variance in reproductive success, </w:t>
      </w:r>
      <w:r w:rsidR="00045347" w:rsidRPr="00FC493B">
        <w:rPr>
          <w:i/>
        </w:rPr>
        <w:t>T</w:t>
      </w:r>
      <w:r w:rsidR="00045347" w:rsidRPr="00FC493B">
        <w:t xml:space="preserve">, into copulation success, </w:t>
      </w:r>
      <w:r w:rsidR="00045347" w:rsidRPr="00FC493B">
        <w:rPr>
          <w:i/>
        </w:rPr>
        <w:t>C</w:t>
      </w:r>
      <w:r w:rsidR="00045347" w:rsidRPr="00FC493B">
        <w:t xml:space="preserve">, average fecundity of the female mates, </w:t>
      </w:r>
      <w:r w:rsidR="00045347" w:rsidRPr="00FC493B">
        <w:rPr>
          <w:i/>
        </w:rPr>
        <w:t>N</w:t>
      </w:r>
      <w:r w:rsidR="00045347" w:rsidRPr="00FC493B">
        <w:t xml:space="preserve">, and fertilization success, </w:t>
      </w:r>
      <w:r w:rsidR="00045347" w:rsidRPr="00FC493B">
        <w:rPr>
          <w:i/>
        </w:rPr>
        <w:t>F</w:t>
      </w:r>
      <w:r w:rsidR="00045347" w:rsidRPr="00FC493B">
        <w:t xml:space="preserve">. A subscript of </w:t>
      </w:r>
      <w:r w:rsidR="00045347" w:rsidRPr="00FC493B">
        <w:rPr>
          <w:i/>
        </w:rPr>
        <w:t>w</w:t>
      </w:r>
      <w:r w:rsidR="00045347" w:rsidRPr="00FC493B">
        <w:t xml:space="preserve"> indicates within-pair partners and a subscript of </w:t>
      </w:r>
      <w:r w:rsidR="00045347" w:rsidRPr="00FC493B">
        <w:rPr>
          <w:i/>
        </w:rPr>
        <w:t>e</w:t>
      </w:r>
      <w:r w:rsidR="00045347" w:rsidRPr="00FC493B">
        <w:t xml:space="preserve"> indicates extra-pair partners.</w:t>
      </w:r>
      <w:r w:rsidR="00B94887" w:rsidRPr="00FC493B">
        <w:t xml:space="preserve"> All parameters </w:t>
      </w:r>
      <w:proofErr w:type="gramStart"/>
      <w:r w:rsidR="00B94887" w:rsidRPr="00FC493B">
        <w:t>were divided</w:t>
      </w:r>
      <w:proofErr w:type="gramEnd"/>
      <w:r w:rsidR="00B94887" w:rsidRPr="00FC493B">
        <w:t xml:space="preserve"> by </w:t>
      </w:r>
      <m:oMath>
        <m:sSup>
          <m:sSupPr>
            <m:ctrlPr>
              <w:rPr>
                <w:rFonts w:ascii="Cambria Math" w:hAnsi="Cambria Math"/>
                <w:i/>
              </w:rPr>
            </m:ctrlPr>
          </m:sSupPr>
          <m:e>
            <m:acc>
              <m:accPr>
                <m:chr m:val="̅"/>
                <m:ctrlPr>
                  <w:rPr>
                    <w:rFonts w:ascii="Cambria Math" w:hAnsi="Cambria Math"/>
                    <w:i/>
                  </w:rPr>
                </m:ctrlPr>
              </m:accPr>
              <m:e>
                <m:r>
                  <w:rPr>
                    <w:rFonts w:ascii="Cambria Math" w:hAnsi="Cambria Math"/>
                  </w:rPr>
                  <m:t>T</m:t>
                </m:r>
              </m:e>
            </m:acc>
          </m:e>
          <m:sup>
            <m:r>
              <w:rPr>
                <w:rFonts w:ascii="Cambria Math" w:hAnsi="Cambria Math"/>
              </w:rPr>
              <m:t>2</m:t>
            </m:r>
          </m:sup>
        </m:sSup>
      </m:oMath>
      <w:r w:rsidR="00045347" w:rsidRPr="00FC493B">
        <w:t xml:space="preserve"> </w:t>
      </w:r>
      <w:r w:rsidR="00B94887" w:rsidRPr="00FC493B">
        <w:t>to</w:t>
      </w:r>
      <w:r w:rsidR="00045347" w:rsidRPr="00FC493B">
        <w:t xml:space="preserve"> enable interpretation as opportunity for selection. This simulation produced no variation in within-pair copulation success, forcing all variance and covariance terms including this parameter to equal zero (marked with an *). Following</w:t>
      </w:r>
      <w:r w:rsidR="00707120" w:rsidRPr="00FC493B">
        <w:t xml:space="preserve"> Table 1 in </w:t>
      </w:r>
      <w:r w:rsidR="00707120" w:rsidRPr="00FC493B">
        <w:fldChar w:fldCharType="begin" w:fldLock="1"/>
      </w:r>
      <w:r w:rsidR="00463D2D" w:rsidRPr="00FC493B">
        <w:instrText>ADDIN CSL_CITATION {"citationItems":[{"id":"ITEM-1","itemData":{"author":[{"dropping-particle":"","family":"Webster","given":"Michael S","non-dropping-particle":"","parse-names":false,"suffix":""},{"dropping-particle":"","family":"Pruett-Jones","given":"Stephen","non-dropping-particle":"","parse-names":false,"suffix":""},{"dropping-particle":"","family":"Westneat","given":"David F","non-dropping-particle":"","parse-names":false,"suffix":""},{"dropping-particle":"","family":"Arnold","given":"Stevan J","non-dropping-particle":"","parse-names":false,"suffix":""}],"container-title":"Evolution","id":"ITEM-1","issue":"6","issued":{"date-parts":[["1995"]]},"page":"1147-1157","title":"Measuring the effects of pairing success, extra-pair copulations and mate quality on the opportunity for sexual selection","type":"article-journal","volume":"49"},"uris":["http://www.mendeley.com/documents/?uuid=f8746180-cb72-4a84-a6d1-22c8b9a8609e"]}],"mendeley":{"formattedCitation":"[6]","plainTextFormattedCitation":"[6]","previouslyFormattedCitation":"[6]"},"properties":{"noteIndex":0},"schema":"https://github.com/citation-style-language/schema/raw/master/csl-citation.json"}</w:instrText>
      </w:r>
      <w:r w:rsidR="00707120" w:rsidRPr="00FC493B">
        <w:fldChar w:fldCharType="separate"/>
      </w:r>
      <w:r w:rsidR="0060134B" w:rsidRPr="00FC493B">
        <w:rPr>
          <w:noProof/>
        </w:rPr>
        <w:t>[6]</w:t>
      </w:r>
      <w:r w:rsidR="00707120" w:rsidRPr="00FC493B">
        <w:fldChar w:fldCharType="end"/>
      </w:r>
      <w:r w:rsidR="00707120" w:rsidRPr="00FC493B">
        <w:t>.</w:t>
      </w:r>
    </w:p>
    <w:tbl>
      <w:tblPr>
        <w:tblStyle w:val="PlainTable4"/>
        <w:tblW w:w="10465" w:type="dxa"/>
        <w:tblBorders>
          <w:bottom w:val="single" w:sz="8" w:space="0" w:color="auto"/>
        </w:tblBorders>
        <w:shd w:val="clear" w:color="auto" w:fill="FFFFFF" w:themeFill="background1"/>
        <w:tblLayout w:type="fixed"/>
        <w:tblLook w:val="04A0" w:firstRow="1" w:lastRow="0" w:firstColumn="1" w:lastColumn="0" w:noHBand="0" w:noVBand="1"/>
      </w:tblPr>
      <w:tblGrid>
        <w:gridCol w:w="7167"/>
        <w:gridCol w:w="3298"/>
      </w:tblGrid>
      <w:tr w:rsidR="00045347" w:rsidRPr="00FC493B" w14:paraId="50C41396" w14:textId="77777777" w:rsidTr="00A233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tcBorders>
              <w:top w:val="single" w:sz="8" w:space="0" w:color="auto"/>
              <w:bottom w:val="single" w:sz="8" w:space="0" w:color="auto"/>
            </w:tcBorders>
            <w:shd w:val="clear" w:color="auto" w:fill="FFFFFF" w:themeFill="background1"/>
          </w:tcPr>
          <w:p w14:paraId="0436CE71" w14:textId="2802D618" w:rsidR="00045347" w:rsidRPr="00FC493B" w:rsidRDefault="00B94887" w:rsidP="00BB2DC8">
            <w:pPr>
              <w:pStyle w:val="MDPI42tablebody"/>
              <w:autoSpaceDE w:val="0"/>
              <w:autoSpaceDN w:val="0"/>
              <w:spacing w:line="240" w:lineRule="auto"/>
              <w:rPr>
                <w:b w:val="0"/>
              </w:rPr>
            </w:pPr>
            <w:r w:rsidRPr="00FC493B">
              <w:t xml:space="preserve">Variance </w:t>
            </w:r>
            <w:r w:rsidR="004342D3" w:rsidRPr="00FC493B">
              <w:t>Partition</w:t>
            </w:r>
          </w:p>
        </w:tc>
        <w:tc>
          <w:tcPr>
            <w:tcW w:w="2476" w:type="dxa"/>
            <w:tcBorders>
              <w:top w:val="single" w:sz="8" w:space="0" w:color="auto"/>
              <w:bottom w:val="single" w:sz="8" w:space="0" w:color="auto"/>
            </w:tcBorders>
            <w:shd w:val="clear" w:color="auto" w:fill="FFFFFF" w:themeFill="background1"/>
          </w:tcPr>
          <w:p w14:paraId="459A6FE9" w14:textId="49F3EB25" w:rsidR="00045347" w:rsidRPr="00FC493B" w:rsidRDefault="00045347" w:rsidP="00BB2DC8">
            <w:pPr>
              <w:pStyle w:val="MDPI42tablebody"/>
              <w:autoSpaceDE w:val="0"/>
              <w:autoSpaceDN w:val="0"/>
              <w:spacing w:line="240" w:lineRule="auto"/>
              <w:cnfStyle w:val="100000000000" w:firstRow="1" w:lastRow="0" w:firstColumn="0" w:lastColumn="0" w:oddVBand="0" w:evenVBand="0" w:oddHBand="0" w:evenHBand="0" w:firstRowFirstColumn="0" w:firstRowLastColumn="0" w:lastRowFirstColumn="0" w:lastRowLastColumn="0"/>
              <w:rPr>
                <w:rFonts w:eastAsia="Calibri"/>
                <w:b w:val="0"/>
              </w:rPr>
            </w:pPr>
            <w:r w:rsidRPr="00FC493B">
              <w:rPr>
                <w:rFonts w:eastAsia="Calibri"/>
              </w:rPr>
              <w:t xml:space="preserve">Equation for </w:t>
            </w:r>
            <w:r w:rsidR="004342D3" w:rsidRPr="00FC493B">
              <w:rPr>
                <w:rFonts w:eastAsia="Calibri"/>
              </w:rPr>
              <w:t>Calculation</w:t>
            </w:r>
          </w:p>
        </w:tc>
      </w:tr>
      <w:tr w:rsidR="00045347" w:rsidRPr="00FC493B" w14:paraId="44A2F558"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tcBorders>
              <w:top w:val="single" w:sz="8" w:space="0" w:color="auto"/>
            </w:tcBorders>
            <w:shd w:val="clear" w:color="auto" w:fill="FFFFFF" w:themeFill="background1"/>
          </w:tcPr>
          <w:p w14:paraId="71715CF5" w14:textId="6E8F1E26" w:rsidR="00045347" w:rsidRPr="00FC493B" w:rsidRDefault="00045347" w:rsidP="00BB2DC8">
            <w:pPr>
              <w:pStyle w:val="MDPI42tablebody"/>
              <w:autoSpaceDE w:val="0"/>
              <w:autoSpaceDN w:val="0"/>
              <w:spacing w:line="240" w:lineRule="auto"/>
              <w:rPr>
                <w:bCs w:val="0"/>
              </w:rPr>
            </w:pPr>
            <w:r w:rsidRPr="00FC493B">
              <w:t>Within-pair copulation success</w:t>
            </w:r>
            <w:r w:rsidR="00355D4D" w:rsidRPr="00FC493B">
              <w:t>*</w:t>
            </w:r>
          </w:p>
        </w:tc>
        <w:tc>
          <w:tcPr>
            <w:tcW w:w="2476" w:type="dxa"/>
            <w:tcBorders>
              <w:top w:val="single" w:sz="8" w:space="0" w:color="auto"/>
            </w:tcBorders>
            <w:shd w:val="clear" w:color="auto" w:fill="FFFFFF" w:themeFill="background1"/>
          </w:tcPr>
          <w:p w14:paraId="250825E8" w14:textId="71706C1C" w:rsidR="00045347" w:rsidRPr="00FC493B" w:rsidRDefault="00D56071"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m:oMathPara>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N</m:t>
                        </m:r>
                      </m:e>
                    </m:acc>
                  </m:e>
                  <m:sub>
                    <m:r>
                      <w:rPr>
                        <w:rFonts w:ascii="Cambria Math" w:hAnsi="Cambria Math"/>
                      </w:rPr>
                      <m:t>w</m:t>
                    </m:r>
                  </m:sub>
                  <m:sup>
                    <m:r>
                      <w:rPr>
                        <w:rFonts w:ascii="Cambria Math" w:hAnsi="Cambria Math"/>
                      </w:rPr>
                      <m:t>2</m:t>
                    </m:r>
                  </m:sup>
                </m:sSubSup>
                <m:sSubSup>
                  <m:sSubSupPr>
                    <m:ctrlPr>
                      <w:rPr>
                        <w:rFonts w:ascii="Cambria Math" w:hAnsi="Cambria Math"/>
                        <w:i/>
                      </w:rPr>
                    </m:ctrlPr>
                  </m:sSubSupPr>
                  <m:e>
                    <m:acc>
                      <m:accPr>
                        <m:chr m:val="̅"/>
                        <m:ctrlPr>
                          <w:rPr>
                            <w:rFonts w:ascii="Cambria Math" w:hAnsi="Cambria Math"/>
                            <w:i/>
                          </w:rPr>
                        </m:ctrlPr>
                      </m:accPr>
                      <m:e>
                        <m:r>
                          <w:rPr>
                            <w:rFonts w:ascii="Cambria Math" w:hAnsi="Cambria Math"/>
                          </w:rPr>
                          <m:t>F</m:t>
                        </m:r>
                      </m:e>
                    </m:acc>
                  </m:e>
                  <m:sub>
                    <m:r>
                      <w:rPr>
                        <w:rFonts w:ascii="Cambria Math" w:hAnsi="Cambria Math"/>
                      </w:rPr>
                      <m:t>w</m:t>
                    </m:r>
                  </m:sub>
                  <m:sup>
                    <m:r>
                      <w:rPr>
                        <w:rFonts w:ascii="Cambria Math" w:hAnsi="Cambria Math"/>
                      </w:rPr>
                      <m:t>2</m:t>
                    </m:r>
                  </m:sup>
                </m:sSubSup>
                <m:r>
                  <w:rPr>
                    <w:rFonts w:ascii="Cambria Math" w:hAnsi="Cambria Math"/>
                  </w:rPr>
                  <m:t>Var(</m:t>
                </m:r>
                <m:sSub>
                  <m:sSubPr>
                    <m:ctrlPr>
                      <w:rPr>
                        <w:rFonts w:ascii="Cambria Math" w:hAnsi="Cambria Math"/>
                        <w:i/>
                      </w:rPr>
                    </m:ctrlPr>
                  </m:sSubPr>
                  <m:e>
                    <m:r>
                      <w:rPr>
                        <w:rFonts w:ascii="Cambria Math" w:hAnsi="Cambria Math"/>
                      </w:rPr>
                      <m:t>C</m:t>
                    </m:r>
                  </m:e>
                  <m:sub>
                    <m:r>
                      <w:rPr>
                        <w:rFonts w:ascii="Cambria Math" w:hAnsi="Cambria Math"/>
                      </w:rPr>
                      <m:t>w</m:t>
                    </m:r>
                  </m:sub>
                </m:sSub>
                <m:r>
                  <w:rPr>
                    <w:rFonts w:ascii="Cambria Math" w:hAnsi="Cambria Math"/>
                  </w:rPr>
                  <m:t>)</m:t>
                </m:r>
              </m:oMath>
            </m:oMathPara>
          </w:p>
        </w:tc>
      </w:tr>
      <w:tr w:rsidR="00045347" w:rsidRPr="00FC493B" w14:paraId="0D2DF975"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3AAB166C" w14:textId="599E7559" w:rsidR="00045347" w:rsidRPr="00FC493B" w:rsidRDefault="00355D4D" w:rsidP="00BB2DC8">
            <w:pPr>
              <w:pStyle w:val="MDPI42tablebody"/>
              <w:autoSpaceDE w:val="0"/>
              <w:autoSpaceDN w:val="0"/>
              <w:spacing w:line="240" w:lineRule="auto"/>
              <w:rPr>
                <w:bCs w:val="0"/>
              </w:rPr>
            </w:pPr>
            <w:r w:rsidRPr="00FC493B">
              <w:t>Within-pair mate f</w:t>
            </w:r>
            <w:r w:rsidR="00045347" w:rsidRPr="00FC493B">
              <w:t xml:space="preserve">ecundity </w:t>
            </w:r>
          </w:p>
        </w:tc>
        <w:tc>
          <w:tcPr>
            <w:tcW w:w="2476" w:type="dxa"/>
            <w:shd w:val="clear" w:color="auto" w:fill="FFFFFF" w:themeFill="background1"/>
          </w:tcPr>
          <w:p w14:paraId="508804D3" w14:textId="4817F696" w:rsidR="00045347" w:rsidRPr="00FC493B" w:rsidRDefault="00D56071"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m:oMathPara>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C</m:t>
                        </m:r>
                      </m:e>
                    </m:acc>
                  </m:e>
                  <m:sub>
                    <m:r>
                      <w:rPr>
                        <w:rFonts w:ascii="Cambria Math" w:hAnsi="Cambria Math"/>
                      </w:rPr>
                      <m:t>w</m:t>
                    </m:r>
                  </m:sub>
                  <m:sup>
                    <m:r>
                      <w:rPr>
                        <w:rFonts w:ascii="Cambria Math" w:hAnsi="Cambria Math"/>
                      </w:rPr>
                      <m:t>2</m:t>
                    </m:r>
                  </m:sup>
                </m:sSubSup>
                <m:sSubSup>
                  <m:sSubSupPr>
                    <m:ctrlPr>
                      <w:rPr>
                        <w:rFonts w:ascii="Cambria Math" w:hAnsi="Cambria Math"/>
                        <w:i/>
                      </w:rPr>
                    </m:ctrlPr>
                  </m:sSubSupPr>
                  <m:e>
                    <m:acc>
                      <m:accPr>
                        <m:chr m:val="̅"/>
                        <m:ctrlPr>
                          <w:rPr>
                            <w:rFonts w:ascii="Cambria Math" w:hAnsi="Cambria Math"/>
                            <w:i/>
                          </w:rPr>
                        </m:ctrlPr>
                      </m:accPr>
                      <m:e>
                        <m:r>
                          <w:rPr>
                            <w:rFonts w:ascii="Cambria Math" w:hAnsi="Cambria Math"/>
                          </w:rPr>
                          <m:t>F</m:t>
                        </m:r>
                      </m:e>
                    </m:acc>
                  </m:e>
                  <m:sub>
                    <m:r>
                      <w:rPr>
                        <w:rFonts w:ascii="Cambria Math" w:hAnsi="Cambria Math"/>
                      </w:rPr>
                      <m:t>w</m:t>
                    </m:r>
                  </m:sub>
                  <m:sup>
                    <m:r>
                      <w:rPr>
                        <w:rFonts w:ascii="Cambria Math" w:hAnsi="Cambria Math"/>
                      </w:rPr>
                      <m:t>2</m:t>
                    </m:r>
                  </m:sup>
                </m:sSubSup>
                <m:r>
                  <w:rPr>
                    <w:rFonts w:ascii="Cambria Math" w:hAnsi="Cambria Math"/>
                  </w:rPr>
                  <m:t>Var(</m:t>
                </m:r>
                <m:sSub>
                  <m:sSubPr>
                    <m:ctrlPr>
                      <w:rPr>
                        <w:rFonts w:ascii="Cambria Math" w:hAnsi="Cambria Math"/>
                        <w:i/>
                      </w:rPr>
                    </m:ctrlPr>
                  </m:sSubPr>
                  <m:e>
                    <m:r>
                      <w:rPr>
                        <w:rFonts w:ascii="Cambria Math" w:hAnsi="Cambria Math"/>
                      </w:rPr>
                      <m:t>N</m:t>
                    </m:r>
                  </m:e>
                  <m:sub>
                    <m:r>
                      <w:rPr>
                        <w:rFonts w:ascii="Cambria Math" w:hAnsi="Cambria Math"/>
                      </w:rPr>
                      <m:t>w</m:t>
                    </m:r>
                  </m:sub>
                </m:sSub>
                <m:r>
                  <w:rPr>
                    <w:rFonts w:ascii="Cambria Math" w:hAnsi="Cambria Math"/>
                  </w:rPr>
                  <m:t>)</m:t>
                </m:r>
              </m:oMath>
            </m:oMathPara>
          </w:p>
        </w:tc>
      </w:tr>
      <w:tr w:rsidR="00045347" w:rsidRPr="00FC493B" w14:paraId="07417D25"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37C7B913" w14:textId="69DE5778" w:rsidR="00045347" w:rsidRPr="00FC493B" w:rsidRDefault="00087FC5" w:rsidP="00BB2DC8">
            <w:pPr>
              <w:pStyle w:val="MDPI42tablebody"/>
              <w:autoSpaceDE w:val="0"/>
              <w:autoSpaceDN w:val="0"/>
              <w:spacing w:line="240" w:lineRule="auto"/>
              <w:rPr>
                <w:bCs w:val="0"/>
              </w:rPr>
            </w:pPr>
            <w:r w:rsidRPr="00FC493B">
              <w:t>Within-pair f</w:t>
            </w:r>
            <w:r w:rsidR="00045347" w:rsidRPr="00FC493B">
              <w:t xml:space="preserve">ertilization </w:t>
            </w:r>
            <w:r w:rsidRPr="00FC493B">
              <w:t>success</w:t>
            </w:r>
          </w:p>
        </w:tc>
        <w:tc>
          <w:tcPr>
            <w:tcW w:w="2476" w:type="dxa"/>
            <w:shd w:val="clear" w:color="auto" w:fill="FFFFFF" w:themeFill="background1"/>
          </w:tcPr>
          <w:p w14:paraId="0413D0E4" w14:textId="56CD521E" w:rsidR="00045347" w:rsidRPr="00FC493B" w:rsidRDefault="00D56071"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m:oMathPara>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C</m:t>
                        </m:r>
                      </m:e>
                    </m:acc>
                  </m:e>
                  <m:sub>
                    <m:r>
                      <w:rPr>
                        <w:rFonts w:ascii="Cambria Math" w:hAnsi="Cambria Math"/>
                      </w:rPr>
                      <m:t>w</m:t>
                    </m:r>
                  </m:sub>
                  <m:sup>
                    <m:r>
                      <w:rPr>
                        <w:rFonts w:ascii="Cambria Math" w:hAnsi="Cambria Math"/>
                      </w:rPr>
                      <m:t>2</m:t>
                    </m:r>
                  </m:sup>
                </m:sSubSup>
                <m:sSubSup>
                  <m:sSubSupPr>
                    <m:ctrlPr>
                      <w:rPr>
                        <w:rFonts w:ascii="Cambria Math" w:hAnsi="Cambria Math"/>
                        <w:i/>
                      </w:rPr>
                    </m:ctrlPr>
                  </m:sSubSupPr>
                  <m:e>
                    <m:acc>
                      <m:accPr>
                        <m:chr m:val="̅"/>
                        <m:ctrlPr>
                          <w:rPr>
                            <w:rFonts w:ascii="Cambria Math" w:hAnsi="Cambria Math"/>
                            <w:i/>
                          </w:rPr>
                        </m:ctrlPr>
                      </m:accPr>
                      <m:e>
                        <m:r>
                          <w:rPr>
                            <w:rFonts w:ascii="Cambria Math" w:hAnsi="Cambria Math"/>
                          </w:rPr>
                          <m:t>N</m:t>
                        </m:r>
                      </m:e>
                    </m:acc>
                  </m:e>
                  <m:sub>
                    <m:r>
                      <w:rPr>
                        <w:rFonts w:ascii="Cambria Math" w:hAnsi="Cambria Math"/>
                      </w:rPr>
                      <m:t>w</m:t>
                    </m:r>
                  </m:sub>
                  <m:sup>
                    <m:r>
                      <w:rPr>
                        <w:rFonts w:ascii="Cambria Math" w:hAnsi="Cambria Math"/>
                      </w:rPr>
                      <m:t>2</m:t>
                    </m:r>
                  </m:sup>
                </m:sSubSup>
                <m:r>
                  <w:rPr>
                    <w:rFonts w:ascii="Cambria Math" w:hAnsi="Cambria Math"/>
                  </w:rPr>
                  <m:t>Var(</m:t>
                </m:r>
                <m:sSub>
                  <m:sSubPr>
                    <m:ctrlPr>
                      <w:rPr>
                        <w:rFonts w:ascii="Cambria Math" w:hAnsi="Cambria Math"/>
                        <w:i/>
                      </w:rPr>
                    </m:ctrlPr>
                  </m:sSubPr>
                  <m:e>
                    <m:r>
                      <w:rPr>
                        <w:rFonts w:ascii="Cambria Math" w:hAnsi="Cambria Math"/>
                      </w:rPr>
                      <m:t>F</m:t>
                    </m:r>
                  </m:e>
                  <m:sub>
                    <m:r>
                      <w:rPr>
                        <w:rFonts w:ascii="Cambria Math" w:hAnsi="Cambria Math"/>
                      </w:rPr>
                      <m:t>w</m:t>
                    </m:r>
                  </m:sub>
                </m:sSub>
                <m:r>
                  <w:rPr>
                    <w:rFonts w:ascii="Cambria Math" w:hAnsi="Cambria Math"/>
                  </w:rPr>
                  <m:t>)</m:t>
                </m:r>
              </m:oMath>
            </m:oMathPara>
          </w:p>
        </w:tc>
      </w:tr>
      <w:tr w:rsidR="00045347" w:rsidRPr="00FC493B" w14:paraId="37F15B59"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766A9E66" w14:textId="4F4FE64E" w:rsidR="00045347" w:rsidRPr="00FC493B" w:rsidRDefault="00087FC5" w:rsidP="00BB2DC8">
            <w:pPr>
              <w:pStyle w:val="MDPI42tablebody"/>
              <w:autoSpaceDE w:val="0"/>
              <w:autoSpaceDN w:val="0"/>
              <w:spacing w:line="240" w:lineRule="auto"/>
              <w:rPr>
                <w:bCs w:val="0"/>
              </w:rPr>
            </w:pPr>
            <w:r w:rsidRPr="00FC493B">
              <w:t>Within-pair covariance between copulation success and mate fecundity *</w:t>
            </w:r>
          </w:p>
        </w:tc>
        <w:tc>
          <w:tcPr>
            <w:tcW w:w="2476" w:type="dxa"/>
            <w:shd w:val="clear" w:color="auto" w:fill="FFFFFF" w:themeFill="background1"/>
          </w:tcPr>
          <w:p w14:paraId="734BA477" w14:textId="09560AFE" w:rsidR="00045347" w:rsidRPr="00FC493B" w:rsidRDefault="000D73C7"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2</m:t>
                </m:r>
                <m:sSubSup>
                  <m:sSubSupPr>
                    <m:ctrlPr>
                      <w:rPr>
                        <w:rFonts w:ascii="Cambria Math" w:hAnsi="Cambria Math"/>
                        <w:i/>
                      </w:rPr>
                    </m:ctrlPr>
                  </m:sSubSupPr>
                  <m:e>
                    <m:acc>
                      <m:accPr>
                        <m:chr m:val="̅"/>
                        <m:ctrlPr>
                          <w:rPr>
                            <w:rFonts w:ascii="Cambria Math" w:hAnsi="Cambria Math"/>
                            <w:i/>
                          </w:rPr>
                        </m:ctrlPr>
                      </m:accPr>
                      <m:e>
                        <m:r>
                          <w:rPr>
                            <w:rFonts w:ascii="Cambria Math" w:hAnsi="Cambria Math"/>
                          </w:rPr>
                          <m:t>F</m:t>
                        </m:r>
                      </m:e>
                    </m:acc>
                  </m:e>
                  <m:sub>
                    <m:r>
                      <w:rPr>
                        <w:rFonts w:ascii="Cambria Math" w:hAnsi="Cambria Math"/>
                      </w:rPr>
                      <m:t>w</m:t>
                    </m:r>
                  </m:sub>
                  <m:sup>
                    <m:r>
                      <w:rPr>
                        <w:rFonts w:ascii="Cambria Math" w:hAnsi="Cambria Math"/>
                      </w:rPr>
                      <m:t>2</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w</m:t>
                    </m:r>
                  </m:sub>
                </m:sSub>
                <m:r>
                  <w:rPr>
                    <w:rFonts w:ascii="Cambria Math" w:hAnsi="Cambria Math"/>
                  </w:rPr>
                  <m:t>Cov(</m:t>
                </m:r>
                <m:sSub>
                  <m:sSubPr>
                    <m:ctrlPr>
                      <w:rPr>
                        <w:rFonts w:ascii="Cambria Math" w:hAnsi="Cambria Math"/>
                        <w:i/>
                      </w:rPr>
                    </m:ctrlPr>
                  </m:sSubPr>
                  <m:e>
                    <m:r>
                      <w:rPr>
                        <w:rFonts w:ascii="Cambria Math" w:hAnsi="Cambria Math"/>
                      </w:rPr>
                      <m:t>C</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w</m:t>
                    </m:r>
                  </m:sub>
                </m:sSub>
                <m:r>
                  <w:rPr>
                    <w:rFonts w:ascii="Cambria Math" w:hAnsi="Cambria Math"/>
                  </w:rPr>
                  <m:t>)</m:t>
                </m:r>
              </m:oMath>
            </m:oMathPara>
          </w:p>
        </w:tc>
      </w:tr>
      <w:tr w:rsidR="00087FC5" w:rsidRPr="00FC493B" w14:paraId="24FB868A"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414A3162" w14:textId="4B0A65C2" w:rsidR="00087FC5" w:rsidRPr="00FC493B" w:rsidRDefault="00087FC5" w:rsidP="00BB2DC8">
            <w:pPr>
              <w:pStyle w:val="MDPI42tablebody"/>
              <w:autoSpaceDE w:val="0"/>
              <w:autoSpaceDN w:val="0"/>
              <w:spacing w:line="240" w:lineRule="auto"/>
              <w:rPr>
                <w:bCs w:val="0"/>
              </w:rPr>
            </w:pPr>
            <w:r w:rsidRPr="00FC493B">
              <w:t>Within-pair covariance between copulation and fertilization success*</w:t>
            </w:r>
          </w:p>
        </w:tc>
        <w:tc>
          <w:tcPr>
            <w:tcW w:w="2476" w:type="dxa"/>
            <w:shd w:val="clear" w:color="auto" w:fill="FFFFFF" w:themeFill="background1"/>
          </w:tcPr>
          <w:p w14:paraId="56556473" w14:textId="0B066031" w:rsidR="00087FC5" w:rsidRPr="00FC493B" w:rsidRDefault="000D73C7"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m:oMathPara>
              <m:oMath>
                <m:r>
                  <w:rPr>
                    <w:rFonts w:ascii="Cambria Math" w:hAnsi="Cambria Math"/>
                  </w:rPr>
                  <m:t>2</m:t>
                </m:r>
                <m:sSubSup>
                  <m:sSubSupPr>
                    <m:ctrlPr>
                      <w:rPr>
                        <w:rFonts w:ascii="Cambria Math" w:hAnsi="Cambria Math"/>
                        <w:i/>
                      </w:rPr>
                    </m:ctrlPr>
                  </m:sSubSupPr>
                  <m:e>
                    <m:acc>
                      <m:accPr>
                        <m:chr m:val="̅"/>
                        <m:ctrlPr>
                          <w:rPr>
                            <w:rFonts w:ascii="Cambria Math" w:hAnsi="Cambria Math"/>
                            <w:i/>
                          </w:rPr>
                        </m:ctrlPr>
                      </m:accPr>
                      <m:e>
                        <m:r>
                          <w:rPr>
                            <w:rFonts w:ascii="Cambria Math" w:hAnsi="Cambria Math"/>
                          </w:rPr>
                          <m:t>N</m:t>
                        </m:r>
                      </m:e>
                    </m:acc>
                  </m:e>
                  <m:sub>
                    <m:r>
                      <w:rPr>
                        <w:rFonts w:ascii="Cambria Math" w:hAnsi="Cambria Math"/>
                      </w:rPr>
                      <m:t>w</m:t>
                    </m:r>
                  </m:sub>
                  <m:sup>
                    <m:r>
                      <w:rPr>
                        <w:rFonts w:ascii="Cambria Math" w:hAnsi="Cambria Math"/>
                      </w:rPr>
                      <m:t>2</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w</m:t>
                    </m:r>
                  </m:sub>
                </m:sSub>
                <m:r>
                  <w:rPr>
                    <w:rFonts w:ascii="Cambria Math" w:hAnsi="Cambria Math"/>
                  </w:rPr>
                  <m:t>Cov(</m:t>
                </m:r>
                <m:sSub>
                  <m:sSubPr>
                    <m:ctrlPr>
                      <w:rPr>
                        <w:rFonts w:ascii="Cambria Math" w:hAnsi="Cambria Math"/>
                        <w:i/>
                      </w:rPr>
                    </m:ctrlPr>
                  </m:sSubPr>
                  <m:e>
                    <m:r>
                      <w:rPr>
                        <w:rFonts w:ascii="Cambria Math" w:hAnsi="Cambria Math"/>
                      </w:rPr>
                      <m:t>C</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w</m:t>
                    </m:r>
                  </m:sub>
                </m:sSub>
                <m:r>
                  <w:rPr>
                    <w:rFonts w:ascii="Cambria Math" w:hAnsi="Cambria Math"/>
                  </w:rPr>
                  <m:t>)</m:t>
                </m:r>
              </m:oMath>
            </m:oMathPara>
          </w:p>
        </w:tc>
      </w:tr>
      <w:tr w:rsidR="00045347" w:rsidRPr="00FC493B" w14:paraId="67E4A9F4"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60653226" w14:textId="1825EE72" w:rsidR="00045347" w:rsidRPr="00FC493B" w:rsidRDefault="00087FC5" w:rsidP="00BB2DC8">
            <w:pPr>
              <w:pStyle w:val="MDPI42tablebody"/>
              <w:autoSpaceDE w:val="0"/>
              <w:autoSpaceDN w:val="0"/>
              <w:spacing w:line="240" w:lineRule="auto"/>
              <w:rPr>
                <w:bCs w:val="0"/>
              </w:rPr>
            </w:pPr>
            <w:r w:rsidRPr="00FC493B">
              <w:t>Within-pair covariance between mate fecundity and fertilization success</w:t>
            </w:r>
          </w:p>
        </w:tc>
        <w:tc>
          <w:tcPr>
            <w:tcW w:w="2476" w:type="dxa"/>
            <w:shd w:val="clear" w:color="auto" w:fill="FFFFFF" w:themeFill="background1"/>
          </w:tcPr>
          <w:p w14:paraId="2541C9BA" w14:textId="7F985160" w:rsidR="00355D4D" w:rsidRPr="00FC493B" w:rsidRDefault="000D73C7"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2</m:t>
                </m:r>
                <m:sSubSup>
                  <m:sSubSupPr>
                    <m:ctrlPr>
                      <w:rPr>
                        <w:rFonts w:ascii="Cambria Math" w:hAnsi="Cambria Math"/>
                        <w:i/>
                      </w:rPr>
                    </m:ctrlPr>
                  </m:sSubSupPr>
                  <m:e>
                    <m:acc>
                      <m:accPr>
                        <m:chr m:val="̅"/>
                        <m:ctrlPr>
                          <w:rPr>
                            <w:rFonts w:ascii="Cambria Math" w:hAnsi="Cambria Math"/>
                            <w:i/>
                          </w:rPr>
                        </m:ctrlPr>
                      </m:accPr>
                      <m:e>
                        <m:r>
                          <w:rPr>
                            <w:rFonts w:ascii="Cambria Math" w:hAnsi="Cambria Math"/>
                          </w:rPr>
                          <m:t>C</m:t>
                        </m:r>
                      </m:e>
                    </m:acc>
                  </m:e>
                  <m:sub>
                    <m:r>
                      <w:rPr>
                        <w:rFonts w:ascii="Cambria Math" w:hAnsi="Cambria Math"/>
                      </w:rPr>
                      <m:t>w</m:t>
                    </m:r>
                  </m:sub>
                  <m:sup>
                    <m:r>
                      <w:rPr>
                        <w:rFonts w:ascii="Cambria Math" w:hAnsi="Cambria Math"/>
                      </w:rPr>
                      <m:t>2</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w</m:t>
                    </m:r>
                  </m:sub>
                </m:sSub>
                <m:r>
                  <w:rPr>
                    <w:rFonts w:ascii="Cambria Math" w:hAnsi="Cambria Math"/>
                  </w:rPr>
                  <m:t>Cov(</m:t>
                </m:r>
                <m:sSub>
                  <m:sSubPr>
                    <m:ctrlPr>
                      <w:rPr>
                        <w:rFonts w:ascii="Cambria Math" w:hAnsi="Cambria Math"/>
                        <w:i/>
                      </w:rPr>
                    </m:ctrlPr>
                  </m:sSubPr>
                  <m:e>
                    <m:r>
                      <w:rPr>
                        <w:rFonts w:ascii="Cambria Math" w:hAnsi="Cambria Math"/>
                      </w:rPr>
                      <m:t>N</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w</m:t>
                    </m:r>
                  </m:sub>
                </m:sSub>
                <m:r>
                  <w:rPr>
                    <w:rFonts w:ascii="Cambria Math" w:hAnsi="Cambria Math"/>
                  </w:rPr>
                  <m:t>)</m:t>
                </m:r>
              </m:oMath>
            </m:oMathPara>
          </w:p>
        </w:tc>
      </w:tr>
      <w:tr w:rsidR="00087FC5" w:rsidRPr="00FC493B" w14:paraId="24418636"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07610308" w14:textId="3B92E2C6" w:rsidR="00087FC5" w:rsidRPr="00FC493B" w:rsidRDefault="00087FC5" w:rsidP="00BB2DC8">
            <w:pPr>
              <w:pStyle w:val="MDPI42tablebody"/>
              <w:autoSpaceDE w:val="0"/>
              <w:autoSpaceDN w:val="0"/>
              <w:spacing w:line="240" w:lineRule="auto"/>
              <w:rPr>
                <w:bCs w:val="0"/>
              </w:rPr>
            </w:pPr>
            <w:r w:rsidRPr="00FC493B">
              <w:t>Extra-pair copulation success</w:t>
            </w:r>
          </w:p>
        </w:tc>
        <w:tc>
          <w:tcPr>
            <w:tcW w:w="2476" w:type="dxa"/>
            <w:shd w:val="clear" w:color="auto" w:fill="FFFFFF" w:themeFill="background1"/>
          </w:tcPr>
          <w:p w14:paraId="2FBDED33" w14:textId="0C1FA716" w:rsidR="00087FC5" w:rsidRPr="00FC493B" w:rsidRDefault="00D56071"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eastAsia="Calibri"/>
              </w:rPr>
            </w:pPr>
            <m:oMathPara>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N</m:t>
                        </m:r>
                      </m:e>
                    </m:acc>
                  </m:e>
                  <m:sub>
                    <m:r>
                      <w:rPr>
                        <w:rFonts w:ascii="Cambria Math" w:hAnsi="Cambria Math"/>
                      </w:rPr>
                      <m:t>e</m:t>
                    </m:r>
                  </m:sub>
                  <m:sup>
                    <m:r>
                      <w:rPr>
                        <w:rFonts w:ascii="Cambria Math" w:hAnsi="Cambria Math"/>
                      </w:rPr>
                      <m:t>2</m:t>
                    </m:r>
                  </m:sup>
                </m:sSubSup>
                <m:sSubSup>
                  <m:sSubSupPr>
                    <m:ctrlPr>
                      <w:rPr>
                        <w:rFonts w:ascii="Cambria Math" w:hAnsi="Cambria Math"/>
                        <w:i/>
                      </w:rPr>
                    </m:ctrlPr>
                  </m:sSubSupPr>
                  <m:e>
                    <m:acc>
                      <m:accPr>
                        <m:chr m:val="̅"/>
                        <m:ctrlPr>
                          <w:rPr>
                            <w:rFonts w:ascii="Cambria Math" w:hAnsi="Cambria Math"/>
                            <w:i/>
                          </w:rPr>
                        </m:ctrlPr>
                      </m:accPr>
                      <m:e>
                        <m:r>
                          <w:rPr>
                            <w:rFonts w:ascii="Cambria Math" w:hAnsi="Cambria Math"/>
                          </w:rPr>
                          <m:t>F</m:t>
                        </m:r>
                      </m:e>
                    </m:acc>
                  </m:e>
                  <m:sub>
                    <m:r>
                      <w:rPr>
                        <w:rFonts w:ascii="Cambria Math" w:hAnsi="Cambria Math"/>
                      </w:rPr>
                      <m:t>e</m:t>
                    </m:r>
                  </m:sub>
                  <m:sup>
                    <m:r>
                      <w:rPr>
                        <w:rFonts w:ascii="Cambria Math" w:hAnsi="Cambria Math"/>
                      </w:rPr>
                      <m:t>2</m:t>
                    </m:r>
                  </m:sup>
                </m:sSubSup>
                <m:r>
                  <w:rPr>
                    <w:rFonts w:ascii="Cambria Math" w:hAnsi="Cambria Math"/>
                  </w:rPr>
                  <m:t>Var(</m:t>
                </m:r>
                <m:sSub>
                  <m:sSubPr>
                    <m:ctrlPr>
                      <w:rPr>
                        <w:rFonts w:ascii="Cambria Math" w:hAnsi="Cambria Math"/>
                        <w:i/>
                      </w:rPr>
                    </m:ctrlPr>
                  </m:sSubPr>
                  <m:e>
                    <m:r>
                      <w:rPr>
                        <w:rFonts w:ascii="Cambria Math" w:hAnsi="Cambria Math"/>
                      </w:rPr>
                      <m:t>C</m:t>
                    </m:r>
                  </m:e>
                  <m:sub>
                    <m:r>
                      <w:rPr>
                        <w:rFonts w:ascii="Cambria Math" w:hAnsi="Cambria Math"/>
                      </w:rPr>
                      <m:t>e</m:t>
                    </m:r>
                  </m:sub>
                </m:sSub>
                <m:r>
                  <w:rPr>
                    <w:rFonts w:ascii="Cambria Math" w:hAnsi="Cambria Math"/>
                  </w:rPr>
                  <m:t>)</m:t>
                </m:r>
              </m:oMath>
            </m:oMathPara>
          </w:p>
        </w:tc>
      </w:tr>
      <w:tr w:rsidR="00087FC5" w:rsidRPr="00FC493B" w14:paraId="13C78D86"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7F3413D2" w14:textId="77A73DBD" w:rsidR="00087FC5" w:rsidRPr="00FC493B" w:rsidRDefault="00087FC5" w:rsidP="00BB2DC8">
            <w:pPr>
              <w:pStyle w:val="MDPI42tablebody"/>
              <w:autoSpaceDE w:val="0"/>
              <w:autoSpaceDN w:val="0"/>
              <w:spacing w:line="240" w:lineRule="auto"/>
              <w:rPr>
                <w:bCs w:val="0"/>
              </w:rPr>
            </w:pPr>
            <w:r w:rsidRPr="00FC493B">
              <w:t xml:space="preserve">Extra-pair mate fecundity </w:t>
            </w:r>
          </w:p>
        </w:tc>
        <w:tc>
          <w:tcPr>
            <w:tcW w:w="2476" w:type="dxa"/>
            <w:shd w:val="clear" w:color="auto" w:fill="FFFFFF" w:themeFill="background1"/>
          </w:tcPr>
          <w:p w14:paraId="0BE964AA" w14:textId="35F52314" w:rsidR="00087FC5" w:rsidRPr="00FC493B" w:rsidRDefault="00D56071"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eastAsia="Calibri"/>
              </w:rPr>
            </w:pPr>
            <m:oMathPara>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C</m:t>
                        </m:r>
                      </m:e>
                    </m:acc>
                  </m:e>
                  <m:sub>
                    <m:r>
                      <w:rPr>
                        <w:rFonts w:ascii="Cambria Math" w:hAnsi="Cambria Math"/>
                      </w:rPr>
                      <m:t>e</m:t>
                    </m:r>
                  </m:sub>
                  <m:sup>
                    <m:r>
                      <w:rPr>
                        <w:rFonts w:ascii="Cambria Math" w:hAnsi="Cambria Math"/>
                      </w:rPr>
                      <m:t>2</m:t>
                    </m:r>
                  </m:sup>
                </m:sSubSup>
                <m:sSubSup>
                  <m:sSubSupPr>
                    <m:ctrlPr>
                      <w:rPr>
                        <w:rFonts w:ascii="Cambria Math" w:hAnsi="Cambria Math"/>
                        <w:i/>
                      </w:rPr>
                    </m:ctrlPr>
                  </m:sSubSupPr>
                  <m:e>
                    <m:acc>
                      <m:accPr>
                        <m:chr m:val="̅"/>
                        <m:ctrlPr>
                          <w:rPr>
                            <w:rFonts w:ascii="Cambria Math" w:hAnsi="Cambria Math"/>
                            <w:i/>
                          </w:rPr>
                        </m:ctrlPr>
                      </m:accPr>
                      <m:e>
                        <m:r>
                          <w:rPr>
                            <w:rFonts w:ascii="Cambria Math" w:hAnsi="Cambria Math"/>
                          </w:rPr>
                          <m:t>F</m:t>
                        </m:r>
                      </m:e>
                    </m:acc>
                  </m:e>
                  <m:sub>
                    <m:r>
                      <w:rPr>
                        <w:rFonts w:ascii="Cambria Math" w:hAnsi="Cambria Math"/>
                      </w:rPr>
                      <m:t>e</m:t>
                    </m:r>
                  </m:sub>
                  <m:sup>
                    <m:r>
                      <w:rPr>
                        <w:rFonts w:ascii="Cambria Math" w:hAnsi="Cambria Math"/>
                      </w:rPr>
                      <m:t>2</m:t>
                    </m:r>
                  </m:sup>
                </m:sSubSup>
                <m:r>
                  <w:rPr>
                    <w:rFonts w:ascii="Cambria Math" w:hAnsi="Cambria Math"/>
                  </w:rPr>
                  <m:t>Var(</m:t>
                </m:r>
                <m:sSub>
                  <m:sSubPr>
                    <m:ctrlPr>
                      <w:rPr>
                        <w:rFonts w:ascii="Cambria Math" w:hAnsi="Cambria Math"/>
                        <w:i/>
                      </w:rPr>
                    </m:ctrlPr>
                  </m:sSubPr>
                  <m:e>
                    <m:r>
                      <w:rPr>
                        <w:rFonts w:ascii="Cambria Math" w:hAnsi="Cambria Math"/>
                      </w:rPr>
                      <m:t>N</m:t>
                    </m:r>
                  </m:e>
                  <m:sub>
                    <m:r>
                      <w:rPr>
                        <w:rFonts w:ascii="Cambria Math" w:hAnsi="Cambria Math"/>
                      </w:rPr>
                      <m:t>e</m:t>
                    </m:r>
                  </m:sub>
                </m:sSub>
                <m:r>
                  <w:rPr>
                    <w:rFonts w:ascii="Cambria Math" w:hAnsi="Cambria Math"/>
                  </w:rPr>
                  <m:t>)</m:t>
                </m:r>
              </m:oMath>
            </m:oMathPara>
          </w:p>
        </w:tc>
      </w:tr>
      <w:tr w:rsidR="00087FC5" w:rsidRPr="00FC493B" w14:paraId="668ECCED"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048F6B50" w14:textId="09473884" w:rsidR="00087FC5" w:rsidRPr="00FC493B" w:rsidRDefault="00087FC5" w:rsidP="00BB2DC8">
            <w:pPr>
              <w:pStyle w:val="MDPI42tablebody"/>
              <w:autoSpaceDE w:val="0"/>
              <w:autoSpaceDN w:val="0"/>
              <w:spacing w:line="240" w:lineRule="auto"/>
              <w:rPr>
                <w:bCs w:val="0"/>
              </w:rPr>
            </w:pPr>
            <w:r w:rsidRPr="00FC493B">
              <w:t>Extra-pair fertilization success</w:t>
            </w:r>
          </w:p>
        </w:tc>
        <w:tc>
          <w:tcPr>
            <w:tcW w:w="2476" w:type="dxa"/>
            <w:shd w:val="clear" w:color="auto" w:fill="FFFFFF" w:themeFill="background1"/>
          </w:tcPr>
          <w:p w14:paraId="0D148068" w14:textId="115D51D0" w:rsidR="00087FC5" w:rsidRPr="00FC493B" w:rsidRDefault="00D56071"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eastAsia="Calibri"/>
              </w:rPr>
            </w:pPr>
            <m:oMathPara>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C</m:t>
                        </m:r>
                      </m:e>
                    </m:acc>
                  </m:e>
                  <m:sub>
                    <m:r>
                      <w:rPr>
                        <w:rFonts w:ascii="Cambria Math" w:hAnsi="Cambria Math"/>
                      </w:rPr>
                      <m:t>e</m:t>
                    </m:r>
                  </m:sub>
                  <m:sup>
                    <m:r>
                      <w:rPr>
                        <w:rFonts w:ascii="Cambria Math" w:hAnsi="Cambria Math"/>
                      </w:rPr>
                      <m:t>2</m:t>
                    </m:r>
                  </m:sup>
                </m:sSubSup>
                <m:sSubSup>
                  <m:sSubSupPr>
                    <m:ctrlPr>
                      <w:rPr>
                        <w:rFonts w:ascii="Cambria Math" w:hAnsi="Cambria Math"/>
                        <w:i/>
                      </w:rPr>
                    </m:ctrlPr>
                  </m:sSubSupPr>
                  <m:e>
                    <m:acc>
                      <m:accPr>
                        <m:chr m:val="̅"/>
                        <m:ctrlPr>
                          <w:rPr>
                            <w:rFonts w:ascii="Cambria Math" w:hAnsi="Cambria Math"/>
                            <w:i/>
                          </w:rPr>
                        </m:ctrlPr>
                      </m:accPr>
                      <m:e>
                        <m:r>
                          <w:rPr>
                            <w:rFonts w:ascii="Cambria Math" w:hAnsi="Cambria Math"/>
                          </w:rPr>
                          <m:t>N</m:t>
                        </m:r>
                      </m:e>
                    </m:acc>
                  </m:e>
                  <m:sub>
                    <m:r>
                      <w:rPr>
                        <w:rFonts w:ascii="Cambria Math" w:hAnsi="Cambria Math"/>
                      </w:rPr>
                      <m:t>e</m:t>
                    </m:r>
                  </m:sub>
                  <m:sup>
                    <m:r>
                      <w:rPr>
                        <w:rFonts w:ascii="Cambria Math" w:hAnsi="Cambria Math"/>
                      </w:rPr>
                      <m:t>2</m:t>
                    </m:r>
                  </m:sup>
                </m:sSubSup>
                <m:r>
                  <w:rPr>
                    <w:rFonts w:ascii="Cambria Math" w:hAnsi="Cambria Math"/>
                  </w:rPr>
                  <m:t>Var(</m:t>
                </m:r>
                <m:sSub>
                  <m:sSubPr>
                    <m:ctrlPr>
                      <w:rPr>
                        <w:rFonts w:ascii="Cambria Math" w:hAnsi="Cambria Math"/>
                        <w:i/>
                      </w:rPr>
                    </m:ctrlPr>
                  </m:sSubPr>
                  <m:e>
                    <m:r>
                      <w:rPr>
                        <w:rFonts w:ascii="Cambria Math" w:hAnsi="Cambria Math"/>
                      </w:rPr>
                      <m:t>F</m:t>
                    </m:r>
                  </m:e>
                  <m:sub>
                    <m:r>
                      <w:rPr>
                        <w:rFonts w:ascii="Cambria Math" w:hAnsi="Cambria Math"/>
                      </w:rPr>
                      <m:t>e</m:t>
                    </m:r>
                  </m:sub>
                </m:sSub>
                <m:r>
                  <w:rPr>
                    <w:rFonts w:ascii="Cambria Math" w:hAnsi="Cambria Math"/>
                  </w:rPr>
                  <m:t>)</m:t>
                </m:r>
              </m:oMath>
            </m:oMathPara>
          </w:p>
        </w:tc>
      </w:tr>
      <w:tr w:rsidR="00087FC5" w:rsidRPr="00FC493B" w14:paraId="73EC0A9F"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133F8E60" w14:textId="0D128A0B" w:rsidR="00087FC5" w:rsidRPr="00FC493B" w:rsidRDefault="00087FC5" w:rsidP="00BB2DC8">
            <w:pPr>
              <w:pStyle w:val="MDPI42tablebody"/>
              <w:autoSpaceDE w:val="0"/>
              <w:autoSpaceDN w:val="0"/>
              <w:spacing w:line="240" w:lineRule="auto"/>
              <w:rPr>
                <w:bCs w:val="0"/>
              </w:rPr>
            </w:pPr>
            <w:r w:rsidRPr="00FC493B">
              <w:t xml:space="preserve">Extra-pair covariance between copulation success and mate fecundity </w:t>
            </w:r>
          </w:p>
        </w:tc>
        <w:tc>
          <w:tcPr>
            <w:tcW w:w="2476" w:type="dxa"/>
            <w:shd w:val="clear" w:color="auto" w:fill="FFFFFF" w:themeFill="background1"/>
          </w:tcPr>
          <w:p w14:paraId="0845AC34" w14:textId="1B46F9B3" w:rsidR="00087FC5" w:rsidRPr="00FC493B" w:rsidRDefault="000D73C7"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eastAsia="Calibri"/>
              </w:rPr>
            </w:pPr>
            <m:oMathPara>
              <m:oMath>
                <m:r>
                  <w:rPr>
                    <w:rFonts w:ascii="Cambria Math" w:hAnsi="Cambria Math"/>
                  </w:rPr>
                  <m:t>2</m:t>
                </m:r>
                <m:sSubSup>
                  <m:sSubSupPr>
                    <m:ctrlPr>
                      <w:rPr>
                        <w:rFonts w:ascii="Cambria Math" w:hAnsi="Cambria Math"/>
                        <w:i/>
                      </w:rPr>
                    </m:ctrlPr>
                  </m:sSubSupPr>
                  <m:e>
                    <m:acc>
                      <m:accPr>
                        <m:chr m:val="̅"/>
                        <m:ctrlPr>
                          <w:rPr>
                            <w:rFonts w:ascii="Cambria Math" w:hAnsi="Cambria Math"/>
                            <w:i/>
                          </w:rPr>
                        </m:ctrlPr>
                      </m:accPr>
                      <m:e>
                        <m:r>
                          <w:rPr>
                            <w:rFonts w:ascii="Cambria Math" w:hAnsi="Cambria Math"/>
                          </w:rPr>
                          <m:t>F</m:t>
                        </m:r>
                      </m:e>
                    </m:acc>
                  </m:e>
                  <m:sub>
                    <m:r>
                      <w:rPr>
                        <w:rFonts w:ascii="Cambria Math" w:hAnsi="Cambria Math"/>
                      </w:rPr>
                      <m:t>e</m:t>
                    </m:r>
                  </m:sub>
                  <m:sup>
                    <m:r>
                      <w:rPr>
                        <w:rFonts w:ascii="Cambria Math" w:hAnsi="Cambria Math"/>
                      </w:rPr>
                      <m:t>2</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C</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e</m:t>
                    </m:r>
                  </m:sub>
                </m:sSub>
                <m:r>
                  <w:rPr>
                    <w:rFonts w:ascii="Cambria Math" w:hAnsi="Cambria Math"/>
                  </w:rPr>
                  <m:t>)</m:t>
                </m:r>
              </m:oMath>
            </m:oMathPara>
          </w:p>
        </w:tc>
      </w:tr>
      <w:tr w:rsidR="00087FC5" w:rsidRPr="00FC493B" w14:paraId="77C01E61"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4921FF26" w14:textId="1B467FBF" w:rsidR="00087FC5" w:rsidRPr="00FC493B" w:rsidRDefault="00087FC5" w:rsidP="00BB2DC8">
            <w:pPr>
              <w:pStyle w:val="MDPI42tablebody"/>
              <w:autoSpaceDE w:val="0"/>
              <w:autoSpaceDN w:val="0"/>
              <w:spacing w:line="240" w:lineRule="auto"/>
              <w:rPr>
                <w:bCs w:val="0"/>
              </w:rPr>
            </w:pPr>
            <w:r w:rsidRPr="00FC493B">
              <w:t>Extra-pair covariance between copulation and fertilization success</w:t>
            </w:r>
          </w:p>
        </w:tc>
        <w:tc>
          <w:tcPr>
            <w:tcW w:w="2476" w:type="dxa"/>
            <w:shd w:val="clear" w:color="auto" w:fill="FFFFFF" w:themeFill="background1"/>
          </w:tcPr>
          <w:p w14:paraId="38463085" w14:textId="2BF10C57" w:rsidR="00087FC5" w:rsidRPr="00FC493B" w:rsidRDefault="000D73C7"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eastAsia="Calibri"/>
              </w:rPr>
            </w:pPr>
            <m:oMathPara>
              <m:oMath>
                <m:r>
                  <w:rPr>
                    <w:rFonts w:ascii="Cambria Math" w:hAnsi="Cambria Math"/>
                  </w:rPr>
                  <m:t>2</m:t>
                </m:r>
                <m:sSubSup>
                  <m:sSubSupPr>
                    <m:ctrlPr>
                      <w:rPr>
                        <w:rFonts w:ascii="Cambria Math" w:hAnsi="Cambria Math"/>
                        <w:i/>
                      </w:rPr>
                    </m:ctrlPr>
                  </m:sSubSupPr>
                  <m:e>
                    <m:acc>
                      <m:accPr>
                        <m:chr m:val="̅"/>
                        <m:ctrlPr>
                          <w:rPr>
                            <w:rFonts w:ascii="Cambria Math" w:hAnsi="Cambria Math"/>
                            <w:i/>
                          </w:rPr>
                        </m:ctrlPr>
                      </m:accPr>
                      <m:e>
                        <m:r>
                          <w:rPr>
                            <w:rFonts w:ascii="Cambria Math" w:hAnsi="Cambria Math"/>
                          </w:rPr>
                          <m:t>N</m:t>
                        </m:r>
                      </m:e>
                    </m:acc>
                  </m:e>
                  <m:sub>
                    <m:r>
                      <w:rPr>
                        <w:rFonts w:ascii="Cambria Math" w:hAnsi="Cambria Math"/>
                      </w:rPr>
                      <m:t>e</m:t>
                    </m:r>
                  </m:sub>
                  <m:sup>
                    <m:r>
                      <w:rPr>
                        <w:rFonts w:ascii="Cambria Math" w:hAnsi="Cambria Math"/>
                      </w:rPr>
                      <m:t>2</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C</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e</m:t>
                    </m:r>
                  </m:sub>
                </m:sSub>
                <m:r>
                  <w:rPr>
                    <w:rFonts w:ascii="Cambria Math" w:hAnsi="Cambria Math"/>
                  </w:rPr>
                  <m:t>)</m:t>
                </m:r>
              </m:oMath>
            </m:oMathPara>
          </w:p>
        </w:tc>
      </w:tr>
      <w:tr w:rsidR="00087FC5" w:rsidRPr="00FC493B" w14:paraId="3165237B"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0D329E7B" w14:textId="23547CED" w:rsidR="00087FC5" w:rsidRPr="00FC493B" w:rsidRDefault="00087FC5" w:rsidP="00BB2DC8">
            <w:pPr>
              <w:pStyle w:val="MDPI42tablebody"/>
              <w:autoSpaceDE w:val="0"/>
              <w:autoSpaceDN w:val="0"/>
              <w:spacing w:line="240" w:lineRule="auto"/>
              <w:rPr>
                <w:bCs w:val="0"/>
              </w:rPr>
            </w:pPr>
            <w:r w:rsidRPr="00FC493B">
              <w:t>Extra-pair covariance between mate fecundity and fertilization success</w:t>
            </w:r>
          </w:p>
        </w:tc>
        <w:tc>
          <w:tcPr>
            <w:tcW w:w="2476" w:type="dxa"/>
            <w:shd w:val="clear" w:color="auto" w:fill="FFFFFF" w:themeFill="background1"/>
          </w:tcPr>
          <w:p w14:paraId="69F6854F" w14:textId="4902A744" w:rsidR="00087FC5" w:rsidRPr="00FC493B" w:rsidRDefault="000D73C7"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eastAsia="Calibri"/>
              </w:rPr>
            </w:pPr>
            <m:oMathPara>
              <m:oMath>
                <m:r>
                  <w:rPr>
                    <w:rFonts w:ascii="Cambria Math" w:hAnsi="Cambria Math"/>
                  </w:rPr>
                  <m:t>2</m:t>
                </m:r>
                <m:sSubSup>
                  <m:sSubSupPr>
                    <m:ctrlPr>
                      <w:rPr>
                        <w:rFonts w:ascii="Cambria Math" w:hAnsi="Cambria Math"/>
                        <w:i/>
                      </w:rPr>
                    </m:ctrlPr>
                  </m:sSubSupPr>
                  <m:e>
                    <m:acc>
                      <m:accPr>
                        <m:chr m:val="̅"/>
                        <m:ctrlPr>
                          <w:rPr>
                            <w:rFonts w:ascii="Cambria Math" w:hAnsi="Cambria Math"/>
                            <w:i/>
                          </w:rPr>
                        </m:ctrlPr>
                      </m:accPr>
                      <m:e>
                        <m:r>
                          <w:rPr>
                            <w:rFonts w:ascii="Cambria Math" w:hAnsi="Cambria Math"/>
                          </w:rPr>
                          <m:t>C</m:t>
                        </m:r>
                      </m:e>
                    </m:acc>
                  </m:e>
                  <m:sub>
                    <m:r>
                      <w:rPr>
                        <w:rFonts w:ascii="Cambria Math" w:hAnsi="Cambria Math"/>
                      </w:rPr>
                      <m:t>e</m:t>
                    </m:r>
                  </m:sub>
                  <m:sup>
                    <m:r>
                      <w:rPr>
                        <w:rFonts w:ascii="Cambria Math" w:hAnsi="Cambria Math"/>
                      </w:rPr>
                      <m:t>2</m:t>
                    </m:r>
                  </m:sup>
                </m:sSubSup>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N</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e</m:t>
                    </m:r>
                  </m:sub>
                </m:sSub>
                <m:r>
                  <w:rPr>
                    <w:rFonts w:ascii="Cambria Math" w:hAnsi="Cambria Math"/>
                  </w:rPr>
                  <m:t>)</m:t>
                </m:r>
              </m:oMath>
            </m:oMathPara>
          </w:p>
        </w:tc>
      </w:tr>
      <w:tr w:rsidR="00087FC5" w:rsidRPr="00FC493B" w14:paraId="1645EAEE"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0AE18DDF" w14:textId="4BB56FE3" w:rsidR="00087FC5" w:rsidRPr="00FC493B" w:rsidRDefault="00087FC5" w:rsidP="00BB2DC8">
            <w:pPr>
              <w:pStyle w:val="MDPI42tablebody"/>
              <w:autoSpaceDE w:val="0"/>
              <w:autoSpaceDN w:val="0"/>
              <w:spacing w:line="240" w:lineRule="auto"/>
              <w:rPr>
                <w:bCs w:val="0"/>
              </w:rPr>
            </w:pPr>
            <w:r w:rsidRPr="00FC493B">
              <w:t>Covariance between within-pair and extra-pair copulation success*</w:t>
            </w:r>
          </w:p>
        </w:tc>
        <w:tc>
          <w:tcPr>
            <w:tcW w:w="2476" w:type="dxa"/>
            <w:shd w:val="clear" w:color="auto" w:fill="FFFFFF" w:themeFill="background1"/>
          </w:tcPr>
          <w:p w14:paraId="0A0C55D8" w14:textId="1C6ED41B" w:rsidR="00087FC5" w:rsidRPr="00FC493B" w:rsidRDefault="000D73C7"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eastAsia="Calibri"/>
              </w:rPr>
            </w:pPr>
            <m:oMathPara>
              <m:oMath>
                <m:r>
                  <w:rPr>
                    <w:rFonts w:ascii="Cambria Math" w:hAnsi="Cambria Math"/>
                  </w:rPr>
                  <m:t>2</m:t>
                </m:r>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C</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e</m:t>
                    </m:r>
                  </m:sub>
                </m:sSub>
                <m:r>
                  <w:rPr>
                    <w:rFonts w:ascii="Cambria Math" w:hAnsi="Cambria Math"/>
                  </w:rPr>
                  <m:t>)</m:t>
                </m:r>
              </m:oMath>
            </m:oMathPara>
          </w:p>
        </w:tc>
      </w:tr>
      <w:tr w:rsidR="00087FC5" w:rsidRPr="00FC493B" w14:paraId="2A45A00E"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1FE884A2" w14:textId="31ECB96D" w:rsidR="00087FC5" w:rsidRPr="00FC493B" w:rsidRDefault="00087FC5" w:rsidP="00BB2DC8">
            <w:pPr>
              <w:pStyle w:val="MDPI42tablebody"/>
              <w:autoSpaceDE w:val="0"/>
              <w:autoSpaceDN w:val="0"/>
              <w:spacing w:line="240" w:lineRule="auto"/>
              <w:rPr>
                <w:bCs w:val="0"/>
              </w:rPr>
            </w:pPr>
            <w:r w:rsidRPr="00FC493B">
              <w:t>Covariance between within-pair copulation success and extra-pair mate fecundity*</w:t>
            </w:r>
          </w:p>
        </w:tc>
        <w:tc>
          <w:tcPr>
            <w:tcW w:w="2476" w:type="dxa"/>
            <w:shd w:val="clear" w:color="auto" w:fill="FFFFFF" w:themeFill="background1"/>
          </w:tcPr>
          <w:p w14:paraId="3634FFC9" w14:textId="0F0851DC" w:rsidR="00087FC5" w:rsidRPr="00FC493B" w:rsidRDefault="000D73C7"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eastAsia="Calibri"/>
              </w:rPr>
            </w:pPr>
            <m:oMathPara>
              <m:oMath>
                <m:r>
                  <w:rPr>
                    <w:rFonts w:ascii="Cambria Math" w:hAnsi="Cambria Math"/>
                  </w:rPr>
                  <m:t>2</m:t>
                </m:r>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C</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e</m:t>
                    </m:r>
                  </m:sub>
                </m:sSub>
                <m:r>
                  <w:rPr>
                    <w:rFonts w:ascii="Cambria Math" w:hAnsi="Cambria Math"/>
                  </w:rPr>
                  <m:t>)</m:t>
                </m:r>
              </m:oMath>
            </m:oMathPara>
          </w:p>
        </w:tc>
      </w:tr>
      <w:tr w:rsidR="00087FC5" w:rsidRPr="00FC493B" w14:paraId="40297270"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0A52B241" w14:textId="3FC947F9" w:rsidR="00087FC5" w:rsidRPr="00FC493B" w:rsidRDefault="00087FC5" w:rsidP="00BB2DC8">
            <w:pPr>
              <w:pStyle w:val="MDPI42tablebody"/>
              <w:autoSpaceDE w:val="0"/>
              <w:autoSpaceDN w:val="0"/>
              <w:spacing w:line="240" w:lineRule="auto"/>
              <w:rPr>
                <w:bCs w:val="0"/>
              </w:rPr>
            </w:pPr>
            <w:r w:rsidRPr="00FC493B">
              <w:t>Covariance between within-pair copulation success and extra-pair fertilization success*</w:t>
            </w:r>
          </w:p>
        </w:tc>
        <w:tc>
          <w:tcPr>
            <w:tcW w:w="2476" w:type="dxa"/>
            <w:shd w:val="clear" w:color="auto" w:fill="FFFFFF" w:themeFill="background1"/>
          </w:tcPr>
          <w:p w14:paraId="218D2DF9" w14:textId="4CFC501F" w:rsidR="00087FC5" w:rsidRPr="00FC493B" w:rsidRDefault="000D73C7"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eastAsia="Calibri"/>
              </w:rPr>
            </w:pPr>
            <m:oMathPara>
              <m:oMath>
                <m:r>
                  <w:rPr>
                    <w:rFonts w:ascii="Cambria Math" w:hAnsi="Cambria Math"/>
                  </w:rPr>
                  <m:t>2</m:t>
                </m:r>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C</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e</m:t>
                    </m:r>
                  </m:sub>
                </m:sSub>
                <m:r>
                  <w:rPr>
                    <w:rFonts w:ascii="Cambria Math" w:hAnsi="Cambria Math"/>
                  </w:rPr>
                  <m:t>)</m:t>
                </m:r>
              </m:oMath>
            </m:oMathPara>
          </w:p>
        </w:tc>
      </w:tr>
      <w:tr w:rsidR="00087FC5" w:rsidRPr="00FC493B" w14:paraId="27FD846B"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6721AE76" w14:textId="77FEEA92" w:rsidR="00087FC5" w:rsidRPr="00FC493B" w:rsidRDefault="00087FC5" w:rsidP="00BB2DC8">
            <w:pPr>
              <w:pStyle w:val="MDPI42tablebody"/>
              <w:autoSpaceDE w:val="0"/>
              <w:autoSpaceDN w:val="0"/>
              <w:spacing w:line="240" w:lineRule="auto"/>
              <w:rPr>
                <w:bCs w:val="0"/>
              </w:rPr>
            </w:pPr>
            <w:r w:rsidRPr="00FC493B">
              <w:t>Covariance between within-pair mate fecundity and extra-pair copulation success</w:t>
            </w:r>
          </w:p>
        </w:tc>
        <w:tc>
          <w:tcPr>
            <w:tcW w:w="2476" w:type="dxa"/>
            <w:shd w:val="clear" w:color="auto" w:fill="FFFFFF" w:themeFill="background1"/>
          </w:tcPr>
          <w:p w14:paraId="122EC9B9" w14:textId="03D3F542" w:rsidR="00087FC5" w:rsidRPr="00FC493B" w:rsidRDefault="000D73C7"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eastAsia="Calibri"/>
              </w:rPr>
            </w:pPr>
            <m:oMathPara>
              <m:oMath>
                <m:r>
                  <w:rPr>
                    <w:rFonts w:ascii="Cambria Math" w:hAnsi="Cambria Math"/>
                  </w:rPr>
                  <m:t>2</m:t>
                </m:r>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N</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e</m:t>
                    </m:r>
                  </m:sub>
                </m:sSub>
                <m:r>
                  <w:rPr>
                    <w:rFonts w:ascii="Cambria Math" w:hAnsi="Cambria Math"/>
                  </w:rPr>
                  <m:t>)</m:t>
                </m:r>
              </m:oMath>
            </m:oMathPara>
          </w:p>
        </w:tc>
      </w:tr>
      <w:tr w:rsidR="00087FC5" w:rsidRPr="00FC493B" w14:paraId="6A4A0EA0"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3EB47EB6" w14:textId="5F073E7F" w:rsidR="00087FC5" w:rsidRPr="00FC493B" w:rsidRDefault="00087FC5" w:rsidP="00BB2DC8">
            <w:pPr>
              <w:pStyle w:val="MDPI42tablebody"/>
              <w:autoSpaceDE w:val="0"/>
              <w:autoSpaceDN w:val="0"/>
              <w:spacing w:line="240" w:lineRule="auto"/>
              <w:rPr>
                <w:bCs w:val="0"/>
              </w:rPr>
            </w:pPr>
            <w:r w:rsidRPr="00FC493B">
              <w:t>Covariance between within-pair and extra-pair mate fecundity</w:t>
            </w:r>
          </w:p>
        </w:tc>
        <w:tc>
          <w:tcPr>
            <w:tcW w:w="2476" w:type="dxa"/>
            <w:shd w:val="clear" w:color="auto" w:fill="FFFFFF" w:themeFill="background1"/>
          </w:tcPr>
          <w:p w14:paraId="2D6DD9D2" w14:textId="7999020A" w:rsidR="00087FC5" w:rsidRPr="00FC493B" w:rsidRDefault="000D73C7"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eastAsia="Calibri"/>
              </w:rPr>
            </w:pPr>
            <m:oMathPara>
              <m:oMath>
                <m:r>
                  <w:rPr>
                    <w:rFonts w:ascii="Cambria Math" w:hAnsi="Cambria Math"/>
                  </w:rPr>
                  <m:t>2</m:t>
                </m:r>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N</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e</m:t>
                    </m:r>
                  </m:sub>
                </m:sSub>
                <m:r>
                  <w:rPr>
                    <w:rFonts w:ascii="Cambria Math" w:hAnsi="Cambria Math"/>
                  </w:rPr>
                  <m:t>)</m:t>
                </m:r>
              </m:oMath>
            </m:oMathPara>
          </w:p>
        </w:tc>
      </w:tr>
      <w:tr w:rsidR="00087FC5" w:rsidRPr="00FC493B" w14:paraId="378CF426"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6DEA54F0" w14:textId="4B95EC0F" w:rsidR="00087FC5" w:rsidRPr="00FC493B" w:rsidRDefault="00087FC5" w:rsidP="00BB2DC8">
            <w:pPr>
              <w:pStyle w:val="MDPI42tablebody"/>
              <w:autoSpaceDE w:val="0"/>
              <w:autoSpaceDN w:val="0"/>
              <w:spacing w:line="240" w:lineRule="auto"/>
              <w:rPr>
                <w:bCs w:val="0"/>
              </w:rPr>
            </w:pPr>
            <w:r w:rsidRPr="00FC493B">
              <w:t>Covariance between within-pair mate fecundity and extra-pair fertilization success</w:t>
            </w:r>
          </w:p>
        </w:tc>
        <w:tc>
          <w:tcPr>
            <w:tcW w:w="2476" w:type="dxa"/>
            <w:shd w:val="clear" w:color="auto" w:fill="FFFFFF" w:themeFill="background1"/>
          </w:tcPr>
          <w:p w14:paraId="51C96DFA" w14:textId="1CB9CD84" w:rsidR="00087FC5" w:rsidRPr="00FC493B" w:rsidRDefault="000D73C7"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eastAsia="Calibri"/>
              </w:rPr>
            </w:pPr>
            <m:oMathPara>
              <m:oMath>
                <m:r>
                  <w:rPr>
                    <w:rFonts w:ascii="Cambria Math" w:hAnsi="Cambria Math"/>
                  </w:rPr>
                  <m:t>2</m:t>
                </m:r>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N</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e</m:t>
                    </m:r>
                  </m:sub>
                </m:sSub>
                <m:r>
                  <w:rPr>
                    <w:rFonts w:ascii="Cambria Math" w:hAnsi="Cambria Math"/>
                  </w:rPr>
                  <m:t>)</m:t>
                </m:r>
              </m:oMath>
            </m:oMathPara>
          </w:p>
        </w:tc>
      </w:tr>
      <w:tr w:rsidR="00087FC5" w:rsidRPr="00FC493B" w14:paraId="1832F95E"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5280B04A" w14:textId="557C4C54" w:rsidR="00087FC5" w:rsidRPr="00FC493B" w:rsidRDefault="00087FC5" w:rsidP="00BB2DC8">
            <w:pPr>
              <w:pStyle w:val="MDPI42tablebody"/>
              <w:autoSpaceDE w:val="0"/>
              <w:autoSpaceDN w:val="0"/>
              <w:spacing w:line="240" w:lineRule="auto"/>
              <w:rPr>
                <w:bCs w:val="0"/>
              </w:rPr>
            </w:pPr>
            <w:r w:rsidRPr="00FC493B">
              <w:t>Covariance between within-pair fertilization success and extra-pair copulation success</w:t>
            </w:r>
          </w:p>
        </w:tc>
        <w:tc>
          <w:tcPr>
            <w:tcW w:w="2476" w:type="dxa"/>
            <w:shd w:val="clear" w:color="auto" w:fill="FFFFFF" w:themeFill="background1"/>
          </w:tcPr>
          <w:p w14:paraId="2DF7D855" w14:textId="2EC03E8E" w:rsidR="00087FC5" w:rsidRPr="00FC493B" w:rsidRDefault="000D73C7"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eastAsia="Calibri"/>
              </w:rPr>
            </w:pPr>
            <m:oMathPara>
              <m:oMath>
                <m:r>
                  <w:rPr>
                    <w:rFonts w:ascii="Cambria Math" w:hAnsi="Cambria Math"/>
                  </w:rPr>
                  <m:t>2</m:t>
                </m:r>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F</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e</m:t>
                    </m:r>
                  </m:sub>
                </m:sSub>
                <m:r>
                  <w:rPr>
                    <w:rFonts w:ascii="Cambria Math" w:hAnsi="Cambria Math"/>
                  </w:rPr>
                  <m:t>)</m:t>
                </m:r>
              </m:oMath>
            </m:oMathPara>
          </w:p>
        </w:tc>
      </w:tr>
      <w:tr w:rsidR="00087FC5" w:rsidRPr="00FC493B" w14:paraId="62A73903"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485EFB68" w14:textId="2168AC2A" w:rsidR="00087FC5" w:rsidRPr="00FC493B" w:rsidRDefault="00087FC5" w:rsidP="00BB2DC8">
            <w:pPr>
              <w:pStyle w:val="MDPI42tablebody"/>
              <w:autoSpaceDE w:val="0"/>
              <w:autoSpaceDN w:val="0"/>
              <w:spacing w:line="240" w:lineRule="auto"/>
              <w:rPr>
                <w:bCs w:val="0"/>
              </w:rPr>
            </w:pPr>
            <w:r w:rsidRPr="00FC493B">
              <w:t>Covariance between within-pair fertilization success and extra-pair mate fecundity</w:t>
            </w:r>
          </w:p>
        </w:tc>
        <w:tc>
          <w:tcPr>
            <w:tcW w:w="2476" w:type="dxa"/>
            <w:shd w:val="clear" w:color="auto" w:fill="FFFFFF" w:themeFill="background1"/>
          </w:tcPr>
          <w:p w14:paraId="7EDF96C0" w14:textId="5A385C19" w:rsidR="00087FC5" w:rsidRPr="00FC493B" w:rsidRDefault="000D73C7"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eastAsia="Calibri"/>
              </w:rPr>
            </w:pPr>
            <m:oMathPara>
              <m:oMath>
                <m:r>
                  <w:rPr>
                    <w:rFonts w:ascii="Cambria Math" w:hAnsi="Cambria Math"/>
                  </w:rPr>
                  <m:t>2</m:t>
                </m:r>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F</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e</m:t>
                    </m:r>
                  </m:sub>
                </m:sSub>
                <m:r>
                  <w:rPr>
                    <w:rFonts w:ascii="Cambria Math" w:hAnsi="Cambria Math"/>
                  </w:rPr>
                  <m:t>)</m:t>
                </m:r>
              </m:oMath>
            </m:oMathPara>
          </w:p>
        </w:tc>
      </w:tr>
      <w:tr w:rsidR="00087FC5" w:rsidRPr="00FC493B" w14:paraId="6843BD12" w14:textId="77777777" w:rsidTr="00A233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6F64DBA6" w14:textId="1A725E83" w:rsidR="00087FC5" w:rsidRPr="00FC493B" w:rsidRDefault="00087FC5" w:rsidP="00BB2DC8">
            <w:pPr>
              <w:pStyle w:val="MDPI42tablebody"/>
              <w:autoSpaceDE w:val="0"/>
              <w:autoSpaceDN w:val="0"/>
              <w:spacing w:line="240" w:lineRule="auto"/>
              <w:rPr>
                <w:bCs w:val="0"/>
              </w:rPr>
            </w:pPr>
            <w:r w:rsidRPr="00FC493B">
              <w:t>Covariance between within-pair and extra-pair fertilization success</w:t>
            </w:r>
          </w:p>
        </w:tc>
        <w:tc>
          <w:tcPr>
            <w:tcW w:w="2476" w:type="dxa"/>
            <w:shd w:val="clear" w:color="auto" w:fill="FFFFFF" w:themeFill="background1"/>
          </w:tcPr>
          <w:p w14:paraId="0B4B713C" w14:textId="7F864D55" w:rsidR="00087FC5" w:rsidRPr="00FC493B" w:rsidRDefault="000D73C7" w:rsidP="00BB2DC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eastAsia="Calibri"/>
              </w:rPr>
            </w:pPr>
            <m:oMathPara>
              <m:oMath>
                <m:r>
                  <w:rPr>
                    <w:rFonts w:ascii="Cambria Math" w:hAnsi="Cambria Math"/>
                  </w:rPr>
                  <m:t>2</m:t>
                </m:r>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w</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C</m:t>
                        </m:r>
                      </m:e>
                    </m:acc>
                  </m:e>
                  <m:sub>
                    <m:r>
                      <w:rPr>
                        <w:rFonts w:ascii="Cambria Math" w:hAnsi="Cambria Math"/>
                      </w:rPr>
                      <m:t>e</m:t>
                    </m:r>
                  </m:sub>
                </m:sSub>
                <m:sSub>
                  <m:sSubPr>
                    <m:ctrlPr>
                      <w:rPr>
                        <w:rFonts w:ascii="Cambria Math" w:hAnsi="Cambria Math"/>
                        <w:i/>
                      </w:rPr>
                    </m:ctrlPr>
                  </m:sSubPr>
                  <m:e>
                    <m:acc>
                      <m:accPr>
                        <m:chr m:val="̅"/>
                        <m:ctrlPr>
                          <w:rPr>
                            <w:rFonts w:ascii="Cambria Math" w:hAnsi="Cambria Math"/>
                            <w:i/>
                          </w:rPr>
                        </m:ctrlPr>
                      </m:accPr>
                      <m:e>
                        <m:r>
                          <w:rPr>
                            <w:rFonts w:ascii="Cambria Math" w:hAnsi="Cambria Math"/>
                          </w:rPr>
                          <m:t>N</m:t>
                        </m:r>
                      </m:e>
                    </m:acc>
                  </m:e>
                  <m:sub>
                    <m:r>
                      <w:rPr>
                        <w:rFonts w:ascii="Cambria Math" w:hAnsi="Cambria Math"/>
                      </w:rPr>
                      <m:t>e</m:t>
                    </m:r>
                  </m:sub>
                </m:sSub>
                <m:r>
                  <w:rPr>
                    <w:rFonts w:ascii="Cambria Math" w:hAnsi="Cambria Math"/>
                  </w:rPr>
                  <m:t>Cov(</m:t>
                </m:r>
                <m:sSub>
                  <m:sSubPr>
                    <m:ctrlPr>
                      <w:rPr>
                        <w:rFonts w:ascii="Cambria Math" w:hAnsi="Cambria Math"/>
                        <w:i/>
                      </w:rPr>
                    </m:ctrlPr>
                  </m:sSubPr>
                  <m:e>
                    <m:r>
                      <w:rPr>
                        <w:rFonts w:ascii="Cambria Math" w:hAnsi="Cambria Math"/>
                      </w:rPr>
                      <m:t>F</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e</m:t>
                    </m:r>
                  </m:sub>
                </m:sSub>
                <m:r>
                  <w:rPr>
                    <w:rFonts w:ascii="Cambria Math" w:hAnsi="Cambria Math"/>
                  </w:rPr>
                  <m:t>)</m:t>
                </m:r>
              </m:oMath>
            </m:oMathPara>
          </w:p>
        </w:tc>
      </w:tr>
      <w:tr w:rsidR="00087FC5" w:rsidRPr="00FC493B" w14:paraId="6A90744B" w14:textId="77777777" w:rsidTr="00A233A4">
        <w:tc>
          <w:tcPr>
            <w:cnfStyle w:val="001000000000" w:firstRow="0" w:lastRow="0" w:firstColumn="1" w:lastColumn="0" w:oddVBand="0" w:evenVBand="0" w:oddHBand="0" w:evenHBand="0" w:firstRowFirstColumn="0" w:firstRowLastColumn="0" w:lastRowFirstColumn="0" w:lastRowLastColumn="0"/>
            <w:tcW w:w="5381" w:type="dxa"/>
            <w:shd w:val="clear" w:color="auto" w:fill="FFFFFF" w:themeFill="background1"/>
          </w:tcPr>
          <w:p w14:paraId="4A58D71F" w14:textId="77777777" w:rsidR="00087FC5" w:rsidRPr="00FC493B" w:rsidRDefault="00087FC5" w:rsidP="00BB2DC8">
            <w:pPr>
              <w:pStyle w:val="MDPI42tablebody"/>
              <w:autoSpaceDE w:val="0"/>
              <w:autoSpaceDN w:val="0"/>
              <w:spacing w:line="240" w:lineRule="auto"/>
              <w:rPr>
                <w:bCs w:val="0"/>
              </w:rPr>
            </w:pPr>
            <w:r w:rsidRPr="00FC493B">
              <w:lastRenderedPageBreak/>
              <w:t>Error</w:t>
            </w:r>
          </w:p>
        </w:tc>
        <w:tc>
          <w:tcPr>
            <w:tcW w:w="2476" w:type="dxa"/>
            <w:shd w:val="clear" w:color="auto" w:fill="FFFFFF" w:themeFill="background1"/>
          </w:tcPr>
          <w:p w14:paraId="4D41A62A" w14:textId="4510170C" w:rsidR="00087FC5" w:rsidRPr="00FC493B" w:rsidRDefault="00087FC5" w:rsidP="00BB2DC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 xml:space="preserve"> </w:t>
            </w:r>
            <m:oMath>
              <m:r>
                <w:rPr>
                  <w:rFonts w:ascii="Cambria Math" w:hAnsi="Cambria Math"/>
                </w:rPr>
                <m:t>Var</m:t>
              </m:r>
              <m:d>
                <m:dPr>
                  <m:ctrlPr>
                    <w:rPr>
                      <w:rFonts w:ascii="Cambria Math" w:hAnsi="Cambria Math"/>
                      <w:i/>
                    </w:rPr>
                  </m:ctrlPr>
                </m:dPr>
                <m:e>
                  <m:r>
                    <w:rPr>
                      <w:rFonts w:ascii="Cambria Math" w:hAnsi="Cambria Math"/>
                    </w:rPr>
                    <m:t>T</m:t>
                  </m:r>
                </m:e>
              </m:d>
              <m:r>
                <w:rPr>
                  <w:rFonts w:ascii="Cambria Math" w:hAnsi="Cambria Math"/>
                </w:rPr>
                <m:t xml:space="preserve">- </m:t>
              </m:r>
            </m:oMath>
            <w:r w:rsidR="006321A4" w:rsidRPr="00FC493B">
              <w:rPr>
                <w:rFonts w:eastAsiaTheme="minorEastAsia"/>
              </w:rPr>
              <w:t>sum of other components</w:t>
            </w:r>
          </w:p>
        </w:tc>
      </w:tr>
    </w:tbl>
    <w:p w14:paraId="3C488BE5" w14:textId="77777777" w:rsidR="008F0F72" w:rsidRPr="00FC493B" w:rsidRDefault="008F0F72" w:rsidP="00852CCD">
      <w:pPr>
        <w:pStyle w:val="MDPI52figure"/>
        <w:rPr>
          <w:noProof/>
          <w:lang w:bidi="ar-SA"/>
        </w:rPr>
      </w:pPr>
    </w:p>
    <w:p w14:paraId="59EDAF0F" w14:textId="02381349" w:rsidR="0048590F" w:rsidRPr="00FC493B" w:rsidRDefault="00C32DB1" w:rsidP="00C056E4">
      <w:pPr>
        <w:pStyle w:val="MDPI52figure"/>
      </w:pPr>
      <w:r w:rsidRPr="00FC493B">
        <w:rPr>
          <w:noProof/>
        </w:rPr>
        <w:drawing>
          <wp:inline distT="0" distB="0" distL="0" distR="0" wp14:anchorId="38E6FF67" wp14:editId="48F49A17">
            <wp:extent cx="5943600" cy="54229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5422900"/>
                    </a:xfrm>
                    <a:prstGeom prst="rect">
                      <a:avLst/>
                    </a:prstGeom>
                  </pic:spPr>
                </pic:pic>
              </a:graphicData>
            </a:graphic>
          </wp:inline>
        </w:drawing>
      </w:r>
    </w:p>
    <w:p w14:paraId="0E61C23F" w14:textId="6668DE21" w:rsidR="0048590F" w:rsidRPr="00FC493B" w:rsidRDefault="0048590F" w:rsidP="0048590F">
      <w:pPr>
        <w:pStyle w:val="MDPI51figurecaption"/>
      </w:pPr>
      <w:r w:rsidRPr="00FC493B">
        <w:rPr>
          <w:b/>
        </w:rPr>
        <w:t xml:space="preserve">Figure S1. </w:t>
      </w:r>
      <w:r w:rsidRPr="00FC493B">
        <w:t>Proportion of extra-pair young depending on whether both traits were under selection (dark shading, solid line), only the male trait was under selection (medium shading, dashed line), or only the sperm trait was under selection (light shading, dotted line), for 15 simulated species, at various degrees of male trait vs. sperm trait correlation. Shading indicates 95% CI. Note that the y</w:t>
      </w:r>
      <w:r w:rsidR="002F49E2" w:rsidRPr="00FC493B">
        <w:t xml:space="preserve"> </w:t>
      </w:r>
      <w:r w:rsidRPr="00FC493B">
        <w:t xml:space="preserve">axis differs across panels, reflecting the species level variation in extra-pair paternity rates, to enable comparison with Figure 5 (see Table 1). Black-throated blue warbler </w:t>
      </w:r>
      <w:proofErr w:type="gramStart"/>
      <w:r w:rsidRPr="00FC493B">
        <w:t>is abbreviated</w:t>
      </w:r>
      <w:proofErr w:type="gramEnd"/>
      <w:r w:rsidRPr="00FC493B">
        <w:t xml:space="preserve"> </w:t>
      </w:r>
      <w:r w:rsidR="002F49E2" w:rsidRPr="00FC493B">
        <w:t xml:space="preserve">to </w:t>
      </w:r>
      <w:proofErr w:type="spellStart"/>
      <w:r w:rsidRPr="00FC493B">
        <w:t>btbw</w:t>
      </w:r>
      <w:proofErr w:type="spellEnd"/>
      <w:r w:rsidRPr="00FC493B">
        <w:t>. Minor differences in the proportion of extra-pair young across conditions appears to drive minor variation in estimated selection on the male quality trait (see Fig</w:t>
      </w:r>
      <w:r w:rsidR="00427196" w:rsidRPr="00FC493B">
        <w:t xml:space="preserve">ure </w:t>
      </w:r>
      <w:r w:rsidR="001C14CD" w:rsidRPr="00FC493B">
        <w:t>S2</w:t>
      </w:r>
      <w:r w:rsidRPr="00FC493B">
        <w:t>)</w:t>
      </w:r>
    </w:p>
    <w:p w14:paraId="58DD4D07" w14:textId="68FE3009" w:rsidR="0048590F" w:rsidRPr="00FC493B" w:rsidRDefault="00C32DB1" w:rsidP="0048590F">
      <w:pPr>
        <w:pStyle w:val="MDPI52figure"/>
      </w:pPr>
      <w:r w:rsidRPr="00FC493B">
        <w:rPr>
          <w:noProof/>
          <w:lang w:eastAsia="nb-NO" w:bidi="ar-SA"/>
        </w:rPr>
        <w:lastRenderedPageBreak/>
        <w:drawing>
          <wp:inline distT="0" distB="0" distL="0" distR="0" wp14:anchorId="7A85A92D" wp14:editId="0F11B058">
            <wp:extent cx="5943600" cy="59372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5937250"/>
                    </a:xfrm>
                    <a:prstGeom prst="rect">
                      <a:avLst/>
                    </a:prstGeom>
                  </pic:spPr>
                </pic:pic>
              </a:graphicData>
            </a:graphic>
          </wp:inline>
        </w:drawing>
      </w:r>
    </w:p>
    <w:p w14:paraId="3CE0EEBE" w14:textId="53ACB5B6" w:rsidR="008C2D1A" w:rsidRPr="00FC493B" w:rsidRDefault="0048590F" w:rsidP="00A52928">
      <w:pPr>
        <w:pStyle w:val="MDPI51figurecaption"/>
      </w:pPr>
      <w:r w:rsidRPr="00FC493B">
        <w:rPr>
          <w:b/>
        </w:rPr>
        <w:t xml:space="preserve">Figure S2. </w:t>
      </w:r>
      <w:r w:rsidRPr="00FC493B">
        <w:t xml:space="preserve">Strength of selection on the male trait when both episodes of selection were active (dark shading, </w:t>
      </w:r>
      <w:r w:rsidR="00A52928" w:rsidRPr="00FC493B">
        <w:t xml:space="preserve">Scheme 95. </w:t>
      </w:r>
      <w:r w:rsidRPr="00FC493B">
        <w:t>CI. Y-axis scales differ due to the differing strength of selection among species; note the relatively low absolute value of the variation within each species. The reason for the apparent decrease in selection on the male trait for the black-throated blue warbler (</w:t>
      </w:r>
      <w:proofErr w:type="spellStart"/>
      <w:r w:rsidRPr="00FC493B">
        <w:t>btbw</w:t>
      </w:r>
      <w:proofErr w:type="spellEnd"/>
      <w:r w:rsidRPr="00FC493B">
        <w:t>), reed bunting, and tree swallow is unclear; within-species tests for these three species found non-significant interactions for the black-throated blue warbler and reed bunting (F</w:t>
      </w:r>
      <w:r w:rsidRPr="00FC493B">
        <w:rPr>
          <w:vertAlign w:val="subscript"/>
        </w:rPr>
        <w:t>1,1396</w:t>
      </w:r>
      <w:r w:rsidRPr="00FC493B">
        <w:t xml:space="preserve"> &lt; 2.7, </w:t>
      </w:r>
      <w:r w:rsidR="00D77409" w:rsidRPr="00FC493B">
        <w:rPr>
          <w:i/>
        </w:rPr>
        <w:t>p</w:t>
      </w:r>
      <w:r w:rsidRPr="00FC493B">
        <w:t xml:space="preserve"> = 0.09), although the interaction was significant for the tree swallow (F</w:t>
      </w:r>
      <w:r w:rsidRPr="00FC493B">
        <w:rPr>
          <w:vertAlign w:val="subscript"/>
        </w:rPr>
        <w:t>1,1396</w:t>
      </w:r>
      <w:r w:rsidRPr="00FC493B">
        <w:t xml:space="preserve"> = 5.67, </w:t>
      </w:r>
      <w:r w:rsidR="00D77409" w:rsidRPr="00FC493B">
        <w:rPr>
          <w:i/>
        </w:rPr>
        <w:t>p</w:t>
      </w:r>
      <w:r w:rsidRPr="00FC493B">
        <w:t xml:space="preserve"> = 0.02).</w:t>
      </w:r>
    </w:p>
    <w:p w14:paraId="0D4B37B5" w14:textId="13BDA24E" w:rsidR="00725D15" w:rsidRPr="00FC493B" w:rsidRDefault="00A52928" w:rsidP="00A52928">
      <w:pPr>
        <w:pStyle w:val="MDPI41tablecaption"/>
      </w:pPr>
      <w:r w:rsidRPr="00FC493B">
        <w:rPr>
          <w:b/>
        </w:rPr>
        <w:t xml:space="preserve">Table S4. </w:t>
      </w:r>
      <w:r w:rsidR="00725D15" w:rsidRPr="00FC493B">
        <w:t xml:space="preserve">Estimated effect size (Cohen’s </w:t>
      </w:r>
      <w:r w:rsidR="00725D15" w:rsidRPr="00FC493B">
        <w:rPr>
          <w:i/>
        </w:rPr>
        <w:t>d</w:t>
      </w:r>
      <w:r w:rsidR="00725D15" w:rsidRPr="00FC493B">
        <w:t>) for bias in parameter estimates due to correlated traits</w:t>
      </w:r>
      <w:r w:rsidR="00614A54" w:rsidRPr="00FC493B">
        <w:t xml:space="preserve"> for additional simulation conditions described in the supplement</w:t>
      </w:r>
      <w:r w:rsidR="00725D15" w:rsidRPr="00FC493B">
        <w:t xml:space="preserve">. Values for the main model </w:t>
      </w:r>
      <w:proofErr w:type="gramStart"/>
      <w:r w:rsidR="00725D15" w:rsidRPr="00FC493B">
        <w:t>were re-calculated</w:t>
      </w:r>
      <w:proofErr w:type="gramEnd"/>
      <w:r w:rsidR="00725D15" w:rsidRPr="00FC493B">
        <w:t xml:space="preserve"> using only the correlations of -0.3 and 0.3, for direct comparability with the additional conditions</w:t>
      </w:r>
      <w:r w:rsidR="008C2D1A" w:rsidRPr="00FC493B">
        <w:t xml:space="preserve"> (compared to values in table 2)</w:t>
      </w:r>
      <w:r w:rsidR="00725D15" w:rsidRPr="00FC493B">
        <w:t xml:space="preserve">. </w:t>
      </w:r>
      <w:r w:rsidR="00707120" w:rsidRPr="00FC493B">
        <w:t xml:space="preserve">For populations with a stronger male trait effect, only analysis results for the sperm </w:t>
      </w:r>
      <w:r w:rsidR="00707120" w:rsidRPr="00FC493B">
        <w:lastRenderedPageBreak/>
        <w:t xml:space="preserve">trait </w:t>
      </w:r>
      <w:proofErr w:type="gramStart"/>
      <w:r w:rsidR="00707120" w:rsidRPr="00FC493B">
        <w:t>are given</w:t>
      </w:r>
      <w:proofErr w:type="gramEnd"/>
      <w:r w:rsidR="00707120" w:rsidRPr="00FC493B">
        <w:t xml:space="preserve">, and for populations with a stronger sperm trait effect, only analysis results for the male trait are given. </w:t>
      </w:r>
      <w:r w:rsidR="005C1B95" w:rsidRPr="00FC493B">
        <w:t>WP = within-pair</w:t>
      </w:r>
      <w:r w:rsidRPr="00FC493B">
        <w:t>.</w:t>
      </w:r>
    </w:p>
    <w:tbl>
      <w:tblPr>
        <w:tblStyle w:val="PlainTable4"/>
        <w:tblW w:w="10465" w:type="dxa"/>
        <w:tblBorders>
          <w:top w:val="single" w:sz="8" w:space="0" w:color="auto"/>
        </w:tblBorders>
        <w:shd w:val="clear" w:color="auto" w:fill="FFFFFF" w:themeFill="background1"/>
        <w:tblLayout w:type="fixed"/>
        <w:tblLook w:val="04A0" w:firstRow="1" w:lastRow="0" w:firstColumn="1" w:lastColumn="0" w:noHBand="0" w:noVBand="1"/>
      </w:tblPr>
      <w:tblGrid>
        <w:gridCol w:w="1392"/>
        <w:gridCol w:w="827"/>
        <w:gridCol w:w="850"/>
        <w:gridCol w:w="1934"/>
        <w:gridCol w:w="1485"/>
        <w:gridCol w:w="2191"/>
        <w:gridCol w:w="1786"/>
      </w:tblGrid>
      <w:tr w:rsidR="00A52928" w:rsidRPr="00FC493B" w14:paraId="3CF7A67B" w14:textId="77777777" w:rsidTr="00925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tcBorders>
              <w:top w:val="single" w:sz="8" w:space="0" w:color="auto"/>
              <w:bottom w:val="single" w:sz="8" w:space="0" w:color="auto"/>
            </w:tcBorders>
            <w:shd w:val="clear" w:color="auto" w:fill="FFFFFF" w:themeFill="background1"/>
          </w:tcPr>
          <w:p w14:paraId="19A4D9B2" w14:textId="33CDD100" w:rsidR="00725D15" w:rsidRPr="00FC493B" w:rsidRDefault="003E73FD" w:rsidP="00A52928">
            <w:pPr>
              <w:pStyle w:val="MDPI42tablebody"/>
              <w:autoSpaceDE w:val="0"/>
              <w:autoSpaceDN w:val="0"/>
              <w:spacing w:line="240" w:lineRule="auto"/>
              <w:rPr>
                <w:b w:val="0"/>
              </w:rPr>
            </w:pPr>
            <w:r w:rsidRPr="00FC493B">
              <w:t xml:space="preserve">Analytical </w:t>
            </w:r>
            <w:r w:rsidR="002D25BB" w:rsidRPr="00FC493B">
              <w:t>Approach</w:t>
            </w:r>
          </w:p>
        </w:tc>
        <w:tc>
          <w:tcPr>
            <w:tcW w:w="739" w:type="dxa"/>
            <w:tcBorders>
              <w:top w:val="single" w:sz="8" w:space="0" w:color="auto"/>
              <w:bottom w:val="single" w:sz="8" w:space="0" w:color="auto"/>
            </w:tcBorders>
            <w:shd w:val="clear" w:color="auto" w:fill="FFFFFF" w:themeFill="background1"/>
          </w:tcPr>
          <w:p w14:paraId="64404B51" w14:textId="7C7BC1BD" w:rsidR="00725D15" w:rsidRPr="00FC493B" w:rsidRDefault="00725D15" w:rsidP="00A52928">
            <w:pPr>
              <w:pStyle w:val="MDPI42tablebody"/>
              <w:autoSpaceDE w:val="0"/>
              <w:autoSpaceDN w:val="0"/>
              <w:spacing w:line="240" w:lineRule="auto"/>
              <w:cnfStyle w:val="100000000000" w:firstRow="1" w:lastRow="0" w:firstColumn="0" w:lastColumn="0" w:oddVBand="0" w:evenVBand="0" w:oddHBand="0" w:evenHBand="0" w:firstRowFirstColumn="0" w:firstRowLastColumn="0" w:lastRowFirstColumn="0" w:lastRowLastColumn="0"/>
              <w:rPr>
                <w:b w:val="0"/>
              </w:rPr>
            </w:pPr>
            <w:r w:rsidRPr="00FC493B">
              <w:t xml:space="preserve">Focal </w:t>
            </w:r>
            <w:r w:rsidR="002D25BB" w:rsidRPr="00FC493B">
              <w:t>Trait</w:t>
            </w:r>
          </w:p>
        </w:tc>
        <w:tc>
          <w:tcPr>
            <w:tcW w:w="759" w:type="dxa"/>
            <w:tcBorders>
              <w:top w:val="single" w:sz="8" w:space="0" w:color="auto"/>
              <w:bottom w:val="single" w:sz="8" w:space="0" w:color="auto"/>
            </w:tcBorders>
            <w:shd w:val="clear" w:color="auto" w:fill="FFFFFF" w:themeFill="background1"/>
          </w:tcPr>
          <w:p w14:paraId="11965179" w14:textId="54979DA3" w:rsidR="00725D15" w:rsidRPr="00FC493B" w:rsidRDefault="00725D15" w:rsidP="00A52928">
            <w:pPr>
              <w:pStyle w:val="MDPI42tablebody"/>
              <w:autoSpaceDE w:val="0"/>
              <w:autoSpaceDN w:val="0"/>
              <w:spacing w:line="240" w:lineRule="auto"/>
              <w:cnfStyle w:val="100000000000" w:firstRow="1" w:lastRow="0" w:firstColumn="0" w:lastColumn="0" w:oddVBand="0" w:evenVBand="0" w:oddHBand="0" w:evenHBand="0" w:firstRowFirstColumn="0" w:firstRowLastColumn="0" w:lastRowFirstColumn="0" w:lastRowLastColumn="0"/>
              <w:rPr>
                <w:b w:val="0"/>
              </w:rPr>
            </w:pPr>
            <w:r w:rsidRPr="00FC493B">
              <w:t xml:space="preserve">Main </w:t>
            </w:r>
            <w:r w:rsidR="002D25BB" w:rsidRPr="00FC493B">
              <w:t xml:space="preserve">Model </w:t>
            </w:r>
          </w:p>
        </w:tc>
        <w:tc>
          <w:tcPr>
            <w:tcW w:w="1728" w:type="dxa"/>
            <w:tcBorders>
              <w:top w:val="single" w:sz="8" w:space="0" w:color="auto"/>
              <w:bottom w:val="single" w:sz="8" w:space="0" w:color="auto"/>
            </w:tcBorders>
            <w:shd w:val="clear" w:color="auto" w:fill="FFFFFF" w:themeFill="background1"/>
          </w:tcPr>
          <w:p w14:paraId="4EC049C6" w14:textId="411577C8" w:rsidR="00725D15" w:rsidRPr="00FC493B" w:rsidRDefault="00725D15" w:rsidP="00A52928">
            <w:pPr>
              <w:pStyle w:val="MDPI42tablebody"/>
              <w:autoSpaceDE w:val="0"/>
              <w:autoSpaceDN w:val="0"/>
              <w:spacing w:line="240" w:lineRule="auto"/>
              <w:cnfStyle w:val="100000000000" w:firstRow="1" w:lastRow="0" w:firstColumn="0" w:lastColumn="0" w:oddVBand="0" w:evenVBand="0" w:oddHBand="0" w:evenHBand="0" w:firstRowFirstColumn="0" w:firstRowLastColumn="0" w:lastRowFirstColumn="0" w:lastRowLastColumn="0"/>
              <w:rPr>
                <w:b w:val="0"/>
              </w:rPr>
            </w:pPr>
            <w:r w:rsidRPr="00FC493B">
              <w:t xml:space="preserve">No </w:t>
            </w:r>
            <w:r w:rsidR="002D25BB" w:rsidRPr="00FC493B">
              <w:t xml:space="preserve">Male Trait Effect </w:t>
            </w:r>
            <w:r w:rsidR="00614A54" w:rsidRPr="00FC493B">
              <w:t>WP</w:t>
            </w:r>
            <w:r w:rsidR="005C1B95" w:rsidRPr="00FC493B">
              <w:t xml:space="preserve"> </w:t>
            </w:r>
            <w:r w:rsidR="002D25BB" w:rsidRPr="00FC493B">
              <w:t xml:space="preserve">Copulation </w:t>
            </w:r>
          </w:p>
        </w:tc>
        <w:tc>
          <w:tcPr>
            <w:tcW w:w="1327" w:type="dxa"/>
            <w:tcBorders>
              <w:top w:val="single" w:sz="8" w:space="0" w:color="auto"/>
              <w:bottom w:val="single" w:sz="8" w:space="0" w:color="auto"/>
            </w:tcBorders>
            <w:shd w:val="clear" w:color="auto" w:fill="FFFFFF" w:themeFill="background1"/>
          </w:tcPr>
          <w:p w14:paraId="41DB2153" w14:textId="26195323" w:rsidR="00725D15" w:rsidRPr="00FC493B" w:rsidRDefault="00725D15" w:rsidP="00A52928">
            <w:pPr>
              <w:pStyle w:val="MDPI42tablebody"/>
              <w:autoSpaceDE w:val="0"/>
              <w:autoSpaceDN w:val="0"/>
              <w:spacing w:line="240" w:lineRule="auto"/>
              <w:cnfStyle w:val="100000000000" w:firstRow="1" w:lastRow="0" w:firstColumn="0" w:lastColumn="0" w:oddVBand="0" w:evenVBand="0" w:oddHBand="0" w:evenHBand="0" w:firstRowFirstColumn="0" w:firstRowLastColumn="0" w:lastRowFirstColumn="0" w:lastRowLastColumn="0"/>
              <w:rPr>
                <w:b w:val="0"/>
              </w:rPr>
            </w:pPr>
            <w:r w:rsidRPr="00FC493B">
              <w:t xml:space="preserve">No </w:t>
            </w:r>
            <w:r w:rsidR="002D25BB" w:rsidRPr="00FC493B">
              <w:t>Spatial Constraints</w:t>
            </w:r>
          </w:p>
        </w:tc>
        <w:tc>
          <w:tcPr>
            <w:tcW w:w="1958" w:type="dxa"/>
            <w:tcBorders>
              <w:top w:val="single" w:sz="8" w:space="0" w:color="auto"/>
              <w:bottom w:val="single" w:sz="8" w:space="0" w:color="auto"/>
            </w:tcBorders>
            <w:shd w:val="clear" w:color="auto" w:fill="FFFFFF" w:themeFill="background1"/>
          </w:tcPr>
          <w:p w14:paraId="0E9A3251" w14:textId="24228D73" w:rsidR="00725D15" w:rsidRPr="00FC493B" w:rsidRDefault="00725D15" w:rsidP="00A52928">
            <w:pPr>
              <w:pStyle w:val="MDPI42tablebody"/>
              <w:autoSpaceDE w:val="0"/>
              <w:autoSpaceDN w:val="0"/>
              <w:spacing w:line="240" w:lineRule="auto"/>
              <w:cnfStyle w:val="100000000000" w:firstRow="1" w:lastRow="0" w:firstColumn="0" w:lastColumn="0" w:oddVBand="0" w:evenVBand="0" w:oddHBand="0" w:evenHBand="0" w:firstRowFirstColumn="0" w:firstRowLastColumn="0" w:lastRowFirstColumn="0" w:lastRowLastColumn="0"/>
              <w:rPr>
                <w:b w:val="0"/>
              </w:rPr>
            </w:pPr>
            <w:r w:rsidRPr="00FC493B">
              <w:t xml:space="preserve">No </w:t>
            </w:r>
            <w:r w:rsidR="002D25BB" w:rsidRPr="00FC493B">
              <w:t xml:space="preserve">Sperm Trait Effect </w:t>
            </w:r>
            <w:r w:rsidR="005C1B95" w:rsidRPr="00FC493B">
              <w:t xml:space="preserve">on WP </w:t>
            </w:r>
            <w:r w:rsidR="002D25BB" w:rsidRPr="00FC493B">
              <w:t>Fertilization</w:t>
            </w:r>
          </w:p>
        </w:tc>
        <w:tc>
          <w:tcPr>
            <w:tcW w:w="1596" w:type="dxa"/>
            <w:tcBorders>
              <w:top w:val="single" w:sz="8" w:space="0" w:color="auto"/>
              <w:bottom w:val="single" w:sz="8" w:space="0" w:color="auto"/>
            </w:tcBorders>
            <w:shd w:val="clear" w:color="auto" w:fill="FFFFFF" w:themeFill="background1"/>
          </w:tcPr>
          <w:p w14:paraId="4C88F3A4" w14:textId="3E61AF8F" w:rsidR="00725D15" w:rsidRPr="00FC493B" w:rsidRDefault="00725D15" w:rsidP="00A52928">
            <w:pPr>
              <w:pStyle w:val="MDPI42tablebody"/>
              <w:autoSpaceDE w:val="0"/>
              <w:autoSpaceDN w:val="0"/>
              <w:spacing w:line="240" w:lineRule="auto"/>
              <w:cnfStyle w:val="100000000000" w:firstRow="1" w:lastRow="0" w:firstColumn="0" w:lastColumn="0" w:oddVBand="0" w:evenVBand="0" w:oddHBand="0" w:evenHBand="0" w:firstRowFirstColumn="0" w:firstRowLastColumn="0" w:lastRowFirstColumn="0" w:lastRowLastColumn="0"/>
              <w:rPr>
                <w:b w:val="0"/>
              </w:rPr>
            </w:pPr>
            <w:r w:rsidRPr="00FC493B">
              <w:t xml:space="preserve">Stronger </w:t>
            </w:r>
            <w:r w:rsidR="002D25BB" w:rsidRPr="00FC493B">
              <w:t xml:space="preserve">Male </w:t>
            </w:r>
            <w:r w:rsidRPr="00FC493B">
              <w:t xml:space="preserve">or </w:t>
            </w:r>
            <w:r w:rsidR="002D25BB" w:rsidRPr="00FC493B">
              <w:t>Sperm Trait Effect</w:t>
            </w:r>
          </w:p>
        </w:tc>
      </w:tr>
      <w:tr w:rsidR="00725D15" w:rsidRPr="00FC493B" w14:paraId="28304439"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7"/>
            <w:tcBorders>
              <w:top w:val="single" w:sz="8" w:space="0" w:color="auto"/>
            </w:tcBorders>
            <w:shd w:val="clear" w:color="auto" w:fill="FFFFFF" w:themeFill="background1"/>
          </w:tcPr>
          <w:p w14:paraId="03BA969A" w14:textId="77777777" w:rsidR="00725D15" w:rsidRPr="00FC493B" w:rsidRDefault="00725D15" w:rsidP="00A52928">
            <w:pPr>
              <w:pStyle w:val="MDPI42tablebody"/>
              <w:autoSpaceDE w:val="0"/>
              <w:autoSpaceDN w:val="0"/>
              <w:spacing w:line="240" w:lineRule="auto"/>
            </w:pPr>
            <w:r w:rsidRPr="00FC493B">
              <w:t>Unpaired t-test: cuckolded vs. not cuckolded within-pair males</w:t>
            </w:r>
          </w:p>
        </w:tc>
      </w:tr>
      <w:tr w:rsidR="00725D15" w:rsidRPr="00FC493B" w14:paraId="7C44045C" w14:textId="77777777" w:rsidTr="00925D73">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5EB613F9"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0A292C6C"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Male trait</w:t>
            </w:r>
          </w:p>
        </w:tc>
        <w:tc>
          <w:tcPr>
            <w:tcW w:w="759" w:type="dxa"/>
            <w:shd w:val="clear" w:color="auto" w:fill="FFFFFF" w:themeFill="background1"/>
          </w:tcPr>
          <w:p w14:paraId="6899F377"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rPr>
                <w:rFonts w:cstheme="minorHAnsi"/>
              </w:rPr>
              <w:t>0.11</w:t>
            </w:r>
          </w:p>
        </w:tc>
        <w:tc>
          <w:tcPr>
            <w:tcW w:w="1728" w:type="dxa"/>
            <w:shd w:val="clear" w:color="auto" w:fill="FFFFFF" w:themeFill="background1"/>
          </w:tcPr>
          <w:p w14:paraId="751DF9F6"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0.19</w:t>
            </w:r>
          </w:p>
        </w:tc>
        <w:tc>
          <w:tcPr>
            <w:tcW w:w="1327" w:type="dxa"/>
            <w:shd w:val="clear" w:color="auto" w:fill="FFFFFF" w:themeFill="background1"/>
          </w:tcPr>
          <w:p w14:paraId="1A0B5B7D"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0.10</w:t>
            </w:r>
          </w:p>
        </w:tc>
        <w:tc>
          <w:tcPr>
            <w:tcW w:w="1958" w:type="dxa"/>
            <w:shd w:val="clear" w:color="auto" w:fill="FFFFFF" w:themeFill="background1"/>
          </w:tcPr>
          <w:p w14:paraId="40C18D79"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0.02</w:t>
            </w:r>
          </w:p>
        </w:tc>
        <w:tc>
          <w:tcPr>
            <w:tcW w:w="1596" w:type="dxa"/>
            <w:shd w:val="clear" w:color="auto" w:fill="FFFFFF" w:themeFill="background1"/>
          </w:tcPr>
          <w:p w14:paraId="5C5D243C"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0.12</w:t>
            </w:r>
          </w:p>
        </w:tc>
      </w:tr>
      <w:tr w:rsidR="00725D15" w:rsidRPr="00FC493B" w14:paraId="790443AE"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58683335"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308166C6"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Sperm trait</w:t>
            </w:r>
          </w:p>
        </w:tc>
        <w:tc>
          <w:tcPr>
            <w:tcW w:w="759" w:type="dxa"/>
            <w:shd w:val="clear" w:color="auto" w:fill="FFFFFF" w:themeFill="background1"/>
          </w:tcPr>
          <w:p w14:paraId="6F5090B2"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rPr>
                <w:rFonts w:cstheme="minorHAnsi"/>
              </w:rPr>
              <w:t>2.46</w:t>
            </w:r>
          </w:p>
        </w:tc>
        <w:tc>
          <w:tcPr>
            <w:tcW w:w="1728" w:type="dxa"/>
            <w:shd w:val="clear" w:color="auto" w:fill="FFFFFF" w:themeFill="background1"/>
          </w:tcPr>
          <w:p w14:paraId="00CBE38B"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-0.03</w:t>
            </w:r>
          </w:p>
        </w:tc>
        <w:tc>
          <w:tcPr>
            <w:tcW w:w="1327" w:type="dxa"/>
            <w:shd w:val="clear" w:color="auto" w:fill="FFFFFF" w:themeFill="background1"/>
          </w:tcPr>
          <w:p w14:paraId="28E50E1C"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r w:rsidRPr="00FC493B">
              <w:rPr>
                <w:rFonts w:cstheme="minorHAnsi"/>
              </w:rPr>
              <w:t>2.47</w:t>
            </w:r>
          </w:p>
        </w:tc>
        <w:tc>
          <w:tcPr>
            <w:tcW w:w="1958" w:type="dxa"/>
            <w:shd w:val="clear" w:color="auto" w:fill="FFFFFF" w:themeFill="background1"/>
          </w:tcPr>
          <w:p w14:paraId="765B0E01"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r w:rsidRPr="00FC493B">
              <w:rPr>
                <w:rFonts w:cstheme="minorHAnsi"/>
              </w:rPr>
              <w:t>2.60</w:t>
            </w:r>
          </w:p>
        </w:tc>
        <w:tc>
          <w:tcPr>
            <w:tcW w:w="1596" w:type="dxa"/>
            <w:shd w:val="clear" w:color="auto" w:fill="FFFFFF" w:themeFill="background1"/>
          </w:tcPr>
          <w:p w14:paraId="1E352CCC"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r w:rsidRPr="00FC493B">
              <w:rPr>
                <w:rFonts w:cstheme="minorHAnsi"/>
              </w:rPr>
              <w:t>1.38</w:t>
            </w:r>
          </w:p>
        </w:tc>
      </w:tr>
      <w:tr w:rsidR="00707120" w:rsidRPr="00FC493B" w14:paraId="4715966C" w14:textId="77777777" w:rsidTr="00925D73">
        <w:tc>
          <w:tcPr>
            <w:cnfStyle w:val="001000000000" w:firstRow="0" w:lastRow="0" w:firstColumn="1" w:lastColumn="0" w:oddVBand="0" w:evenVBand="0" w:oddHBand="0" w:evenHBand="0" w:firstRowFirstColumn="0" w:firstRowLastColumn="0" w:lastRowFirstColumn="0" w:lastRowLastColumn="0"/>
            <w:tcW w:w="9350" w:type="dxa"/>
            <w:gridSpan w:val="7"/>
            <w:shd w:val="clear" w:color="auto" w:fill="FFFFFF" w:themeFill="background1"/>
          </w:tcPr>
          <w:p w14:paraId="798038F2" w14:textId="340124CF" w:rsidR="00707120" w:rsidRPr="00FC493B" w:rsidRDefault="00707120" w:rsidP="00A52928">
            <w:pPr>
              <w:pStyle w:val="MDPI42tablebody"/>
              <w:autoSpaceDE w:val="0"/>
              <w:autoSpaceDN w:val="0"/>
              <w:spacing w:line="240" w:lineRule="auto"/>
              <w:rPr>
                <w:rFonts w:cstheme="minorHAnsi"/>
              </w:rPr>
            </w:pPr>
            <w:r w:rsidRPr="00FC493B">
              <w:rPr>
                <w:rFonts w:cstheme="minorHAnsi"/>
              </w:rPr>
              <w:t>Unpaired t-test: males that sired vs. did not sire extra-pair offspring in other nests</w:t>
            </w:r>
          </w:p>
        </w:tc>
      </w:tr>
      <w:tr w:rsidR="00725D15" w:rsidRPr="00FC493B" w14:paraId="5CE58EF2"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2238867A"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6D8BB69B"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Male trait</w:t>
            </w:r>
          </w:p>
        </w:tc>
        <w:tc>
          <w:tcPr>
            <w:tcW w:w="759" w:type="dxa"/>
            <w:shd w:val="clear" w:color="auto" w:fill="FFFFFF" w:themeFill="background1"/>
          </w:tcPr>
          <w:p w14:paraId="23E952AB"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r w:rsidRPr="00FC493B">
              <w:t>0.28</w:t>
            </w:r>
          </w:p>
        </w:tc>
        <w:tc>
          <w:tcPr>
            <w:tcW w:w="1728" w:type="dxa"/>
            <w:shd w:val="clear" w:color="auto" w:fill="FFFFFF" w:themeFill="background1"/>
          </w:tcPr>
          <w:p w14:paraId="4915356C"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r w:rsidRPr="00FC493B">
              <w:rPr>
                <w:rFonts w:cstheme="minorHAnsi"/>
              </w:rPr>
              <w:t>0.24</w:t>
            </w:r>
          </w:p>
        </w:tc>
        <w:tc>
          <w:tcPr>
            <w:tcW w:w="1327" w:type="dxa"/>
            <w:shd w:val="clear" w:color="auto" w:fill="FFFFFF" w:themeFill="background1"/>
          </w:tcPr>
          <w:p w14:paraId="4DAF5F21"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r w:rsidRPr="00FC493B">
              <w:rPr>
                <w:rFonts w:cstheme="minorHAnsi"/>
              </w:rPr>
              <w:t>0.25</w:t>
            </w:r>
          </w:p>
        </w:tc>
        <w:tc>
          <w:tcPr>
            <w:tcW w:w="1958" w:type="dxa"/>
            <w:shd w:val="clear" w:color="auto" w:fill="FFFFFF" w:themeFill="background1"/>
          </w:tcPr>
          <w:p w14:paraId="5BE1483B"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r w:rsidRPr="00FC493B">
              <w:rPr>
                <w:rFonts w:cstheme="minorHAnsi"/>
              </w:rPr>
              <w:t>0.13</w:t>
            </w:r>
          </w:p>
        </w:tc>
        <w:tc>
          <w:tcPr>
            <w:tcW w:w="1596" w:type="dxa"/>
            <w:shd w:val="clear" w:color="auto" w:fill="FFFFFF" w:themeFill="background1"/>
          </w:tcPr>
          <w:p w14:paraId="6C9CF811"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r w:rsidRPr="00FC493B">
              <w:rPr>
                <w:rFonts w:cstheme="minorHAnsi"/>
              </w:rPr>
              <w:t>0.58</w:t>
            </w:r>
          </w:p>
        </w:tc>
      </w:tr>
      <w:tr w:rsidR="00725D15" w:rsidRPr="00FC493B" w14:paraId="1529072E" w14:textId="77777777" w:rsidTr="00925D73">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6DA9D3F8"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2735CD2D"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Sperm trait</w:t>
            </w:r>
          </w:p>
        </w:tc>
        <w:tc>
          <w:tcPr>
            <w:tcW w:w="759" w:type="dxa"/>
            <w:shd w:val="clear" w:color="auto" w:fill="FFFFFF" w:themeFill="background1"/>
          </w:tcPr>
          <w:p w14:paraId="560D0965"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FC493B">
              <w:t>0.76</w:t>
            </w:r>
          </w:p>
        </w:tc>
        <w:tc>
          <w:tcPr>
            <w:tcW w:w="1728" w:type="dxa"/>
            <w:shd w:val="clear" w:color="auto" w:fill="FFFFFF" w:themeFill="background1"/>
          </w:tcPr>
          <w:p w14:paraId="4D2E3D8F"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FC493B">
              <w:rPr>
                <w:rFonts w:cstheme="minorHAnsi"/>
              </w:rPr>
              <w:t>0.72</w:t>
            </w:r>
          </w:p>
        </w:tc>
        <w:tc>
          <w:tcPr>
            <w:tcW w:w="1327" w:type="dxa"/>
            <w:shd w:val="clear" w:color="auto" w:fill="FFFFFF" w:themeFill="background1"/>
          </w:tcPr>
          <w:p w14:paraId="01FC76F0"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FC493B">
              <w:rPr>
                <w:rFonts w:cstheme="minorHAnsi"/>
              </w:rPr>
              <w:t>0.67</w:t>
            </w:r>
          </w:p>
        </w:tc>
        <w:tc>
          <w:tcPr>
            <w:tcW w:w="1958" w:type="dxa"/>
            <w:shd w:val="clear" w:color="auto" w:fill="FFFFFF" w:themeFill="background1"/>
          </w:tcPr>
          <w:p w14:paraId="4D6B7C73"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FC493B">
              <w:rPr>
                <w:rFonts w:cstheme="minorHAnsi"/>
              </w:rPr>
              <w:t>0.82</w:t>
            </w:r>
          </w:p>
        </w:tc>
        <w:tc>
          <w:tcPr>
            <w:tcW w:w="1596" w:type="dxa"/>
            <w:shd w:val="clear" w:color="auto" w:fill="FFFFFF" w:themeFill="background1"/>
          </w:tcPr>
          <w:p w14:paraId="2F922883"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cstheme="minorHAnsi"/>
              </w:rPr>
            </w:pPr>
            <w:r w:rsidRPr="00FC493B">
              <w:rPr>
                <w:rFonts w:cstheme="minorHAnsi"/>
              </w:rPr>
              <w:t>2.32*</w:t>
            </w:r>
          </w:p>
        </w:tc>
      </w:tr>
      <w:tr w:rsidR="00725D15" w:rsidRPr="00FC493B" w14:paraId="796322C5"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7"/>
            <w:shd w:val="clear" w:color="auto" w:fill="FFFFFF" w:themeFill="background1"/>
          </w:tcPr>
          <w:p w14:paraId="62051E2A" w14:textId="77777777" w:rsidR="00725D15" w:rsidRPr="00FC493B" w:rsidRDefault="00725D15" w:rsidP="00A52928">
            <w:pPr>
              <w:pStyle w:val="MDPI42tablebody"/>
              <w:autoSpaceDE w:val="0"/>
              <w:autoSpaceDN w:val="0"/>
              <w:spacing w:line="240" w:lineRule="auto"/>
              <w:rPr>
                <w:rFonts w:cstheme="minorHAnsi"/>
              </w:rPr>
            </w:pPr>
            <w:r w:rsidRPr="00FC493B">
              <w:rPr>
                <w:rFonts w:cstheme="minorHAnsi"/>
              </w:rPr>
              <w:t>Paired t-test: extra-pair males and the within-pair males they cuckolded</w:t>
            </w:r>
          </w:p>
        </w:tc>
      </w:tr>
      <w:tr w:rsidR="00725D15" w:rsidRPr="00FC493B" w14:paraId="1136E2E3" w14:textId="77777777" w:rsidTr="00925D73">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6B39E6E2"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275B6E1B"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Male trait</w:t>
            </w:r>
          </w:p>
        </w:tc>
        <w:tc>
          <w:tcPr>
            <w:tcW w:w="759" w:type="dxa"/>
            <w:shd w:val="clear" w:color="auto" w:fill="FFFFFF" w:themeFill="background1"/>
          </w:tcPr>
          <w:p w14:paraId="799BBAFA"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0.15</w:t>
            </w:r>
          </w:p>
        </w:tc>
        <w:tc>
          <w:tcPr>
            <w:tcW w:w="1728" w:type="dxa"/>
            <w:shd w:val="clear" w:color="auto" w:fill="FFFFFF" w:themeFill="background1"/>
          </w:tcPr>
          <w:p w14:paraId="6660F95C"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0.35</w:t>
            </w:r>
          </w:p>
        </w:tc>
        <w:tc>
          <w:tcPr>
            <w:tcW w:w="1327" w:type="dxa"/>
            <w:shd w:val="clear" w:color="auto" w:fill="FFFFFF" w:themeFill="background1"/>
          </w:tcPr>
          <w:p w14:paraId="314B3808"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0.16</w:t>
            </w:r>
          </w:p>
        </w:tc>
        <w:tc>
          <w:tcPr>
            <w:tcW w:w="1958" w:type="dxa"/>
            <w:shd w:val="clear" w:color="auto" w:fill="FFFFFF" w:themeFill="background1"/>
          </w:tcPr>
          <w:p w14:paraId="2DB15D2E"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0.07</w:t>
            </w:r>
          </w:p>
        </w:tc>
        <w:tc>
          <w:tcPr>
            <w:tcW w:w="1596" w:type="dxa"/>
            <w:shd w:val="clear" w:color="auto" w:fill="FFFFFF" w:themeFill="background1"/>
          </w:tcPr>
          <w:p w14:paraId="08507220"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0.27</w:t>
            </w:r>
          </w:p>
        </w:tc>
      </w:tr>
      <w:tr w:rsidR="00725D15" w:rsidRPr="00FC493B" w14:paraId="530F12D6"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01AAC6DB"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0F9B6F5E"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Sperm trait</w:t>
            </w:r>
          </w:p>
        </w:tc>
        <w:tc>
          <w:tcPr>
            <w:tcW w:w="759" w:type="dxa"/>
            <w:shd w:val="clear" w:color="auto" w:fill="FFFFFF" w:themeFill="background1"/>
          </w:tcPr>
          <w:p w14:paraId="590C1848"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1.94</w:t>
            </w:r>
          </w:p>
        </w:tc>
        <w:tc>
          <w:tcPr>
            <w:tcW w:w="1728" w:type="dxa"/>
            <w:shd w:val="clear" w:color="auto" w:fill="FFFFFF" w:themeFill="background1"/>
          </w:tcPr>
          <w:p w14:paraId="400C564D"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0.47</w:t>
            </w:r>
          </w:p>
        </w:tc>
        <w:tc>
          <w:tcPr>
            <w:tcW w:w="1327" w:type="dxa"/>
            <w:shd w:val="clear" w:color="auto" w:fill="FFFFFF" w:themeFill="background1"/>
          </w:tcPr>
          <w:p w14:paraId="3457A123"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1.86</w:t>
            </w:r>
          </w:p>
        </w:tc>
        <w:tc>
          <w:tcPr>
            <w:tcW w:w="1958" w:type="dxa"/>
            <w:shd w:val="clear" w:color="auto" w:fill="FFFFFF" w:themeFill="background1"/>
          </w:tcPr>
          <w:p w14:paraId="20CD9B67"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2.11</w:t>
            </w:r>
          </w:p>
        </w:tc>
        <w:tc>
          <w:tcPr>
            <w:tcW w:w="1596" w:type="dxa"/>
            <w:shd w:val="clear" w:color="auto" w:fill="FFFFFF" w:themeFill="background1"/>
          </w:tcPr>
          <w:p w14:paraId="0ACF702D"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2.50*</w:t>
            </w:r>
          </w:p>
        </w:tc>
      </w:tr>
      <w:tr w:rsidR="00725D15" w:rsidRPr="00FC493B" w14:paraId="6D192868" w14:textId="77777777" w:rsidTr="00925D73">
        <w:tc>
          <w:tcPr>
            <w:cnfStyle w:val="001000000000" w:firstRow="0" w:lastRow="0" w:firstColumn="1" w:lastColumn="0" w:oddVBand="0" w:evenVBand="0" w:oddHBand="0" w:evenHBand="0" w:firstRowFirstColumn="0" w:firstRowLastColumn="0" w:lastRowFirstColumn="0" w:lastRowLastColumn="0"/>
            <w:tcW w:w="9350" w:type="dxa"/>
            <w:gridSpan w:val="7"/>
            <w:shd w:val="clear" w:color="auto" w:fill="FFFFFF" w:themeFill="background1"/>
          </w:tcPr>
          <w:p w14:paraId="04528731" w14:textId="77777777" w:rsidR="00725D15" w:rsidRPr="00FC493B" w:rsidRDefault="00725D15" w:rsidP="00A52928">
            <w:pPr>
              <w:pStyle w:val="MDPI42tablebody"/>
              <w:autoSpaceDE w:val="0"/>
              <w:autoSpaceDN w:val="0"/>
              <w:spacing w:line="240" w:lineRule="auto"/>
            </w:pPr>
            <w:r w:rsidRPr="00FC493B">
              <w:t>Univariate selection gradient: offspring produced regressed on one trait</w:t>
            </w:r>
          </w:p>
        </w:tc>
      </w:tr>
      <w:tr w:rsidR="00725D15" w:rsidRPr="00FC493B" w14:paraId="5D842D0E"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7930142A"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44828F29"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Male trait</w:t>
            </w:r>
          </w:p>
        </w:tc>
        <w:tc>
          <w:tcPr>
            <w:tcW w:w="759" w:type="dxa"/>
            <w:shd w:val="clear" w:color="auto" w:fill="FFFFFF" w:themeFill="background1"/>
          </w:tcPr>
          <w:p w14:paraId="5FBAF421"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0.26</w:t>
            </w:r>
          </w:p>
        </w:tc>
        <w:tc>
          <w:tcPr>
            <w:tcW w:w="1728" w:type="dxa"/>
            <w:shd w:val="clear" w:color="auto" w:fill="FFFFFF" w:themeFill="background1"/>
          </w:tcPr>
          <w:p w14:paraId="223486D5"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0.43</w:t>
            </w:r>
          </w:p>
        </w:tc>
        <w:tc>
          <w:tcPr>
            <w:tcW w:w="1327" w:type="dxa"/>
            <w:shd w:val="clear" w:color="auto" w:fill="FFFFFF" w:themeFill="background1"/>
          </w:tcPr>
          <w:p w14:paraId="542561FC"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0.27</w:t>
            </w:r>
          </w:p>
        </w:tc>
        <w:tc>
          <w:tcPr>
            <w:tcW w:w="1958" w:type="dxa"/>
            <w:shd w:val="clear" w:color="auto" w:fill="FFFFFF" w:themeFill="background1"/>
          </w:tcPr>
          <w:p w14:paraId="392CDAC3"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0.05</w:t>
            </w:r>
          </w:p>
        </w:tc>
        <w:tc>
          <w:tcPr>
            <w:tcW w:w="1596" w:type="dxa"/>
            <w:shd w:val="clear" w:color="auto" w:fill="FFFFFF" w:themeFill="background1"/>
          </w:tcPr>
          <w:p w14:paraId="08D138FE"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0.37</w:t>
            </w:r>
          </w:p>
        </w:tc>
      </w:tr>
      <w:tr w:rsidR="00725D15" w:rsidRPr="00FC493B" w14:paraId="0563FD5E" w14:textId="77777777" w:rsidTr="00925D73">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32C1688C"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40D4A35E"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Sperm trait</w:t>
            </w:r>
          </w:p>
        </w:tc>
        <w:tc>
          <w:tcPr>
            <w:tcW w:w="759" w:type="dxa"/>
            <w:shd w:val="clear" w:color="auto" w:fill="FFFFFF" w:themeFill="background1"/>
          </w:tcPr>
          <w:p w14:paraId="388C2531"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1.33</w:t>
            </w:r>
          </w:p>
        </w:tc>
        <w:tc>
          <w:tcPr>
            <w:tcW w:w="1728" w:type="dxa"/>
            <w:shd w:val="clear" w:color="auto" w:fill="FFFFFF" w:themeFill="background1"/>
          </w:tcPr>
          <w:p w14:paraId="737B8CAF"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0.37</w:t>
            </w:r>
          </w:p>
        </w:tc>
        <w:tc>
          <w:tcPr>
            <w:tcW w:w="1327" w:type="dxa"/>
            <w:shd w:val="clear" w:color="auto" w:fill="FFFFFF" w:themeFill="background1"/>
          </w:tcPr>
          <w:p w14:paraId="65D10524"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1.29</w:t>
            </w:r>
          </w:p>
        </w:tc>
        <w:tc>
          <w:tcPr>
            <w:tcW w:w="1958" w:type="dxa"/>
            <w:shd w:val="clear" w:color="auto" w:fill="FFFFFF" w:themeFill="background1"/>
          </w:tcPr>
          <w:p w14:paraId="1EBF21C1"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1.55</w:t>
            </w:r>
          </w:p>
        </w:tc>
        <w:tc>
          <w:tcPr>
            <w:tcW w:w="1596" w:type="dxa"/>
            <w:shd w:val="clear" w:color="auto" w:fill="FFFFFF" w:themeFill="background1"/>
          </w:tcPr>
          <w:p w14:paraId="257E9D44"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1.70</w:t>
            </w:r>
          </w:p>
        </w:tc>
      </w:tr>
      <w:tr w:rsidR="00725D15" w:rsidRPr="00FC493B" w14:paraId="3E201460"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7"/>
            <w:shd w:val="clear" w:color="auto" w:fill="FFFFFF" w:themeFill="background1"/>
          </w:tcPr>
          <w:p w14:paraId="67FBB372" w14:textId="77777777" w:rsidR="00725D15" w:rsidRPr="00FC493B" w:rsidRDefault="00725D15" w:rsidP="00A52928">
            <w:pPr>
              <w:pStyle w:val="MDPI42tablebody"/>
              <w:autoSpaceDE w:val="0"/>
              <w:autoSpaceDN w:val="0"/>
              <w:spacing w:line="240" w:lineRule="auto"/>
            </w:pPr>
            <w:r w:rsidRPr="00FC493B">
              <w:t>Multivariate selection gradient: offspring produced regressed on both traits</w:t>
            </w:r>
          </w:p>
        </w:tc>
      </w:tr>
      <w:tr w:rsidR="00725D15" w:rsidRPr="00FC493B" w14:paraId="7DCB98EF" w14:textId="77777777" w:rsidTr="00925D73">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6FBA794B"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5FCC2AF4"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Male trait</w:t>
            </w:r>
          </w:p>
        </w:tc>
        <w:tc>
          <w:tcPr>
            <w:tcW w:w="759" w:type="dxa"/>
            <w:shd w:val="clear" w:color="auto" w:fill="FFFFFF" w:themeFill="background1"/>
          </w:tcPr>
          <w:p w14:paraId="3698C475"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0.03</w:t>
            </w:r>
          </w:p>
        </w:tc>
        <w:tc>
          <w:tcPr>
            <w:tcW w:w="1728" w:type="dxa"/>
            <w:shd w:val="clear" w:color="auto" w:fill="FFFFFF" w:themeFill="background1"/>
          </w:tcPr>
          <w:p w14:paraId="1DB592F9" w14:textId="79E5756F" w:rsidR="00725D15" w:rsidRPr="00FC493B" w:rsidRDefault="00FC493B"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t>−</w:t>
            </w:r>
            <w:r w:rsidR="00725D15" w:rsidRPr="00FC493B">
              <w:t>0.02</w:t>
            </w:r>
          </w:p>
        </w:tc>
        <w:tc>
          <w:tcPr>
            <w:tcW w:w="1327" w:type="dxa"/>
            <w:shd w:val="clear" w:color="auto" w:fill="FFFFFF" w:themeFill="background1"/>
          </w:tcPr>
          <w:p w14:paraId="59D42576"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0.03</w:t>
            </w:r>
          </w:p>
        </w:tc>
        <w:tc>
          <w:tcPr>
            <w:tcW w:w="1958" w:type="dxa"/>
            <w:shd w:val="clear" w:color="auto" w:fill="FFFFFF" w:themeFill="background1"/>
          </w:tcPr>
          <w:p w14:paraId="3AADF2E3" w14:textId="01558391" w:rsidR="00725D15" w:rsidRPr="00FC493B" w:rsidRDefault="00FC493B"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t>−</w:t>
            </w:r>
            <w:r w:rsidR="00725D15" w:rsidRPr="00FC493B">
              <w:t>0.001</w:t>
            </w:r>
          </w:p>
        </w:tc>
        <w:tc>
          <w:tcPr>
            <w:tcW w:w="1596" w:type="dxa"/>
            <w:shd w:val="clear" w:color="auto" w:fill="FFFFFF" w:themeFill="background1"/>
          </w:tcPr>
          <w:p w14:paraId="3E4BD232" w14:textId="77777777" w:rsidR="00725D15" w:rsidRPr="00FC493B" w:rsidRDefault="00725D15" w:rsidP="00A52928">
            <w:pPr>
              <w:pStyle w:val="MDPI42tablebody"/>
              <w:autoSpaceDE w:val="0"/>
              <w:autoSpaceDN w:val="0"/>
              <w:spacing w:line="240" w:lineRule="auto"/>
              <w:cnfStyle w:val="000000000000" w:firstRow="0" w:lastRow="0" w:firstColumn="0" w:lastColumn="0" w:oddVBand="0" w:evenVBand="0" w:oddHBand="0" w:evenHBand="0" w:firstRowFirstColumn="0" w:firstRowLastColumn="0" w:lastRowFirstColumn="0" w:lastRowLastColumn="0"/>
            </w:pPr>
            <w:r w:rsidRPr="00FC493B">
              <w:t>0.01</w:t>
            </w:r>
          </w:p>
        </w:tc>
      </w:tr>
      <w:tr w:rsidR="00725D15" w:rsidRPr="00FC493B" w14:paraId="4451A1AC"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06B701B0"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35C86FF7"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Sperm trait</w:t>
            </w:r>
          </w:p>
        </w:tc>
        <w:tc>
          <w:tcPr>
            <w:tcW w:w="759" w:type="dxa"/>
            <w:shd w:val="clear" w:color="auto" w:fill="FFFFFF" w:themeFill="background1"/>
          </w:tcPr>
          <w:p w14:paraId="657C24F4"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0.07</w:t>
            </w:r>
          </w:p>
        </w:tc>
        <w:tc>
          <w:tcPr>
            <w:tcW w:w="1728" w:type="dxa"/>
            <w:shd w:val="clear" w:color="auto" w:fill="FFFFFF" w:themeFill="background1"/>
          </w:tcPr>
          <w:p w14:paraId="66A296C1" w14:textId="081452BD" w:rsidR="00725D15" w:rsidRPr="00FC493B" w:rsidRDefault="00FC493B"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t>−</w:t>
            </w:r>
            <w:r w:rsidR="00725D15" w:rsidRPr="00FC493B">
              <w:t>0.02</w:t>
            </w:r>
          </w:p>
        </w:tc>
        <w:tc>
          <w:tcPr>
            <w:tcW w:w="1327" w:type="dxa"/>
            <w:shd w:val="clear" w:color="auto" w:fill="FFFFFF" w:themeFill="background1"/>
          </w:tcPr>
          <w:p w14:paraId="067E5C75"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0.04</w:t>
            </w:r>
          </w:p>
        </w:tc>
        <w:tc>
          <w:tcPr>
            <w:tcW w:w="1958" w:type="dxa"/>
            <w:shd w:val="clear" w:color="auto" w:fill="FFFFFF" w:themeFill="background1"/>
          </w:tcPr>
          <w:p w14:paraId="38ADAF06" w14:textId="12275FBC" w:rsidR="00725D15" w:rsidRPr="00FC493B" w:rsidRDefault="00FC493B"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t>−</w:t>
            </w:r>
            <w:r w:rsidR="00725D15" w:rsidRPr="00FC493B">
              <w:t>0.01</w:t>
            </w:r>
          </w:p>
        </w:tc>
        <w:tc>
          <w:tcPr>
            <w:tcW w:w="1596" w:type="dxa"/>
            <w:shd w:val="clear" w:color="auto" w:fill="FFFFFF" w:themeFill="background1"/>
          </w:tcPr>
          <w:p w14:paraId="7A204DB2" w14:textId="5605368B" w:rsidR="00725D15" w:rsidRPr="00FC493B" w:rsidRDefault="00FC493B"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t>−</w:t>
            </w:r>
            <w:r w:rsidR="00725D15" w:rsidRPr="00FC493B">
              <w:t>0.06</w:t>
            </w:r>
          </w:p>
        </w:tc>
      </w:tr>
      <w:tr w:rsidR="00725D15" w:rsidRPr="00FC493B" w14:paraId="38A2642C" w14:textId="77777777" w:rsidTr="00925D73">
        <w:tc>
          <w:tcPr>
            <w:cnfStyle w:val="001000000000" w:firstRow="0" w:lastRow="0" w:firstColumn="1" w:lastColumn="0" w:oddVBand="0" w:evenVBand="0" w:oddHBand="0" w:evenHBand="0" w:firstRowFirstColumn="0" w:firstRowLastColumn="0" w:lastRowFirstColumn="0" w:lastRowLastColumn="0"/>
            <w:tcW w:w="9350" w:type="dxa"/>
            <w:gridSpan w:val="7"/>
            <w:shd w:val="clear" w:color="auto" w:fill="FFFFFF" w:themeFill="background1"/>
          </w:tcPr>
          <w:p w14:paraId="0AB40EA4" w14:textId="77777777" w:rsidR="00725D15" w:rsidRPr="00FC493B" w:rsidRDefault="00725D15" w:rsidP="00A52928">
            <w:pPr>
              <w:pStyle w:val="MDPI42tablebody"/>
              <w:autoSpaceDE w:val="0"/>
              <w:autoSpaceDN w:val="0"/>
              <w:spacing w:line="240" w:lineRule="auto"/>
            </w:pPr>
            <w:r w:rsidRPr="00FC493B">
              <w:t>Regression of trait on detected extra-pair copulation partners</w:t>
            </w:r>
          </w:p>
        </w:tc>
      </w:tr>
      <w:tr w:rsidR="00725D15" w:rsidRPr="00FC493B" w14:paraId="21026106"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48E9C779"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4B963E7B"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Sperm trait</w:t>
            </w:r>
          </w:p>
        </w:tc>
        <w:tc>
          <w:tcPr>
            <w:tcW w:w="759" w:type="dxa"/>
            <w:shd w:val="clear" w:color="auto" w:fill="FFFFFF" w:themeFill="background1"/>
          </w:tcPr>
          <w:p w14:paraId="5DE7C023"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FC493B">
              <w:t>0.75</w:t>
            </w:r>
          </w:p>
        </w:tc>
        <w:tc>
          <w:tcPr>
            <w:tcW w:w="1728" w:type="dxa"/>
            <w:shd w:val="clear" w:color="auto" w:fill="FFFFFF" w:themeFill="background1"/>
          </w:tcPr>
          <w:p w14:paraId="1EC2D52F"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0.68</w:t>
            </w:r>
          </w:p>
        </w:tc>
        <w:tc>
          <w:tcPr>
            <w:tcW w:w="1327" w:type="dxa"/>
            <w:shd w:val="clear" w:color="auto" w:fill="FFFFFF" w:themeFill="background1"/>
          </w:tcPr>
          <w:p w14:paraId="33793714"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0.63</w:t>
            </w:r>
          </w:p>
        </w:tc>
        <w:tc>
          <w:tcPr>
            <w:tcW w:w="1958" w:type="dxa"/>
            <w:shd w:val="clear" w:color="auto" w:fill="FFFFFF" w:themeFill="background1"/>
          </w:tcPr>
          <w:p w14:paraId="4C42CD49"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0.81</w:t>
            </w:r>
          </w:p>
        </w:tc>
        <w:tc>
          <w:tcPr>
            <w:tcW w:w="1596" w:type="dxa"/>
            <w:shd w:val="clear" w:color="auto" w:fill="FFFFFF" w:themeFill="background1"/>
          </w:tcPr>
          <w:p w14:paraId="39CA4D40"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1.14*</w:t>
            </w:r>
          </w:p>
        </w:tc>
      </w:tr>
      <w:tr w:rsidR="00725D15" w:rsidRPr="00FC493B" w14:paraId="03EDC72B" w14:textId="77777777" w:rsidTr="00925D73">
        <w:tc>
          <w:tcPr>
            <w:cnfStyle w:val="001000000000" w:firstRow="0" w:lastRow="0" w:firstColumn="1" w:lastColumn="0" w:oddVBand="0" w:evenVBand="0" w:oddHBand="0" w:evenHBand="0" w:firstRowFirstColumn="0" w:firstRowLastColumn="0" w:lastRowFirstColumn="0" w:lastRowLastColumn="0"/>
            <w:tcW w:w="9350" w:type="dxa"/>
            <w:gridSpan w:val="7"/>
            <w:shd w:val="clear" w:color="auto" w:fill="FFFFFF" w:themeFill="background1"/>
          </w:tcPr>
          <w:p w14:paraId="7350F5AC" w14:textId="1F793454" w:rsidR="00725D15" w:rsidRPr="00FC493B" w:rsidRDefault="00707120" w:rsidP="00A52928">
            <w:pPr>
              <w:pStyle w:val="MDPI42tablebody"/>
              <w:autoSpaceDE w:val="0"/>
              <w:autoSpaceDN w:val="0"/>
              <w:spacing w:line="240" w:lineRule="auto"/>
            </w:pPr>
            <w:r w:rsidRPr="00FC493B">
              <w:t xml:space="preserve">Regression of proportion of extra-pair brood sired on EP sperm trait, among broods where that male sired </w:t>
            </w:r>
            <w:r w:rsidRPr="00FC493B">
              <w:rPr>
                <w:rFonts w:cstheme="minorHAnsi"/>
              </w:rPr>
              <w:t>≥</w:t>
            </w:r>
            <w:r w:rsidRPr="00FC493B">
              <w:t xml:space="preserve"> 1 extra-pair young</w:t>
            </w:r>
          </w:p>
        </w:tc>
      </w:tr>
      <w:tr w:rsidR="00725D15" w:rsidRPr="00FC493B" w14:paraId="18B79188"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shd w:val="clear" w:color="auto" w:fill="FFFFFF" w:themeFill="background1"/>
          </w:tcPr>
          <w:p w14:paraId="53FE5D84" w14:textId="77777777" w:rsidR="00725D15" w:rsidRPr="00FC493B" w:rsidRDefault="00725D15" w:rsidP="00A52928">
            <w:pPr>
              <w:pStyle w:val="MDPI42tablebody"/>
              <w:autoSpaceDE w:val="0"/>
              <w:autoSpaceDN w:val="0"/>
              <w:spacing w:line="240" w:lineRule="auto"/>
            </w:pPr>
          </w:p>
        </w:tc>
        <w:tc>
          <w:tcPr>
            <w:tcW w:w="739" w:type="dxa"/>
            <w:shd w:val="clear" w:color="auto" w:fill="FFFFFF" w:themeFill="background1"/>
          </w:tcPr>
          <w:p w14:paraId="605660D3"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Sperm trait</w:t>
            </w:r>
          </w:p>
        </w:tc>
        <w:tc>
          <w:tcPr>
            <w:tcW w:w="759" w:type="dxa"/>
            <w:shd w:val="clear" w:color="auto" w:fill="FFFFFF" w:themeFill="background1"/>
          </w:tcPr>
          <w:p w14:paraId="6CCD709E" w14:textId="46FB5332" w:rsidR="00725D15" w:rsidRPr="00FC493B" w:rsidRDefault="00FC493B"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r>
              <w:t>−</w:t>
            </w:r>
            <w:r w:rsidR="00725D15" w:rsidRPr="00FC493B">
              <w:t>0.02</w:t>
            </w:r>
          </w:p>
        </w:tc>
        <w:tc>
          <w:tcPr>
            <w:tcW w:w="1728" w:type="dxa"/>
            <w:shd w:val="clear" w:color="auto" w:fill="FFFFFF" w:themeFill="background1"/>
          </w:tcPr>
          <w:p w14:paraId="206641CE" w14:textId="26DA6477" w:rsidR="00725D15" w:rsidRPr="00FC493B" w:rsidRDefault="00FC493B"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t>−</w:t>
            </w:r>
            <w:r w:rsidR="00725D15" w:rsidRPr="00FC493B">
              <w:t>0.01</w:t>
            </w:r>
          </w:p>
        </w:tc>
        <w:tc>
          <w:tcPr>
            <w:tcW w:w="1327" w:type="dxa"/>
            <w:shd w:val="clear" w:color="auto" w:fill="FFFFFF" w:themeFill="background1"/>
          </w:tcPr>
          <w:p w14:paraId="0DF73E9A"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-0.01</w:t>
            </w:r>
          </w:p>
        </w:tc>
        <w:tc>
          <w:tcPr>
            <w:tcW w:w="1958" w:type="dxa"/>
            <w:shd w:val="clear" w:color="auto" w:fill="FFFFFF" w:themeFill="background1"/>
          </w:tcPr>
          <w:p w14:paraId="6129475A"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-0.01</w:t>
            </w:r>
          </w:p>
        </w:tc>
        <w:tc>
          <w:tcPr>
            <w:tcW w:w="1596" w:type="dxa"/>
            <w:shd w:val="clear" w:color="auto" w:fill="FFFFFF" w:themeFill="background1"/>
          </w:tcPr>
          <w:p w14:paraId="07A32463" w14:textId="6F95B4A0" w:rsidR="00725D15" w:rsidRPr="00FC493B" w:rsidRDefault="00FC493B"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t>−</w:t>
            </w:r>
            <w:r w:rsidR="00725D15" w:rsidRPr="00FC493B">
              <w:t>0.09*</w:t>
            </w:r>
          </w:p>
        </w:tc>
      </w:tr>
      <w:tr w:rsidR="00725D15" w:rsidRPr="00FC493B" w14:paraId="7BCED2FA" w14:textId="77777777" w:rsidTr="00925D73">
        <w:tc>
          <w:tcPr>
            <w:cnfStyle w:val="001000000000" w:firstRow="0" w:lastRow="0" w:firstColumn="1" w:lastColumn="0" w:oddVBand="0" w:evenVBand="0" w:oddHBand="0" w:evenHBand="0" w:firstRowFirstColumn="0" w:firstRowLastColumn="0" w:lastRowFirstColumn="0" w:lastRowLastColumn="0"/>
            <w:tcW w:w="9350" w:type="dxa"/>
            <w:gridSpan w:val="7"/>
            <w:tcBorders>
              <w:bottom w:val="nil"/>
            </w:tcBorders>
            <w:shd w:val="clear" w:color="auto" w:fill="FFFFFF" w:themeFill="background1"/>
          </w:tcPr>
          <w:p w14:paraId="5556BE49" w14:textId="71B2181A" w:rsidR="00725D15" w:rsidRPr="00FC493B" w:rsidRDefault="00707120" w:rsidP="00A52928">
            <w:pPr>
              <w:pStyle w:val="MDPI42tablebody"/>
              <w:autoSpaceDE w:val="0"/>
              <w:autoSpaceDN w:val="0"/>
              <w:spacing w:line="240" w:lineRule="auto"/>
            </w:pPr>
            <w:r w:rsidRPr="00FC493B">
              <w:t xml:space="preserve">Regression of proportion of within-pair offspring sired on WP sperm trait, among broods with </w:t>
            </w:r>
            <w:r w:rsidRPr="00FC493B">
              <w:rPr>
                <w:rFonts w:cstheme="minorHAnsi"/>
              </w:rPr>
              <w:t>≥</w:t>
            </w:r>
            <w:r w:rsidRPr="00FC493B">
              <w:t xml:space="preserve"> 1 extra-pair young</w:t>
            </w:r>
          </w:p>
        </w:tc>
      </w:tr>
      <w:tr w:rsidR="00725D15" w:rsidRPr="00FC493B" w14:paraId="2EAD995D" w14:textId="77777777" w:rsidTr="00925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3" w:type="dxa"/>
            <w:tcBorders>
              <w:top w:val="nil"/>
              <w:bottom w:val="single" w:sz="8" w:space="0" w:color="auto"/>
            </w:tcBorders>
            <w:shd w:val="clear" w:color="auto" w:fill="FFFFFF" w:themeFill="background1"/>
          </w:tcPr>
          <w:p w14:paraId="4880C691" w14:textId="77777777" w:rsidR="00725D15" w:rsidRPr="00FC493B" w:rsidRDefault="00725D15" w:rsidP="00A52928">
            <w:pPr>
              <w:pStyle w:val="MDPI42tablebody"/>
              <w:autoSpaceDE w:val="0"/>
              <w:autoSpaceDN w:val="0"/>
              <w:spacing w:line="240" w:lineRule="auto"/>
            </w:pPr>
          </w:p>
        </w:tc>
        <w:tc>
          <w:tcPr>
            <w:tcW w:w="739" w:type="dxa"/>
            <w:tcBorders>
              <w:top w:val="nil"/>
              <w:bottom w:val="single" w:sz="8" w:space="0" w:color="auto"/>
            </w:tcBorders>
            <w:shd w:val="clear" w:color="auto" w:fill="FFFFFF" w:themeFill="background1"/>
          </w:tcPr>
          <w:p w14:paraId="0F4E8B5C"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Sperm trait</w:t>
            </w:r>
          </w:p>
        </w:tc>
        <w:tc>
          <w:tcPr>
            <w:tcW w:w="759" w:type="dxa"/>
            <w:tcBorders>
              <w:top w:val="nil"/>
              <w:bottom w:val="single" w:sz="8" w:space="0" w:color="auto"/>
            </w:tcBorders>
            <w:shd w:val="clear" w:color="auto" w:fill="FFFFFF" w:themeFill="background1"/>
          </w:tcPr>
          <w:p w14:paraId="5345045D"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FC493B">
              <w:rPr>
                <w:rFonts w:ascii="Calibri" w:hAnsi="Calibri" w:cs="Calibri"/>
              </w:rPr>
              <w:t>0.66</w:t>
            </w:r>
          </w:p>
        </w:tc>
        <w:tc>
          <w:tcPr>
            <w:tcW w:w="1728" w:type="dxa"/>
            <w:tcBorders>
              <w:top w:val="nil"/>
              <w:bottom w:val="single" w:sz="8" w:space="0" w:color="auto"/>
            </w:tcBorders>
            <w:shd w:val="clear" w:color="auto" w:fill="FFFFFF" w:themeFill="background1"/>
          </w:tcPr>
          <w:p w14:paraId="19C5499E" w14:textId="2116545A" w:rsidR="00725D15" w:rsidRPr="00FC493B" w:rsidRDefault="00FC493B"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t>−</w:t>
            </w:r>
            <w:r w:rsidR="00725D15" w:rsidRPr="00FC493B">
              <w:t>0.02</w:t>
            </w:r>
          </w:p>
        </w:tc>
        <w:tc>
          <w:tcPr>
            <w:tcW w:w="1327" w:type="dxa"/>
            <w:tcBorders>
              <w:top w:val="nil"/>
              <w:bottom w:val="single" w:sz="8" w:space="0" w:color="auto"/>
            </w:tcBorders>
            <w:shd w:val="clear" w:color="auto" w:fill="FFFFFF" w:themeFill="background1"/>
          </w:tcPr>
          <w:p w14:paraId="40A5E01B"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0.68</w:t>
            </w:r>
          </w:p>
        </w:tc>
        <w:tc>
          <w:tcPr>
            <w:tcW w:w="1958" w:type="dxa"/>
            <w:tcBorders>
              <w:top w:val="nil"/>
              <w:bottom w:val="single" w:sz="8" w:space="0" w:color="auto"/>
            </w:tcBorders>
            <w:shd w:val="clear" w:color="auto" w:fill="FFFFFF" w:themeFill="background1"/>
          </w:tcPr>
          <w:p w14:paraId="36933E01"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0.41</w:t>
            </w:r>
          </w:p>
        </w:tc>
        <w:tc>
          <w:tcPr>
            <w:tcW w:w="1596" w:type="dxa"/>
            <w:tcBorders>
              <w:top w:val="nil"/>
              <w:bottom w:val="single" w:sz="8" w:space="0" w:color="auto"/>
            </w:tcBorders>
            <w:shd w:val="clear" w:color="auto" w:fill="FFFFFF" w:themeFill="background1"/>
          </w:tcPr>
          <w:p w14:paraId="49BE902B" w14:textId="77777777" w:rsidR="00725D15" w:rsidRPr="00FC493B" w:rsidRDefault="00725D15" w:rsidP="00A52928">
            <w:pPr>
              <w:pStyle w:val="MDPI42tablebody"/>
              <w:autoSpaceDE w:val="0"/>
              <w:autoSpaceDN w:val="0"/>
              <w:spacing w:line="240" w:lineRule="auto"/>
              <w:cnfStyle w:val="000000100000" w:firstRow="0" w:lastRow="0" w:firstColumn="0" w:lastColumn="0" w:oddVBand="0" w:evenVBand="0" w:oddHBand="1" w:evenHBand="0" w:firstRowFirstColumn="0" w:firstRowLastColumn="0" w:lastRowFirstColumn="0" w:lastRowLastColumn="0"/>
            </w:pPr>
            <w:r w:rsidRPr="00FC493B">
              <w:t>0.22</w:t>
            </w:r>
          </w:p>
        </w:tc>
      </w:tr>
    </w:tbl>
    <w:p w14:paraId="63402595" w14:textId="0478F409" w:rsidR="005C4176" w:rsidRPr="00FC493B" w:rsidRDefault="00725D15" w:rsidP="00FE7130">
      <w:pPr>
        <w:pStyle w:val="MDPI41tablecaption"/>
      </w:pPr>
      <w:r w:rsidRPr="00FC493B">
        <w:t>*based on 5994 populations (due to low sample size in the remaining 6)</w:t>
      </w:r>
    </w:p>
    <w:p w14:paraId="4736EF0E" w14:textId="29D8CC4C" w:rsidR="000D73C7" w:rsidRPr="00FC493B" w:rsidRDefault="00FC493B" w:rsidP="00FE7130">
      <w:pPr>
        <w:pStyle w:val="MDPI21heading1"/>
      </w:pPr>
      <w:r w:rsidRPr="00FC493B">
        <w:t xml:space="preserve">4. </w:t>
      </w:r>
      <w:r w:rsidR="000D73C7" w:rsidRPr="00FC493B">
        <w:t xml:space="preserve">Partitioning </w:t>
      </w:r>
      <w:r w:rsidRPr="00FC493B">
        <w:t xml:space="preserve">Variance </w:t>
      </w:r>
      <w:r w:rsidR="000D73C7" w:rsidRPr="00FC493B">
        <w:t xml:space="preserve">in </w:t>
      </w:r>
      <w:r w:rsidRPr="00FC493B">
        <w:t>Male Reproductive Success</w:t>
      </w:r>
      <w:r w:rsidR="000D73C7" w:rsidRPr="00FC493B">
        <w:t>: Results</w:t>
      </w:r>
      <w:r w:rsidR="001D034B" w:rsidRPr="00FC493B">
        <w:t xml:space="preserve"> and discussion</w:t>
      </w:r>
    </w:p>
    <w:p w14:paraId="4044B21B" w14:textId="0FE062A6" w:rsidR="000869BC" w:rsidRPr="00FC493B" w:rsidRDefault="006831B1" w:rsidP="00165EB0">
      <w:pPr>
        <w:pStyle w:val="MDPI31text"/>
      </w:pPr>
      <w:r w:rsidRPr="00FC493B">
        <w:t>A</w:t>
      </w:r>
      <w:r w:rsidR="00265A03" w:rsidRPr="00FC493B">
        <w:t xml:space="preserve">ctivating an episode of selection </w:t>
      </w:r>
      <w:proofErr w:type="gramStart"/>
      <w:r w:rsidR="00265A03" w:rsidRPr="00FC493B">
        <w:t>is expected</w:t>
      </w:r>
      <w:proofErr w:type="gramEnd"/>
      <w:r w:rsidR="00265A03" w:rsidRPr="00FC493B">
        <w:t xml:space="preserve"> to cause an increase in the opportunity for selection for that episode, </w:t>
      </w:r>
      <w:r w:rsidR="003E73FD" w:rsidRPr="00FC493B">
        <w:t>because it increases</w:t>
      </w:r>
      <w:r w:rsidR="00265A03" w:rsidRPr="00FC493B">
        <w:t xml:space="preserve"> variance in male success</w:t>
      </w:r>
      <w:r w:rsidR="003E73FD" w:rsidRPr="00FC493B">
        <w:t xml:space="preserve"> within that episode</w:t>
      </w:r>
      <w:r w:rsidR="00265A03" w:rsidRPr="00FC493B">
        <w:t xml:space="preserve">. </w:t>
      </w:r>
      <w:r w:rsidR="000869BC" w:rsidRPr="00FC493B">
        <w:t xml:space="preserve">This text focuses on </w:t>
      </w:r>
      <w:r w:rsidR="000869BC" w:rsidRPr="00FC493B">
        <w:lastRenderedPageBreak/>
        <w:t xml:space="preserve">components involving </w:t>
      </w:r>
      <w:r w:rsidR="00B627B1" w:rsidRPr="00FC493B">
        <w:t xml:space="preserve">only </w:t>
      </w:r>
      <w:r w:rsidR="000869BC" w:rsidRPr="00FC493B">
        <w:t xml:space="preserve">copulation and fertilization success; statistical results </w:t>
      </w:r>
      <w:proofErr w:type="gramStart"/>
      <w:r w:rsidR="000869BC" w:rsidRPr="00FC493B">
        <w:t>are provid</w:t>
      </w:r>
      <w:r w:rsidR="005C4176" w:rsidRPr="00FC493B">
        <w:t>ed</w:t>
      </w:r>
      <w:proofErr w:type="gramEnd"/>
      <w:r w:rsidR="005C4176" w:rsidRPr="00FC493B">
        <w:t xml:space="preserve"> for all components </w:t>
      </w:r>
      <w:r w:rsidR="00265A03" w:rsidRPr="00FC493B">
        <w:t xml:space="preserve">and for total opportunity for selection </w:t>
      </w:r>
      <w:r w:rsidR="005C4176" w:rsidRPr="00FC493B">
        <w:t>(Table S5</w:t>
      </w:r>
      <w:r w:rsidR="000869BC" w:rsidRPr="00FC493B">
        <w:t>)</w:t>
      </w:r>
      <w:r w:rsidR="003E73FD" w:rsidRPr="00FC493B">
        <w:t xml:space="preserve">. Figures </w:t>
      </w:r>
      <w:proofErr w:type="gramStart"/>
      <w:r w:rsidR="000869BC" w:rsidRPr="00FC493B">
        <w:t>are provided</w:t>
      </w:r>
      <w:proofErr w:type="gramEnd"/>
      <w:r w:rsidR="000869BC" w:rsidRPr="00FC493B">
        <w:t xml:space="preserve"> for components </w:t>
      </w:r>
      <w:r w:rsidR="003E73FD" w:rsidRPr="00FC493B">
        <w:t xml:space="preserve">with reasonably high absolute values (interpreting those with low absolute values as not contributing substantially to </w:t>
      </w:r>
      <w:r w:rsidR="000869BC" w:rsidRPr="00FC493B">
        <w:t>overall opportunity for selection</w:t>
      </w:r>
      <w:r w:rsidR="003E73FD" w:rsidRPr="00FC493B">
        <w:t>)</w:t>
      </w:r>
      <w:r w:rsidR="000869BC" w:rsidRPr="00FC493B">
        <w:t>.</w:t>
      </w:r>
      <w:r w:rsidR="00315A8E" w:rsidRPr="00FC493B">
        <w:t xml:space="preserve"> </w:t>
      </w:r>
      <w:r w:rsidR="00FA78B6" w:rsidRPr="00FC493B">
        <w:t xml:space="preserve">Within-pair success was invariant, which is not typical in empirical studies (e.g., </w:t>
      </w:r>
      <w:r w:rsidR="00FA78B6" w:rsidRPr="00FC493B">
        <w:fldChar w:fldCharType="begin" w:fldLock="1"/>
      </w:r>
      <w:r w:rsidR="00FA78B6" w:rsidRPr="00FC493B">
        <w:instrText>ADDIN CSL_CITATION {"citationItems":[{"id":"ITEM-1","itemData":{"DOI":"10.1111/j.1558-5646.2007.00208.x","ISSN":"0014-3820","PMID":"17725624","abstract":"Many socially monogamous species paradoxically show signs of strong sexual selection, suggesting cryptic sources of sexual competition among males. Darwin argued that sexual selection could operate in monogamous systems if breeding sex ratios are biased or if some males attract highly fecund females. Alternatively, sexual selection might result from promiscuous copulations outside the pair bond, although several recent studies have cast doubt on this possibility, in particular by showing that variance in apparent male reproductive success (number of social young) differs little from variance in actual male reproductive success (number of young sired). Our results from a long-term study of the socially monogamous splendid fairy-wren (Malurus splendens) demonstrate that such comparisons are misleading and do not adequately assess the effects of extra-pair paternity (EPP). By partitioning the opportunity for selection and calculating Bateman gradients, we show that EPP has a strong effect on male annual and lifetime fitness, whereas other proposed mechanisms of sexual selection do not. Thus, EPP drives sexual selection in this, and possibly other, socially monogamous species.","author":[{"dropping-particle":"","family":"Webster","given":"Michael S","non-dropping-particle":"","parse-names":false,"suffix":""},{"dropping-particle":"","family":"Tarvin","given":"Keith A","non-dropping-particle":"","parse-names":false,"suffix":""},{"dropping-particle":"","family":"Tuttle","given":"Elaina M","non-dropping-particle":"","parse-names":false,"suffix":""},{"dropping-particle":"","family":"Pruett-Jones","given":"Stephen","non-dropping-particle":"","parse-names":false,"suffix":""}],"container-title":"Evolution","id":"ITEM-1","issue":"9","issued":{"date-parts":[["2007","9"]]},"page":"2205-11","title":"Promiscuity drives sexual selection in a socially monogamous bird.","type":"article-journal","volume":"61"},"uris":["http://www.mendeley.com/documents/?uuid=0e5528a1-a42c-436a-9f37-9eb181245bf1"]}],"mendeley":{"formattedCitation":"[8]","plainTextFormattedCitation":"[8]","previouslyFormattedCitation":"[8,9]"},"properties":{"noteIndex":0},"schema":"https://github.com/citation-style-language/schema/raw/master/csl-citation.json"}</w:instrText>
      </w:r>
      <w:r w:rsidR="00FA78B6" w:rsidRPr="00FC493B">
        <w:fldChar w:fldCharType="separate"/>
      </w:r>
      <w:r w:rsidR="00FA78B6" w:rsidRPr="00FC493B">
        <w:rPr>
          <w:noProof/>
        </w:rPr>
        <w:t>[8]</w:t>
      </w:r>
      <w:r w:rsidR="00FA78B6" w:rsidRPr="00FC493B">
        <w:fldChar w:fldCharType="end"/>
      </w:r>
      <w:r w:rsidR="00FA78B6" w:rsidRPr="00FC493B">
        <w:t>).</w:t>
      </w:r>
    </w:p>
    <w:p w14:paraId="3C9D173B" w14:textId="0B35615D" w:rsidR="00F939CB" w:rsidRPr="00FC493B" w:rsidRDefault="00811744" w:rsidP="00165EB0">
      <w:pPr>
        <w:pStyle w:val="MDPI31text"/>
      </w:pPr>
      <w:r w:rsidRPr="00FC493B">
        <w:t>When only the focal episode was active, o</w:t>
      </w:r>
      <w:r w:rsidR="00F939CB" w:rsidRPr="00FC493B">
        <w:t xml:space="preserve">pportunity for selection in the focal episode did not vary with the </w:t>
      </w:r>
      <w:r w:rsidR="004526CB" w:rsidRPr="00FC493B">
        <w:t>male–sperm trait</w:t>
      </w:r>
      <w:r w:rsidR="00F939CB" w:rsidRPr="00FC493B">
        <w:t xml:space="preserve"> correlation </w:t>
      </w:r>
      <w:r w:rsidR="00DF42AD" w:rsidRPr="00FC493B">
        <w:t>(|t</w:t>
      </w:r>
      <w:r w:rsidR="00DF42AD" w:rsidRPr="00FC493B">
        <w:rPr>
          <w:vertAlign w:val="subscript"/>
        </w:rPr>
        <w:t>31480</w:t>
      </w:r>
      <w:r w:rsidR="00DF42AD" w:rsidRPr="00FC493B">
        <w:t xml:space="preserve">| </w:t>
      </w:r>
      <w:r w:rsidR="00F939CB" w:rsidRPr="00FC493B">
        <w:t xml:space="preserve">&lt; </w:t>
      </w:r>
      <w:r w:rsidR="00DF42AD" w:rsidRPr="00FC493B">
        <w:t>1.25</w:t>
      </w:r>
      <w:r w:rsidR="00F939CB" w:rsidRPr="00FC493B">
        <w:t xml:space="preserve">, </w:t>
      </w:r>
      <w:r w:rsidR="00D77409" w:rsidRPr="00FC493B">
        <w:rPr>
          <w:i/>
        </w:rPr>
        <w:t>p</w:t>
      </w:r>
      <w:r w:rsidR="00F939CB" w:rsidRPr="00FC493B">
        <w:t xml:space="preserve"> &gt; 0.</w:t>
      </w:r>
      <w:r w:rsidR="00DF42AD" w:rsidRPr="00FC493B">
        <w:t>2, Figure S</w:t>
      </w:r>
      <w:r w:rsidR="00DD3ED1" w:rsidRPr="00FC493B">
        <w:t>1</w:t>
      </w:r>
      <w:r w:rsidR="000869BC" w:rsidRPr="00FC493B">
        <w:t>, Table S4</w:t>
      </w:r>
      <w:r w:rsidR="00F939CB" w:rsidRPr="00FC493B">
        <w:t>)</w:t>
      </w:r>
      <w:r w:rsidR="00DF42AD" w:rsidRPr="00FC493B">
        <w:t>,</w:t>
      </w:r>
      <w:r w:rsidR="006A2654" w:rsidRPr="00FC493B">
        <w:t xml:space="preserve"> except </w:t>
      </w:r>
      <w:r w:rsidR="00DF42AD" w:rsidRPr="00FC493B">
        <w:t xml:space="preserve">opportunity for selection on </w:t>
      </w:r>
      <w:r w:rsidR="006A2654" w:rsidRPr="00FC493B">
        <w:t>extra-pair fertili</w:t>
      </w:r>
      <w:r w:rsidR="00DF42AD" w:rsidRPr="00FC493B">
        <w:t>zat</w:t>
      </w:r>
      <w:r w:rsidR="006A2654" w:rsidRPr="00FC493B">
        <w:t>i</w:t>
      </w:r>
      <w:r w:rsidR="00DF42AD" w:rsidRPr="00FC493B">
        <w:t>o</w:t>
      </w:r>
      <w:r w:rsidR="006A2654" w:rsidRPr="00FC493B">
        <w:t>ns</w:t>
      </w:r>
      <w:r w:rsidR="00DF42AD" w:rsidRPr="00FC493B">
        <w:t xml:space="preserve">, which increased weakly with increasing </w:t>
      </w:r>
      <w:r w:rsidR="004526CB" w:rsidRPr="00FC493B">
        <w:t>male–sperm trait</w:t>
      </w:r>
      <w:r w:rsidR="00DF42AD" w:rsidRPr="00FC493B">
        <w:t xml:space="preserve"> correlation (t</w:t>
      </w:r>
      <w:r w:rsidR="00DF42AD" w:rsidRPr="00FC493B">
        <w:rPr>
          <w:vertAlign w:val="subscript"/>
        </w:rPr>
        <w:t>20920</w:t>
      </w:r>
      <w:r w:rsidR="00CF4A83" w:rsidRPr="00FC493B">
        <w:t xml:space="preserve"> = 4.</w:t>
      </w:r>
      <w:r w:rsidR="00DF42AD" w:rsidRPr="00FC493B">
        <w:t xml:space="preserve">48, </w:t>
      </w:r>
      <w:r w:rsidR="00D77409" w:rsidRPr="00FC493B">
        <w:rPr>
          <w:i/>
        </w:rPr>
        <w:t>p</w:t>
      </w:r>
      <w:r w:rsidR="00DF42AD" w:rsidRPr="00FC493B">
        <w:t xml:space="preserve"> &gt; 0.001)</w:t>
      </w:r>
      <w:r w:rsidR="00F939CB" w:rsidRPr="00FC493B">
        <w:t xml:space="preserve">. </w:t>
      </w:r>
    </w:p>
    <w:p w14:paraId="7CED2D62" w14:textId="19E4E25D" w:rsidR="006B34DC" w:rsidRPr="00FC493B" w:rsidRDefault="006B34DC" w:rsidP="00165EB0">
      <w:pPr>
        <w:pStyle w:val="MDPI31text"/>
      </w:pPr>
      <w:r w:rsidRPr="00FC493B">
        <w:t xml:space="preserve">Where the </w:t>
      </w:r>
      <w:r w:rsidR="004526CB" w:rsidRPr="00FC493B">
        <w:t>male–sperm trait</w:t>
      </w:r>
      <w:r w:rsidRPr="00FC493B">
        <w:t xml:space="preserve"> correlation was 0, activation of the non-focal episode did not affect opportunity for selection on within-pair fertilization success (t = 0.70, </w:t>
      </w:r>
      <w:r w:rsidR="00D77409" w:rsidRPr="00FC493B">
        <w:rPr>
          <w:i/>
        </w:rPr>
        <w:t>p</w:t>
      </w:r>
      <w:r w:rsidRPr="00FC493B">
        <w:t xml:space="preserve"> = 0.49). In contrast, opportunity for selection on extra-pair copulation success was </w:t>
      </w:r>
      <w:r w:rsidR="005E0045" w:rsidRPr="00FC493B">
        <w:t>slightly</w:t>
      </w:r>
      <w:r w:rsidRPr="00FC493B">
        <w:t xml:space="preserve"> increased</w:t>
      </w:r>
      <w:r w:rsidR="005E0045" w:rsidRPr="00FC493B">
        <w:t xml:space="preserve">, and opportunity for selection on extra-pair fertilizations </w:t>
      </w:r>
      <w:proofErr w:type="gramStart"/>
      <w:r w:rsidR="005E0045" w:rsidRPr="00FC493B">
        <w:t>was slightly decreased</w:t>
      </w:r>
      <w:proofErr w:type="gramEnd"/>
      <w:r w:rsidR="005E0045" w:rsidRPr="00FC493B">
        <w:t xml:space="preserve">, </w:t>
      </w:r>
      <w:r w:rsidRPr="00FC493B">
        <w:t>by activation of the non-focal episode (</w:t>
      </w:r>
      <w:r w:rsidR="005E0045" w:rsidRPr="00FC493B">
        <w:t>|</w:t>
      </w:r>
      <w:r w:rsidRPr="00FC493B">
        <w:t>t</w:t>
      </w:r>
      <w:r w:rsidRPr="00FC493B">
        <w:rPr>
          <w:vertAlign w:val="subscript"/>
        </w:rPr>
        <w:t>20982</w:t>
      </w:r>
      <w:r w:rsidR="005E0045" w:rsidRPr="00FC493B">
        <w:t>|</w:t>
      </w:r>
      <w:r w:rsidRPr="00FC493B">
        <w:t xml:space="preserve"> </w:t>
      </w:r>
      <w:r w:rsidR="005E0045" w:rsidRPr="00FC493B">
        <w:t>&gt;</w:t>
      </w:r>
      <w:r w:rsidRPr="00FC493B">
        <w:t xml:space="preserve"> 4.6, </w:t>
      </w:r>
      <w:r w:rsidR="00D77409" w:rsidRPr="00FC493B">
        <w:rPr>
          <w:i/>
        </w:rPr>
        <w:t>p</w:t>
      </w:r>
      <w:r w:rsidRPr="00FC493B">
        <w:t xml:space="preserve"> &lt; 0.001</w:t>
      </w:r>
      <w:r w:rsidR="00B627B1" w:rsidRPr="00FC493B">
        <w:t xml:space="preserve">, Cohen’s </w:t>
      </w:r>
      <w:r w:rsidR="00B627B1" w:rsidRPr="00FC493B">
        <w:rPr>
          <w:i/>
        </w:rPr>
        <w:t>d</w:t>
      </w:r>
      <w:r w:rsidR="00B627B1" w:rsidRPr="00FC493B">
        <w:t xml:space="preserve"> </w:t>
      </w:r>
      <w:r w:rsidR="009852DF" w:rsidRPr="00FC493B">
        <w:t>0.02</w:t>
      </w:r>
      <w:r w:rsidR="00B627B1" w:rsidRPr="00FC493B">
        <w:t xml:space="preserve"> and </w:t>
      </w:r>
      <w:r w:rsidR="009852DF" w:rsidRPr="00FC493B">
        <w:t>-0.03, respectively</w:t>
      </w:r>
      <w:r w:rsidRPr="00FC493B">
        <w:t>)</w:t>
      </w:r>
      <w:r w:rsidR="005E0045" w:rsidRPr="00FC493B">
        <w:t>. Covariance between within-pair fertilization success opportunity and extra-pair copulation opportunity did not differ significantly from zero when only post-copulatory selection was active (t</w:t>
      </w:r>
      <w:r w:rsidR="005E0045" w:rsidRPr="00FC493B">
        <w:rPr>
          <w:vertAlign w:val="subscript"/>
        </w:rPr>
        <w:t xml:space="preserve">14 </w:t>
      </w:r>
      <w:r w:rsidR="005E0045" w:rsidRPr="00FC493B">
        <w:t xml:space="preserve">= 0.14, </w:t>
      </w:r>
      <w:r w:rsidR="00D77409" w:rsidRPr="00FC493B">
        <w:rPr>
          <w:i/>
        </w:rPr>
        <w:t>p</w:t>
      </w:r>
      <w:r w:rsidR="005E0045" w:rsidRPr="00FC493B">
        <w:t xml:space="preserve"> = 0.89), but it was significantly higher (i.e., positive) when pre-copulatory selection or both episodes were active (t</w:t>
      </w:r>
      <w:r w:rsidR="005E0045" w:rsidRPr="00FC493B">
        <w:rPr>
          <w:vertAlign w:val="subscript"/>
        </w:rPr>
        <w:t>31480</w:t>
      </w:r>
      <w:r w:rsidR="005E0045" w:rsidRPr="00FC493B">
        <w:t xml:space="preserve"> &gt; 130, </w:t>
      </w:r>
      <w:r w:rsidR="00D77409" w:rsidRPr="00FC493B">
        <w:rPr>
          <w:i/>
        </w:rPr>
        <w:t>p</w:t>
      </w:r>
      <w:r w:rsidR="005E0045" w:rsidRPr="00FC493B">
        <w:t xml:space="preserve"> &lt; 0.001). Covariance between within-pair and extra-pair fertilization success was positive when both episodes were active or when only post-copulatory selection was active, and was slightly higher in the latter condition (t &gt; 4.0, </w:t>
      </w:r>
      <w:r w:rsidR="00D77409" w:rsidRPr="00FC493B">
        <w:rPr>
          <w:i/>
        </w:rPr>
        <w:t>p</w:t>
      </w:r>
      <w:r w:rsidR="005E0045" w:rsidRPr="00FC493B">
        <w:t xml:space="preserve"> &lt; 0.01).</w:t>
      </w:r>
    </w:p>
    <w:p w14:paraId="18DCD6B3" w14:textId="7CCCB863" w:rsidR="00B627B1" w:rsidRPr="00FC493B" w:rsidRDefault="00B627B1" w:rsidP="00165EB0">
      <w:pPr>
        <w:pStyle w:val="MDPI31text"/>
      </w:pPr>
      <w:r w:rsidRPr="00FC493B">
        <w:t xml:space="preserve">When both episodes were active, opportunity for selection for all components involving only copulation and fertilization success increased with increasing </w:t>
      </w:r>
      <w:r w:rsidR="004526CB" w:rsidRPr="00FC493B">
        <w:t>male–sperm trait</w:t>
      </w:r>
      <w:r w:rsidRPr="00FC493B">
        <w:t xml:space="preserve"> correlation (t &gt; 4.48, </w:t>
      </w:r>
      <w:r w:rsidR="00D77409" w:rsidRPr="00FC493B">
        <w:rPr>
          <w:i/>
        </w:rPr>
        <w:t>p</w:t>
      </w:r>
      <w:r w:rsidRPr="00FC493B">
        <w:t xml:space="preserve"> &lt; 0.001; figure S3</w:t>
      </w:r>
      <w:r w:rsidR="00114089" w:rsidRPr="00FC493B">
        <w:t xml:space="preserve">). Effect sizes were </w:t>
      </w:r>
      <w:proofErr w:type="gramStart"/>
      <w:r w:rsidR="00114089" w:rsidRPr="00FC493B">
        <w:t>fairly low</w:t>
      </w:r>
      <w:proofErr w:type="gramEnd"/>
      <w:r w:rsidR="00114089" w:rsidRPr="00FC493B">
        <w:t>, but higher than the observed effect sizes for the number of extra-pair young (</w:t>
      </w:r>
      <w:r w:rsidR="00725D15" w:rsidRPr="00FC493B">
        <w:t xml:space="preserve">interaction term 0.06 </w:t>
      </w:r>
      <w:r w:rsidR="00725D15" w:rsidRPr="00FC493B">
        <w:rPr>
          <w:rFonts w:cstheme="minorHAnsi"/>
        </w:rPr>
        <w:t>≤</w:t>
      </w:r>
      <w:r w:rsidR="00725D15" w:rsidRPr="00FC493B">
        <w:t xml:space="preserve"> |Cohen’s d| </w:t>
      </w:r>
      <w:r w:rsidR="00725D15" w:rsidRPr="00FC493B">
        <w:rPr>
          <w:rFonts w:cstheme="minorHAnsi"/>
        </w:rPr>
        <w:t>≤ 0.17</w:t>
      </w:r>
      <w:r w:rsidR="00114089" w:rsidRPr="00FC493B">
        <w:rPr>
          <w:rFonts w:cstheme="minorHAnsi"/>
        </w:rPr>
        <w:t>; effect sizes for number of extra-pair young, d &lt; 0.04</w:t>
      </w:r>
      <w:r w:rsidRPr="00FC493B">
        <w:t>).</w:t>
      </w:r>
      <w:r w:rsidR="00315A8E" w:rsidRPr="00FC493B">
        <w:t xml:space="preserve"> I therefore interpret this result as partly reflecting </w:t>
      </w:r>
      <w:r w:rsidR="00FE7130" w:rsidRPr="00FC493B">
        <w:t xml:space="preserve">an increase in opportunity for selection within one episode of selection, when the other episode is also active. </w:t>
      </w:r>
    </w:p>
    <w:p w14:paraId="5E3F9F25" w14:textId="05E4C89A" w:rsidR="00F939CB" w:rsidRPr="00FC493B" w:rsidRDefault="004D689C" w:rsidP="00165EB0">
      <w:pPr>
        <w:pStyle w:val="MDPI31text"/>
      </w:pPr>
      <w:r w:rsidRPr="00FC493B">
        <w:rPr>
          <w:iCs/>
        </w:rPr>
        <w:t xml:space="preserve">These results thus </w:t>
      </w:r>
      <w:r w:rsidR="00725D15" w:rsidRPr="00FC493B">
        <w:rPr>
          <w:iCs/>
        </w:rPr>
        <w:t>generally</w:t>
      </w:r>
      <w:r w:rsidRPr="00FC493B">
        <w:rPr>
          <w:iCs/>
        </w:rPr>
        <w:t xml:space="preserve"> support the suggestion that </w:t>
      </w:r>
      <w:r w:rsidRPr="00FC493B">
        <w:t xml:space="preserve">opportunity for selection in one episode can strengthen or dampen opportunity for selection in the other selection episode, if success in the two episodes is positively or negatively associated, respectively </w:t>
      </w:r>
      <w:r w:rsidRPr="00FC493B">
        <w:fldChar w:fldCharType="begin" w:fldLock="1"/>
      </w:r>
      <w:r w:rsidR="00FA78B6" w:rsidRPr="00FC493B">
        <w:instrText>ADDIN CSL_CITATION {"citationItems":[{"id":"ITEM-1","itemData":{"author":[{"dropping-particle":"","family":"Kvarnemo","given":"Charlotta","non-dropping-particle":"","parse-names":false,"suffix":""},{"dropping-particle":"","family":"Simmons","given":"Leigh W","non-dropping-particle":"","parse-names":false,"suffix":""}],"container-title":"Philosophical Transactions of the Royal Society of London. Series B, Biological sciences","id":"ITEM-1","issued":{"date-parts":[["2013"]]},"page":"20120042","title":"Polyandry as a mediator of sexual selection before and after mating","type":"article-journal","volume":"368"},"uris":["http://www.mendeley.com/documents/?uuid=2fcaa516-3f67-4e82-b938-398bc0355d9a"]},{"id":"ITEM-2","itemData":{"DOI":"10.1111/jeb.12960","author":[{"dropping-particle":"","family":"Evans","given":"Jonathan P","non-dropping-particle":"","parse-names":false,"suffix":""},{"dropping-particle":"","family":"Garcia-Gonzalez","given":"Francisco","non-dropping-particle":"","parse-names":false,"suffix":""}],"container-title":"Journal of Evolutionary Biology","id":"ITEM-2","issued":{"date-parts":[["2016"]]},"page":"2338-2361","title":"The total opportunity for sexual selection and the integration of pre- and post-mating episodes of sexual selection in a complex world","type":"article-journal","volume":"29"},"uris":["http://www.mendeley.com/documents/?uuid=481dca42-7939-40a3-8fb5-85dec7bc28d3"]}],"mendeley":{"formattedCitation":"[5,9]","plainTextFormattedCitation":"[5,9]","previouslyFormattedCitation":"[5,10]"},"properties":{"noteIndex":0},"schema":"https://github.com/citation-style-language/schema/raw/master/csl-citation.json"}</w:instrText>
      </w:r>
      <w:r w:rsidRPr="00FC493B">
        <w:fldChar w:fldCharType="separate"/>
      </w:r>
      <w:r w:rsidR="00FA78B6" w:rsidRPr="00FC493B">
        <w:rPr>
          <w:noProof/>
        </w:rPr>
        <w:t>[5,9]</w:t>
      </w:r>
      <w:r w:rsidRPr="00FC493B">
        <w:fldChar w:fldCharType="end"/>
      </w:r>
      <w:r w:rsidRPr="00FC493B">
        <w:t>.</w:t>
      </w:r>
      <w:r w:rsidR="003E73FD" w:rsidRPr="00FC493B">
        <w:t xml:space="preserve"> When success in the two episodes was not correlated, differences in opportunity for selection were very slight, even if statistically significant. </w:t>
      </w:r>
      <w:r w:rsidRPr="00FC493B">
        <w:t>As the name implies, opportunity for selection gives information about the total opportunity for selection to occur, rather than the actual action of selection</w:t>
      </w:r>
      <w:r w:rsidR="00220ED8" w:rsidRPr="00FC493B">
        <w:t xml:space="preserve"> </w:t>
      </w:r>
      <w:r w:rsidR="00220ED8" w:rsidRPr="00FC493B">
        <w:fldChar w:fldCharType="begin" w:fldLock="1"/>
      </w:r>
      <w:r w:rsidR="00FA78B6" w:rsidRPr="00FC493B">
        <w:instrText>ADDIN CSL_CITATION {"citationItems":[{"id":"ITEM-1","itemData":{"DOI":"10.1111/j.1420-9101.2011.02317.x","ISSN":"1420-9101","PMID":"21635605","abstract":"Evolutionary biologists have developed several indices, such as selection gradients (β) and the opportunity for sexual selection (I(s) ), to quantify the actual and/or potential strength of sexual selection acting in natural or experimental populations. In a recent paper, Klug et al. (J. Evol. Biol.23, 2010, 447) contend that selection gradients are the only legitimate metric for quantifying sexual selection. They argue that I(s) and similar mating-system-based metrics provide unpredictable results, which may be uncorrelated with selection acting on a trait, and should therefore be abandoned. We find this view short-sighted and argue that the choice of metric should be governed by the research question at hand. We describe insights that measures such as the opportunity for selection can provide and also argue that Klug et al. have overstated the problems with this approach while glossing over similar issues with the interpretation of selection gradients. While no metric perfectly characterizes sexual selection in all circumstances, thoughtful application of existing measures has been and continues to be informative in evolutionary studies.","author":[{"dropping-particle":"","family":"Krakauer","given":"A H","non-dropping-particle":"","parse-names":false,"suffix":""},{"dropping-particle":"","family":"Webster","given":"M S","non-dropping-particle":"","parse-names":false,"suffix":""},{"dropping-particle":"","family":"DuVal","given":"E H","non-dropping-particle":"","parse-names":false,"suffix":""},{"dropping-particle":"","family":"Jones","given":"A G","non-dropping-particle":"","parse-names":false,"suffix":""},{"dropping-particle":"","family":"Shuster","given":"S M","non-dropping-particle":"","parse-names":false,"suffix":""}],"container-title":"Journal of Evolutionary Biology","id":"ITEM-1","issue":"9","issued":{"date-parts":[["2011","9"]]},"page":"2064-71","title":"The opportunity for sexual selection: not mismeasured, just misunderstood.","type":"article-journal","volume":"24"},"uris":["http://www.mendeley.com/documents/?uuid=e0208b29-7c79-4c11-a9ec-0ee68005ee14"]}],"mendeley":{"formattedCitation":"[10]","plainTextFormattedCitation":"[10]","previouslyFormattedCitation":"[11]"},"properties":{"noteIndex":0},"schema":"https://github.com/citation-style-language/schema/raw/master/csl-citation.json"}</w:instrText>
      </w:r>
      <w:r w:rsidR="00220ED8" w:rsidRPr="00FC493B">
        <w:fldChar w:fldCharType="separate"/>
      </w:r>
      <w:r w:rsidR="00FA78B6" w:rsidRPr="00FC493B">
        <w:rPr>
          <w:noProof/>
        </w:rPr>
        <w:t>[10]</w:t>
      </w:r>
      <w:r w:rsidR="00220ED8" w:rsidRPr="00FC493B">
        <w:fldChar w:fldCharType="end"/>
      </w:r>
      <w:r w:rsidRPr="00FC493B">
        <w:t>.</w:t>
      </w:r>
      <w:r w:rsidR="00220ED8" w:rsidRPr="00FC493B">
        <w:t xml:space="preserve"> The relatively higher effect size for opportunity for selection, compared to realized direct selection (i.e., selection gradients from multivariate selection analysis) may illustrate that the full opportunity for selection </w:t>
      </w:r>
      <w:proofErr w:type="gramStart"/>
      <w:r w:rsidR="00220ED8" w:rsidRPr="00FC493B">
        <w:t>is not reached</w:t>
      </w:r>
      <w:proofErr w:type="gramEnd"/>
      <w:r w:rsidR="00220ED8" w:rsidRPr="00FC493B">
        <w:t xml:space="preserve"> in these simulated populations. </w:t>
      </w:r>
      <w:r w:rsidR="000B32F8" w:rsidRPr="00FC493B">
        <w:t xml:space="preserve">Assessing opportunity for selection is convenient, because it is possible to do even in study systems where the traits under selection are not known </w:t>
      </w:r>
      <w:r w:rsidR="000B32F8" w:rsidRPr="00FC493B">
        <w:fldChar w:fldCharType="begin" w:fldLock="1"/>
      </w:r>
      <w:r w:rsidR="00FA78B6" w:rsidRPr="00FC493B">
        <w:instrText>ADDIN CSL_CITATION {"citationItems":[{"id":"ITEM-1","itemData":{"DOI":"10.1073/pnas.1518067113","ISSN":"00034819","PMID":"26739567","abstract":"Sexual selection is a cornerstone of evolutionary theory, but measuring it has proved surprisingly difficult and controversial. Various proxy measures-e.g., the Bateman gradient and the opportunity for sexual selection-are widely used in empirical studies. However, we do not know how reliably these measures predict the strength of sexual selection across natural systems, and most perform poorly in theoretical worst-case scenarios. Here we provide a rigorous comparison of eight commonly used indexes of sexual selection. We simulated 500 biologically plausible mating systems, based on the templates of five well-studied species that cover a diverse range of reproductive life histories. We compared putative indexes to the actual strength of premating sexual selection, measured as the strength of selection on a simulated \"mating trait.\" This method sidesteps a key weakness of empirical studies, which lack an appropriate yardstick against which proxy measures can be assessed. Our model predicts that, far from being useless, the best proxy measures reliably track the strength of sexual selection across biologically realistic scenarios. The maximum intensity of precopulatory sexual selection [Formula: see text] (the Jones index) outperformed all other indexes and was highly correlated with the strength of sexual selection. In contrast, the Bateman gradient and the opportunity for sexual selection were poor predictors of sexual selection, despite their continuing popularity.","author":[{"dropping-particle":"","family":"Henshaw","given":"Jonathan M.","non-dropping-particle":"","parse-names":false,"suffix":""},{"dropping-particle":"","family":"Kahn","given":"Andrew T.","non-dropping-particle":"","parse-names":false,"suffix":""},{"dropping-particle":"","family":"Fritzsche","given":"Karoline","non-dropping-particle":"","parse-names":false,"suffix":""}],"container-title":"Proceedings of the National Academy of Sciences","id":"ITEM-1","issue":"3","issued":{"date-parts":[["2016"]]},"page":"E300-E308","title":"A rigorous comparison of sexual selection indexes via simulations of diverse mating systems","type":"article-journal","volume":"113"},"uris":["http://www.mendeley.com/documents/?uuid=def95b48-7579-45fb-bf9e-bc724f7d8964"]}],"mendeley":{"formattedCitation":"[11]","plainTextFormattedCitation":"[11]","previouslyFormattedCitation":"[12]"},"properties":{"noteIndex":0},"schema":"https://github.com/citation-style-language/schema/raw/master/csl-citation.json"}</w:instrText>
      </w:r>
      <w:r w:rsidR="000B32F8" w:rsidRPr="00FC493B">
        <w:fldChar w:fldCharType="separate"/>
      </w:r>
      <w:r w:rsidR="00FA78B6" w:rsidRPr="00FC493B">
        <w:rPr>
          <w:noProof/>
        </w:rPr>
        <w:t>[11]</w:t>
      </w:r>
      <w:r w:rsidR="000B32F8" w:rsidRPr="00FC493B">
        <w:fldChar w:fldCharType="end"/>
      </w:r>
      <w:r w:rsidR="00076EB3" w:rsidRPr="00FC493B">
        <w:t>.</w:t>
      </w:r>
      <w:r w:rsidR="000B32F8" w:rsidRPr="00FC493B">
        <w:t xml:space="preserve"> </w:t>
      </w:r>
      <w:r w:rsidR="00076EB3" w:rsidRPr="00FC493B">
        <w:t>H</w:t>
      </w:r>
      <w:r w:rsidR="000B32F8" w:rsidRPr="00FC493B">
        <w:t>owever</w:t>
      </w:r>
      <w:r w:rsidR="00076EB3" w:rsidRPr="00FC493B">
        <w:t>,</w:t>
      </w:r>
      <w:r w:rsidR="000B32F8" w:rsidRPr="00FC493B">
        <w:t xml:space="preserve"> the results of this simulation illustrate the challenge of knowing whether opportunity reflects actual selection.</w:t>
      </w:r>
      <w:r w:rsidR="001A0C6A" w:rsidRPr="00FC493B">
        <w:t xml:space="preserve"> </w:t>
      </w:r>
      <w:r w:rsidR="00463D2D" w:rsidRPr="00FC493B">
        <w:t xml:space="preserve">A novel method has recently been introduced to reduce the discrepancy between opportunity and realized selection, </w:t>
      </w:r>
      <w:r w:rsidR="002F49E2" w:rsidRPr="00FC493B">
        <w:t xml:space="preserve">and </w:t>
      </w:r>
      <w:r w:rsidR="00463D2D" w:rsidRPr="00FC493B">
        <w:t xml:space="preserve">should be investigated further </w:t>
      </w:r>
      <w:r w:rsidR="00463D2D" w:rsidRPr="00FC493B">
        <w:fldChar w:fldCharType="begin" w:fldLock="1"/>
      </w:r>
      <w:r w:rsidR="00FA78B6" w:rsidRPr="00FC493B">
        <w:instrText>ADDIN CSL_CITATION {"citationItems":[{"id":"ITEM-1","itemData":{"DOI":"10.1002/evl3.210","ISSN":"2056-3744","author":[{"dropping-particle":"","family":"Marie‐Orleach","given":"Lucas","non-dropping-particle":"","parse-names":false,"suffix":""},{"dropping-particle":"","family":"Vellnow","given":"Nikolas","non-dropping-particle":"","parse-names":false,"suffix":""},{"dropping-particle":"","family":"Schärer","given":"Lukas","non-dropping-particle":"","parse-names":false,"suffix":""}],"container-title":"Evolution Letters","id":"ITEM-1","issue":"1","issued":{"date-parts":[["2021"]]},"page":"101-114","title":"The repeatable opportunity for selection differs between pre‐ and postcopulatory fitness components","type":"article-journal","volume":"5"},"uris":["http://www.mendeley.com/documents/?uuid=aa2af454-5751-4a39-8312-4aef76a064f1"]}],"mendeley":{"formattedCitation":"[12]","plainTextFormattedCitation":"[12]","previouslyFormattedCitation":"[13]"},"properties":{"noteIndex":0},"schema":"https://github.com/citation-style-language/schema/raw/master/csl-citation.json"}</w:instrText>
      </w:r>
      <w:r w:rsidR="00463D2D" w:rsidRPr="00FC493B">
        <w:fldChar w:fldCharType="separate"/>
      </w:r>
      <w:r w:rsidR="00FA78B6" w:rsidRPr="00FC493B">
        <w:rPr>
          <w:noProof/>
        </w:rPr>
        <w:t>[12]</w:t>
      </w:r>
      <w:r w:rsidR="00463D2D" w:rsidRPr="00FC493B">
        <w:fldChar w:fldCharType="end"/>
      </w:r>
      <w:r w:rsidR="00AC7DF8" w:rsidRPr="00FC493B">
        <w:t>.</w:t>
      </w:r>
      <w:r w:rsidR="000B32F8" w:rsidRPr="00FC493B">
        <w:t xml:space="preserve"> </w:t>
      </w:r>
    </w:p>
    <w:p w14:paraId="094DB4A8" w14:textId="1EC77CFF" w:rsidR="00A44191" w:rsidRPr="00FC493B" w:rsidRDefault="009852DF" w:rsidP="00FE7130">
      <w:pPr>
        <w:pStyle w:val="MDPI52figure"/>
      </w:pPr>
      <w:r w:rsidRPr="00FC493B">
        <w:rPr>
          <w:noProof/>
          <w:lang w:eastAsia="nb-NO" w:bidi="ar-SA"/>
        </w:rPr>
        <w:lastRenderedPageBreak/>
        <w:drawing>
          <wp:inline distT="0" distB="0" distL="0" distR="0" wp14:anchorId="6613052C" wp14:editId="553E178B">
            <wp:extent cx="5943600" cy="51181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5118100"/>
                    </a:xfrm>
                    <a:prstGeom prst="rect">
                      <a:avLst/>
                    </a:prstGeom>
                  </pic:spPr>
                </pic:pic>
              </a:graphicData>
            </a:graphic>
          </wp:inline>
        </w:drawing>
      </w:r>
    </w:p>
    <w:p w14:paraId="71C8D572" w14:textId="34F0824E" w:rsidR="00427365" w:rsidRPr="00FC493B" w:rsidRDefault="009852DF" w:rsidP="00FE7130">
      <w:pPr>
        <w:pStyle w:val="MDPI51figurecaption"/>
      </w:pPr>
      <w:r w:rsidRPr="00FC493B">
        <w:rPr>
          <w:b/>
          <w:bCs/>
        </w:rPr>
        <w:t>Figure S</w:t>
      </w:r>
      <w:r w:rsidR="0048590F" w:rsidRPr="00FC493B">
        <w:rPr>
          <w:b/>
          <w:bCs/>
        </w:rPr>
        <w:t>3</w:t>
      </w:r>
      <w:r w:rsidRPr="00FC493B">
        <w:rPr>
          <w:b/>
          <w:bCs/>
        </w:rPr>
        <w:t>.</w:t>
      </w:r>
      <w:r w:rsidRPr="00FC493B">
        <w:t xml:space="preserve"> </w:t>
      </w:r>
      <w:r w:rsidR="005C4176" w:rsidRPr="00FC493B">
        <w:t xml:space="preserve">Opportunity for selection and its components, as a function of the </w:t>
      </w:r>
      <w:r w:rsidR="004526CB" w:rsidRPr="00FC493B">
        <w:t>male–sperm trait</w:t>
      </w:r>
      <w:r w:rsidR="005C4176" w:rsidRPr="00FC493B">
        <w:t xml:space="preserve"> correlation and which episodes of selection were active. Solid, dark lines: both episodes active; medium shading, dashed line: only pre-copulatory selection active; light shading, dotted line, only post-copulatory episode active. </w:t>
      </w:r>
      <w:r w:rsidR="005C4176" w:rsidRPr="00FC493B">
        <w:rPr>
          <w:b/>
          <w:bCs/>
        </w:rPr>
        <w:t>A</w:t>
      </w:r>
      <w:r w:rsidR="005C4176" w:rsidRPr="00FC493B">
        <w:t xml:space="preserve">: total opportunity for selection (note different axis scale compared to other panels). </w:t>
      </w:r>
      <w:r w:rsidR="005C4176" w:rsidRPr="00FC493B">
        <w:rPr>
          <w:b/>
          <w:bCs/>
        </w:rPr>
        <w:t>B</w:t>
      </w:r>
      <w:r w:rsidR="005C4176" w:rsidRPr="00FC493B">
        <w:t xml:space="preserve">: Opportunity for selection on extra-pair copulations. </w:t>
      </w:r>
      <w:r w:rsidR="005C4176" w:rsidRPr="00FC493B">
        <w:rPr>
          <w:b/>
          <w:bCs/>
        </w:rPr>
        <w:t>C</w:t>
      </w:r>
      <w:r w:rsidR="005C4176" w:rsidRPr="00FC493B">
        <w:t xml:space="preserve">. Opportunity for selection on within-pair fertilizations. </w:t>
      </w:r>
      <w:r w:rsidR="005C4176" w:rsidRPr="00FC493B">
        <w:rPr>
          <w:b/>
          <w:bCs/>
        </w:rPr>
        <w:t>D</w:t>
      </w:r>
      <w:r w:rsidR="005C4176" w:rsidRPr="00FC493B">
        <w:t xml:space="preserve">. Opportunity for selection on extra-pair fertilizations. </w:t>
      </w:r>
      <w:r w:rsidR="005C4176" w:rsidRPr="00FC493B">
        <w:rPr>
          <w:b/>
          <w:bCs/>
        </w:rPr>
        <w:t>E</w:t>
      </w:r>
      <w:r w:rsidR="005C4176" w:rsidRPr="00FC493B">
        <w:t xml:space="preserve">. Standardized covariance between within-pair and extra-pair fertilization success. </w:t>
      </w:r>
      <w:r w:rsidR="005C4176" w:rsidRPr="00FC493B">
        <w:rPr>
          <w:b/>
          <w:bCs/>
        </w:rPr>
        <w:t>F</w:t>
      </w:r>
      <w:r w:rsidR="005C4176" w:rsidRPr="00FC493B">
        <w:t xml:space="preserve">. Opportunity for selection on the fecundity of the within-pair mate. </w:t>
      </w:r>
      <w:r w:rsidR="005C4176" w:rsidRPr="00FC493B">
        <w:rPr>
          <w:b/>
          <w:bCs/>
        </w:rPr>
        <w:t>G</w:t>
      </w:r>
      <w:r w:rsidR="005C4176" w:rsidRPr="00FC493B">
        <w:t xml:space="preserve">. Opportunity for selection on the mean fecundity of extra-pair mates. </w:t>
      </w:r>
    </w:p>
    <w:p w14:paraId="6D236E63" w14:textId="5DD84869" w:rsidR="00C208AF" w:rsidRPr="00FC493B" w:rsidRDefault="00C208AF" w:rsidP="004342D3">
      <w:pPr>
        <w:pStyle w:val="MDPI21heading1"/>
      </w:pPr>
      <w:r w:rsidRPr="00FC493B">
        <w:t>References</w:t>
      </w:r>
    </w:p>
    <w:p w14:paraId="76B48FD9" w14:textId="44017540" w:rsidR="00FA78B6" w:rsidRPr="00FC493B" w:rsidRDefault="000D73C7"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sz w:val="20"/>
          <w:szCs w:val="20"/>
        </w:rPr>
        <w:fldChar w:fldCharType="begin" w:fldLock="1"/>
      </w:r>
      <w:r w:rsidRPr="00FC493B">
        <w:rPr>
          <w:rFonts w:ascii="Palatino Linotype" w:hAnsi="Palatino Linotype"/>
          <w:sz w:val="20"/>
          <w:szCs w:val="20"/>
        </w:rPr>
        <w:instrText xml:space="preserve">ADDIN Mendeley Bibliography CSL_BIBLIOGRAPHY </w:instrText>
      </w:r>
      <w:r w:rsidRPr="00FC493B">
        <w:rPr>
          <w:rFonts w:ascii="Palatino Linotype" w:hAnsi="Palatino Linotype"/>
          <w:sz w:val="20"/>
          <w:szCs w:val="20"/>
        </w:rPr>
        <w:fldChar w:fldCharType="separate"/>
      </w:r>
      <w:r w:rsidR="00FA78B6" w:rsidRPr="00FC493B">
        <w:rPr>
          <w:rFonts w:ascii="Palatino Linotype" w:hAnsi="Palatino Linotype" w:cs="Times New Roman"/>
          <w:noProof/>
          <w:sz w:val="20"/>
          <w:szCs w:val="24"/>
        </w:rPr>
        <w:t xml:space="preserve">1. </w:t>
      </w:r>
      <w:r w:rsidR="00FA78B6" w:rsidRPr="00FC493B">
        <w:rPr>
          <w:rFonts w:ascii="Palatino Linotype" w:hAnsi="Palatino Linotype" w:cs="Times New Roman"/>
          <w:noProof/>
          <w:sz w:val="20"/>
          <w:szCs w:val="24"/>
        </w:rPr>
        <w:tab/>
        <w:t xml:space="preserve">Cramer, E.R.A.; Greig, E.I.; Kaiser, S.A. Strong sexual selection despite spatial constraints on extrapair paternity. </w:t>
      </w:r>
      <w:r w:rsidR="00FA78B6" w:rsidRPr="00FC493B">
        <w:rPr>
          <w:rFonts w:ascii="Palatino Linotype" w:hAnsi="Palatino Linotype" w:cs="Times New Roman"/>
          <w:i/>
          <w:iCs/>
          <w:noProof/>
          <w:sz w:val="20"/>
          <w:szCs w:val="24"/>
        </w:rPr>
        <w:t>Behav. Ecol.</w:t>
      </w:r>
      <w:r w:rsidR="00FA78B6" w:rsidRPr="00FC493B">
        <w:rPr>
          <w:rFonts w:ascii="Palatino Linotype" w:hAnsi="Palatino Linotype" w:cs="Times New Roman"/>
          <w:noProof/>
          <w:sz w:val="20"/>
          <w:szCs w:val="24"/>
        </w:rPr>
        <w:t xml:space="preserve"> </w:t>
      </w:r>
      <w:r w:rsidR="00FA78B6" w:rsidRPr="00FC493B">
        <w:rPr>
          <w:rFonts w:ascii="Palatino Linotype" w:hAnsi="Palatino Linotype" w:cs="Times New Roman"/>
          <w:b/>
          <w:bCs/>
          <w:noProof/>
          <w:sz w:val="20"/>
          <w:szCs w:val="24"/>
        </w:rPr>
        <w:t>2020</w:t>
      </w:r>
      <w:r w:rsidR="00FA78B6" w:rsidRPr="00FC493B">
        <w:rPr>
          <w:rFonts w:ascii="Palatino Linotype" w:hAnsi="Palatino Linotype" w:cs="Times New Roman"/>
          <w:noProof/>
          <w:sz w:val="20"/>
          <w:szCs w:val="24"/>
        </w:rPr>
        <w:t xml:space="preserve">, </w:t>
      </w:r>
      <w:r w:rsidR="00FA78B6" w:rsidRPr="00FC493B">
        <w:rPr>
          <w:rFonts w:ascii="Palatino Linotype" w:hAnsi="Palatino Linotype" w:cs="Times New Roman"/>
          <w:i/>
          <w:iCs/>
          <w:noProof/>
          <w:sz w:val="20"/>
          <w:szCs w:val="24"/>
        </w:rPr>
        <w:t>31</w:t>
      </w:r>
      <w:r w:rsidR="00FA78B6" w:rsidRPr="00FC493B">
        <w:rPr>
          <w:rFonts w:ascii="Palatino Linotype" w:hAnsi="Palatino Linotype" w:cs="Times New Roman"/>
          <w:noProof/>
          <w:sz w:val="20"/>
          <w:szCs w:val="24"/>
        </w:rPr>
        <w:t>, 618–626, doi:10.1093/beheco/araa001.</w:t>
      </w:r>
    </w:p>
    <w:p w14:paraId="07FF7FD5" w14:textId="77777777"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2. </w:t>
      </w:r>
      <w:r w:rsidRPr="00FC493B">
        <w:rPr>
          <w:rFonts w:ascii="Palatino Linotype" w:hAnsi="Palatino Linotype" w:cs="Times New Roman"/>
          <w:noProof/>
          <w:sz w:val="20"/>
          <w:szCs w:val="24"/>
        </w:rPr>
        <w:tab/>
        <w:t>Revell, L.J. phytools: Phylogenetic tools for comparative biology (and other things) 2016.</w:t>
      </w:r>
    </w:p>
    <w:p w14:paraId="6FD7B590" w14:textId="77777777"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3. </w:t>
      </w:r>
      <w:r w:rsidRPr="00FC493B">
        <w:rPr>
          <w:rFonts w:ascii="Palatino Linotype" w:hAnsi="Palatino Linotype" w:cs="Times New Roman"/>
          <w:noProof/>
          <w:sz w:val="20"/>
          <w:szCs w:val="24"/>
        </w:rPr>
        <w:tab/>
        <w:t xml:space="preserve">Hadfield, J.D.; Wilson, A.J.; Garant, D.; Sheldon, B.C.; Kruuk, L.E.B. The Misuse of BLUP in Ecology and Evolution. </w:t>
      </w:r>
      <w:r w:rsidRPr="00FC493B">
        <w:rPr>
          <w:rFonts w:ascii="Palatino Linotype" w:hAnsi="Palatino Linotype" w:cs="Times New Roman"/>
          <w:i/>
          <w:iCs/>
          <w:noProof/>
          <w:sz w:val="20"/>
          <w:szCs w:val="24"/>
        </w:rPr>
        <w:t>Am. Nat.</w:t>
      </w:r>
      <w:r w:rsidRPr="00FC493B">
        <w:rPr>
          <w:rFonts w:ascii="Palatino Linotype" w:hAnsi="Palatino Linotype" w:cs="Times New Roman"/>
          <w:noProof/>
          <w:sz w:val="20"/>
          <w:szCs w:val="24"/>
        </w:rPr>
        <w:t xml:space="preserve"> </w:t>
      </w:r>
      <w:r w:rsidRPr="00FC493B">
        <w:rPr>
          <w:rFonts w:ascii="Palatino Linotype" w:hAnsi="Palatino Linotype" w:cs="Times New Roman"/>
          <w:b/>
          <w:bCs/>
          <w:noProof/>
          <w:sz w:val="20"/>
          <w:szCs w:val="24"/>
        </w:rPr>
        <w:t>2010</w:t>
      </w:r>
      <w:r w:rsidRPr="00FC493B">
        <w:rPr>
          <w:rFonts w:ascii="Palatino Linotype" w:hAnsi="Palatino Linotype" w:cs="Times New Roman"/>
          <w:noProof/>
          <w:sz w:val="20"/>
          <w:szCs w:val="24"/>
        </w:rPr>
        <w:t xml:space="preserve">, </w:t>
      </w:r>
      <w:r w:rsidRPr="00FC493B">
        <w:rPr>
          <w:rFonts w:ascii="Palatino Linotype" w:hAnsi="Palatino Linotype" w:cs="Times New Roman"/>
          <w:i/>
          <w:iCs/>
          <w:noProof/>
          <w:sz w:val="20"/>
          <w:szCs w:val="24"/>
        </w:rPr>
        <w:t>175</w:t>
      </w:r>
      <w:r w:rsidRPr="00FC493B">
        <w:rPr>
          <w:rFonts w:ascii="Palatino Linotype" w:hAnsi="Palatino Linotype" w:cs="Times New Roman"/>
          <w:noProof/>
          <w:sz w:val="20"/>
          <w:szCs w:val="24"/>
        </w:rPr>
        <w:t>, 116–125, doi:10.1086/648604.</w:t>
      </w:r>
    </w:p>
    <w:p w14:paraId="415D5571" w14:textId="50338338"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4. </w:t>
      </w:r>
      <w:r w:rsidRPr="00FC493B">
        <w:rPr>
          <w:rFonts w:ascii="Palatino Linotype" w:hAnsi="Palatino Linotype" w:cs="Times New Roman"/>
          <w:noProof/>
          <w:sz w:val="20"/>
          <w:szCs w:val="24"/>
        </w:rPr>
        <w:tab/>
        <w:t xml:space="preserve">de Villemereuil, </w:t>
      </w:r>
      <w:r w:rsidR="00D77409" w:rsidRPr="00FC493B">
        <w:rPr>
          <w:rFonts w:ascii="Palatino Linotype" w:hAnsi="Palatino Linotype" w:cs="Times New Roman"/>
          <w:i/>
          <w:noProof/>
          <w:sz w:val="20"/>
          <w:szCs w:val="24"/>
        </w:rPr>
        <w:t>p</w:t>
      </w:r>
      <w:r w:rsidRPr="00FC493B">
        <w:rPr>
          <w:rFonts w:ascii="Palatino Linotype" w:hAnsi="Palatino Linotype" w:cs="Times New Roman"/>
          <w:noProof/>
          <w:sz w:val="20"/>
          <w:szCs w:val="24"/>
        </w:rPr>
        <w:t xml:space="preserve">.; Nakagawa, S. General quantitative genetic methods for comparative biology. In </w:t>
      </w:r>
      <w:r w:rsidRPr="00FC493B">
        <w:rPr>
          <w:rFonts w:ascii="Palatino Linotype" w:hAnsi="Palatino Linotype" w:cs="Times New Roman"/>
          <w:i/>
          <w:iCs/>
          <w:noProof/>
          <w:sz w:val="20"/>
          <w:szCs w:val="24"/>
        </w:rPr>
        <w:t>Modern Phylogenetic Comparative Methods and their Application in Evolutionary Biology</w:t>
      </w:r>
      <w:r w:rsidRPr="00FC493B">
        <w:rPr>
          <w:rFonts w:ascii="Palatino Linotype" w:hAnsi="Palatino Linotype" w:cs="Times New Roman"/>
          <w:noProof/>
          <w:sz w:val="20"/>
          <w:szCs w:val="24"/>
        </w:rPr>
        <w:t xml:space="preserve">; </w:t>
      </w:r>
      <w:r w:rsidRPr="00FC493B">
        <w:rPr>
          <w:rFonts w:ascii="Palatino Linotype" w:hAnsi="Palatino Linotype" w:cs="Times New Roman"/>
          <w:noProof/>
          <w:sz w:val="20"/>
          <w:szCs w:val="24"/>
        </w:rPr>
        <w:lastRenderedPageBreak/>
        <w:t>Garamszegi, L.Z., Ed.; Springer: Heidelberg, 2014; pp. 287–303.</w:t>
      </w:r>
    </w:p>
    <w:p w14:paraId="34A39AE8" w14:textId="55F48013"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5. </w:t>
      </w:r>
      <w:r w:rsidRPr="00FC493B">
        <w:rPr>
          <w:rFonts w:ascii="Palatino Linotype" w:hAnsi="Palatino Linotype" w:cs="Times New Roman"/>
          <w:noProof/>
          <w:sz w:val="20"/>
          <w:szCs w:val="24"/>
        </w:rPr>
        <w:tab/>
        <w:t>Evans, J.</w:t>
      </w:r>
      <w:r w:rsidR="00D77409" w:rsidRPr="00FC493B">
        <w:rPr>
          <w:rFonts w:ascii="Palatino Linotype" w:hAnsi="Palatino Linotype" w:cs="Times New Roman"/>
          <w:i/>
          <w:noProof/>
          <w:sz w:val="20"/>
          <w:szCs w:val="24"/>
        </w:rPr>
        <w:t>p</w:t>
      </w:r>
      <w:r w:rsidRPr="00FC493B">
        <w:rPr>
          <w:rFonts w:ascii="Palatino Linotype" w:hAnsi="Palatino Linotype" w:cs="Times New Roman"/>
          <w:noProof/>
          <w:sz w:val="20"/>
          <w:szCs w:val="24"/>
        </w:rPr>
        <w:t xml:space="preserve">.; Garcia-Gonzalez, F. The total opportunity for sexual selection and the integration of pre- and post-mating episodes of sexual selection in a complex world. </w:t>
      </w:r>
      <w:r w:rsidRPr="00FC493B">
        <w:rPr>
          <w:rFonts w:ascii="Palatino Linotype" w:hAnsi="Palatino Linotype" w:cs="Times New Roman"/>
          <w:i/>
          <w:iCs/>
          <w:noProof/>
          <w:sz w:val="20"/>
          <w:szCs w:val="24"/>
        </w:rPr>
        <w:t>J. Evol. Biol.</w:t>
      </w:r>
      <w:r w:rsidRPr="00FC493B">
        <w:rPr>
          <w:rFonts w:ascii="Palatino Linotype" w:hAnsi="Palatino Linotype" w:cs="Times New Roman"/>
          <w:noProof/>
          <w:sz w:val="20"/>
          <w:szCs w:val="24"/>
        </w:rPr>
        <w:t xml:space="preserve"> </w:t>
      </w:r>
      <w:r w:rsidRPr="00FC493B">
        <w:rPr>
          <w:rFonts w:ascii="Palatino Linotype" w:hAnsi="Palatino Linotype" w:cs="Times New Roman"/>
          <w:b/>
          <w:bCs/>
          <w:noProof/>
          <w:sz w:val="20"/>
          <w:szCs w:val="24"/>
        </w:rPr>
        <w:t>2016</w:t>
      </w:r>
      <w:r w:rsidRPr="00FC493B">
        <w:rPr>
          <w:rFonts w:ascii="Palatino Linotype" w:hAnsi="Palatino Linotype" w:cs="Times New Roman"/>
          <w:noProof/>
          <w:sz w:val="20"/>
          <w:szCs w:val="24"/>
        </w:rPr>
        <w:t xml:space="preserve">, </w:t>
      </w:r>
      <w:r w:rsidRPr="00FC493B">
        <w:rPr>
          <w:rFonts w:ascii="Palatino Linotype" w:hAnsi="Palatino Linotype" w:cs="Times New Roman"/>
          <w:i/>
          <w:iCs/>
          <w:noProof/>
          <w:sz w:val="20"/>
          <w:szCs w:val="24"/>
        </w:rPr>
        <w:t>29</w:t>
      </w:r>
      <w:r w:rsidRPr="00FC493B">
        <w:rPr>
          <w:rFonts w:ascii="Palatino Linotype" w:hAnsi="Palatino Linotype" w:cs="Times New Roman"/>
          <w:noProof/>
          <w:sz w:val="20"/>
          <w:szCs w:val="24"/>
        </w:rPr>
        <w:t>, 2338–2361, doi:10.1111/jeb.12960.</w:t>
      </w:r>
    </w:p>
    <w:p w14:paraId="037A7B5F" w14:textId="10669A92"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6. </w:t>
      </w:r>
      <w:r w:rsidRPr="00FC493B">
        <w:rPr>
          <w:rFonts w:ascii="Palatino Linotype" w:hAnsi="Palatino Linotype" w:cs="Times New Roman"/>
          <w:noProof/>
          <w:sz w:val="20"/>
          <w:szCs w:val="24"/>
        </w:rPr>
        <w:tab/>
        <w:t xml:space="preserve">Webster, M.S.; Pruett-Jones, S.; Westneat, D.F.; Arnold, S.J. Measuring the effects of pairing success, extra-pair copulations and mate quality on the opportunity for sexual selection. </w:t>
      </w:r>
      <w:r w:rsidRPr="00FC493B">
        <w:rPr>
          <w:rFonts w:ascii="Palatino Linotype" w:hAnsi="Palatino Linotype" w:cs="Times New Roman"/>
          <w:i/>
          <w:iCs/>
          <w:noProof/>
          <w:sz w:val="20"/>
          <w:szCs w:val="24"/>
        </w:rPr>
        <w:t xml:space="preserve">Evolution </w:t>
      </w:r>
      <w:r w:rsidRPr="00FC493B">
        <w:rPr>
          <w:rFonts w:ascii="Palatino Linotype" w:hAnsi="Palatino Linotype" w:cs="Times New Roman"/>
          <w:noProof/>
          <w:sz w:val="20"/>
          <w:szCs w:val="24"/>
        </w:rPr>
        <w:t xml:space="preserve"> </w:t>
      </w:r>
      <w:r w:rsidRPr="00FC493B">
        <w:rPr>
          <w:rFonts w:ascii="Palatino Linotype" w:hAnsi="Palatino Linotype" w:cs="Times New Roman"/>
          <w:b/>
          <w:bCs/>
          <w:noProof/>
          <w:sz w:val="20"/>
          <w:szCs w:val="24"/>
        </w:rPr>
        <w:t>1995</w:t>
      </w:r>
      <w:r w:rsidRPr="00FC493B">
        <w:rPr>
          <w:rFonts w:ascii="Palatino Linotype" w:hAnsi="Palatino Linotype" w:cs="Times New Roman"/>
          <w:noProof/>
          <w:sz w:val="20"/>
          <w:szCs w:val="24"/>
        </w:rPr>
        <w:t xml:space="preserve">, </w:t>
      </w:r>
      <w:r w:rsidRPr="00FC493B">
        <w:rPr>
          <w:rFonts w:ascii="Palatino Linotype" w:hAnsi="Palatino Linotype" w:cs="Times New Roman"/>
          <w:i/>
          <w:iCs/>
          <w:noProof/>
          <w:sz w:val="20"/>
          <w:szCs w:val="24"/>
        </w:rPr>
        <w:t>49</w:t>
      </w:r>
      <w:r w:rsidRPr="00FC493B">
        <w:rPr>
          <w:rFonts w:ascii="Palatino Linotype" w:hAnsi="Palatino Linotype" w:cs="Times New Roman"/>
          <w:noProof/>
          <w:sz w:val="20"/>
          <w:szCs w:val="24"/>
        </w:rPr>
        <w:t>, 1147–1157.</w:t>
      </w:r>
    </w:p>
    <w:p w14:paraId="0CDB8AC3" w14:textId="7DAD394B"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7. </w:t>
      </w:r>
      <w:r w:rsidRPr="00FC493B">
        <w:rPr>
          <w:rFonts w:ascii="Palatino Linotype" w:hAnsi="Palatino Linotype" w:cs="Times New Roman"/>
          <w:noProof/>
          <w:sz w:val="20"/>
          <w:szCs w:val="24"/>
        </w:rPr>
        <w:tab/>
        <w:t xml:space="preserve">Arnold, S.J.; Wade, M.J. On the measurement of natural and sexual selection: applications. </w:t>
      </w:r>
      <w:r w:rsidRPr="00FC493B">
        <w:rPr>
          <w:rFonts w:ascii="Palatino Linotype" w:hAnsi="Palatino Linotype" w:cs="Times New Roman"/>
          <w:i/>
          <w:iCs/>
          <w:noProof/>
          <w:sz w:val="20"/>
          <w:szCs w:val="24"/>
        </w:rPr>
        <w:t xml:space="preserve">Evolution </w:t>
      </w:r>
      <w:r w:rsidRPr="00FC493B">
        <w:rPr>
          <w:rFonts w:ascii="Palatino Linotype" w:hAnsi="Palatino Linotype" w:cs="Times New Roman"/>
          <w:b/>
          <w:bCs/>
          <w:noProof/>
          <w:sz w:val="20"/>
          <w:szCs w:val="24"/>
        </w:rPr>
        <w:t>1984</w:t>
      </w:r>
      <w:r w:rsidRPr="00FC493B">
        <w:rPr>
          <w:rFonts w:ascii="Palatino Linotype" w:hAnsi="Palatino Linotype" w:cs="Times New Roman"/>
          <w:noProof/>
          <w:sz w:val="20"/>
          <w:szCs w:val="24"/>
        </w:rPr>
        <w:t xml:space="preserve">, </w:t>
      </w:r>
      <w:r w:rsidRPr="00FC493B">
        <w:rPr>
          <w:rFonts w:ascii="Palatino Linotype" w:hAnsi="Palatino Linotype" w:cs="Times New Roman"/>
          <w:i/>
          <w:iCs/>
          <w:noProof/>
          <w:sz w:val="20"/>
          <w:szCs w:val="24"/>
        </w:rPr>
        <w:t>38</w:t>
      </w:r>
      <w:r w:rsidRPr="00FC493B">
        <w:rPr>
          <w:rFonts w:ascii="Palatino Linotype" w:hAnsi="Palatino Linotype" w:cs="Times New Roman"/>
          <w:noProof/>
          <w:sz w:val="20"/>
          <w:szCs w:val="24"/>
        </w:rPr>
        <w:t>, 720–734.</w:t>
      </w:r>
    </w:p>
    <w:p w14:paraId="5D670480" w14:textId="26A70EBC"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8. </w:t>
      </w:r>
      <w:r w:rsidRPr="00FC493B">
        <w:rPr>
          <w:rFonts w:ascii="Palatino Linotype" w:hAnsi="Palatino Linotype" w:cs="Times New Roman"/>
          <w:noProof/>
          <w:sz w:val="20"/>
          <w:szCs w:val="24"/>
        </w:rPr>
        <w:tab/>
        <w:t xml:space="preserve">Webster, M.S.; Tarvin, K.A.; Tuttle, E.M.; Pruett-Jones, S. Promiscuity drives sexual selection in a socially monogamous bird. </w:t>
      </w:r>
      <w:r w:rsidRPr="00FC493B">
        <w:rPr>
          <w:rFonts w:ascii="Palatino Linotype" w:hAnsi="Palatino Linotype" w:cs="Times New Roman"/>
          <w:i/>
          <w:iCs/>
          <w:noProof/>
          <w:sz w:val="20"/>
          <w:szCs w:val="24"/>
        </w:rPr>
        <w:t xml:space="preserve">Evolution </w:t>
      </w:r>
      <w:r w:rsidRPr="00FC493B">
        <w:rPr>
          <w:rFonts w:ascii="Palatino Linotype" w:hAnsi="Palatino Linotype" w:cs="Times New Roman"/>
          <w:b/>
          <w:bCs/>
          <w:noProof/>
          <w:sz w:val="20"/>
          <w:szCs w:val="24"/>
        </w:rPr>
        <w:t>2007</w:t>
      </w:r>
      <w:r w:rsidRPr="00FC493B">
        <w:rPr>
          <w:rFonts w:ascii="Palatino Linotype" w:hAnsi="Palatino Linotype" w:cs="Times New Roman"/>
          <w:noProof/>
          <w:sz w:val="20"/>
          <w:szCs w:val="24"/>
        </w:rPr>
        <w:t xml:space="preserve">, </w:t>
      </w:r>
      <w:r w:rsidRPr="00FC493B">
        <w:rPr>
          <w:rFonts w:ascii="Palatino Linotype" w:hAnsi="Palatino Linotype" w:cs="Times New Roman"/>
          <w:i/>
          <w:iCs/>
          <w:noProof/>
          <w:sz w:val="20"/>
          <w:szCs w:val="24"/>
        </w:rPr>
        <w:t>61</w:t>
      </w:r>
      <w:r w:rsidRPr="00FC493B">
        <w:rPr>
          <w:rFonts w:ascii="Palatino Linotype" w:hAnsi="Palatino Linotype" w:cs="Times New Roman"/>
          <w:noProof/>
          <w:sz w:val="20"/>
          <w:szCs w:val="24"/>
        </w:rPr>
        <w:t>, 2205–11, doi:10.1111/j.1558-5646.2007.00208.x.</w:t>
      </w:r>
    </w:p>
    <w:p w14:paraId="54247C0A" w14:textId="77777777"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9. </w:t>
      </w:r>
      <w:r w:rsidRPr="00FC493B">
        <w:rPr>
          <w:rFonts w:ascii="Palatino Linotype" w:hAnsi="Palatino Linotype" w:cs="Times New Roman"/>
          <w:noProof/>
          <w:sz w:val="20"/>
          <w:szCs w:val="24"/>
        </w:rPr>
        <w:tab/>
        <w:t xml:space="preserve">Kvarnemo, C.; Simmons, L.W. Polyandry as a mediator of sexual selection before and after mating. </w:t>
      </w:r>
      <w:r w:rsidRPr="00FC493B">
        <w:rPr>
          <w:rFonts w:ascii="Palatino Linotype" w:hAnsi="Palatino Linotype" w:cs="Times New Roman"/>
          <w:i/>
          <w:iCs/>
          <w:noProof/>
          <w:sz w:val="20"/>
          <w:szCs w:val="24"/>
        </w:rPr>
        <w:t>Philos. Trans. R. Soc. Lond. B. Biol. Sci.</w:t>
      </w:r>
      <w:r w:rsidRPr="00FC493B">
        <w:rPr>
          <w:rFonts w:ascii="Palatino Linotype" w:hAnsi="Palatino Linotype" w:cs="Times New Roman"/>
          <w:noProof/>
          <w:sz w:val="20"/>
          <w:szCs w:val="24"/>
        </w:rPr>
        <w:t xml:space="preserve"> </w:t>
      </w:r>
      <w:r w:rsidRPr="00FC493B">
        <w:rPr>
          <w:rFonts w:ascii="Palatino Linotype" w:hAnsi="Palatino Linotype" w:cs="Times New Roman"/>
          <w:b/>
          <w:bCs/>
          <w:noProof/>
          <w:sz w:val="20"/>
          <w:szCs w:val="24"/>
        </w:rPr>
        <w:t>2013</w:t>
      </w:r>
      <w:r w:rsidRPr="00FC493B">
        <w:rPr>
          <w:rFonts w:ascii="Palatino Linotype" w:hAnsi="Palatino Linotype" w:cs="Times New Roman"/>
          <w:noProof/>
          <w:sz w:val="20"/>
          <w:szCs w:val="24"/>
        </w:rPr>
        <w:t xml:space="preserve">, </w:t>
      </w:r>
      <w:r w:rsidRPr="00FC493B">
        <w:rPr>
          <w:rFonts w:ascii="Palatino Linotype" w:hAnsi="Palatino Linotype" w:cs="Times New Roman"/>
          <w:i/>
          <w:iCs/>
          <w:noProof/>
          <w:sz w:val="20"/>
          <w:szCs w:val="24"/>
        </w:rPr>
        <w:t>368</w:t>
      </w:r>
      <w:r w:rsidRPr="00FC493B">
        <w:rPr>
          <w:rFonts w:ascii="Palatino Linotype" w:hAnsi="Palatino Linotype" w:cs="Times New Roman"/>
          <w:noProof/>
          <w:sz w:val="20"/>
          <w:szCs w:val="24"/>
        </w:rPr>
        <w:t>, 20120042.</w:t>
      </w:r>
    </w:p>
    <w:p w14:paraId="16B767CC" w14:textId="77777777"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10. </w:t>
      </w:r>
      <w:r w:rsidRPr="00FC493B">
        <w:rPr>
          <w:rFonts w:ascii="Palatino Linotype" w:hAnsi="Palatino Linotype" w:cs="Times New Roman"/>
          <w:noProof/>
          <w:sz w:val="20"/>
          <w:szCs w:val="24"/>
        </w:rPr>
        <w:tab/>
        <w:t xml:space="preserve">Krakauer, A.H.; Webster, M.S.; DuVal, E.H.; Jones, A.G.; Shuster, S.M. The opportunity for sexual selection: not mismeasured, just misunderstood. </w:t>
      </w:r>
      <w:r w:rsidRPr="00FC493B">
        <w:rPr>
          <w:rFonts w:ascii="Palatino Linotype" w:hAnsi="Palatino Linotype" w:cs="Times New Roman"/>
          <w:i/>
          <w:iCs/>
          <w:noProof/>
          <w:sz w:val="20"/>
          <w:szCs w:val="24"/>
        </w:rPr>
        <w:t>J. Evol. Biol.</w:t>
      </w:r>
      <w:r w:rsidRPr="00FC493B">
        <w:rPr>
          <w:rFonts w:ascii="Palatino Linotype" w:hAnsi="Palatino Linotype" w:cs="Times New Roman"/>
          <w:noProof/>
          <w:sz w:val="20"/>
          <w:szCs w:val="24"/>
        </w:rPr>
        <w:t xml:space="preserve"> </w:t>
      </w:r>
      <w:r w:rsidRPr="00FC493B">
        <w:rPr>
          <w:rFonts w:ascii="Palatino Linotype" w:hAnsi="Palatino Linotype" w:cs="Times New Roman"/>
          <w:b/>
          <w:bCs/>
          <w:noProof/>
          <w:sz w:val="20"/>
          <w:szCs w:val="24"/>
        </w:rPr>
        <w:t>2011</w:t>
      </w:r>
      <w:r w:rsidRPr="00FC493B">
        <w:rPr>
          <w:rFonts w:ascii="Palatino Linotype" w:hAnsi="Palatino Linotype" w:cs="Times New Roman"/>
          <w:noProof/>
          <w:sz w:val="20"/>
          <w:szCs w:val="24"/>
        </w:rPr>
        <w:t xml:space="preserve">, </w:t>
      </w:r>
      <w:r w:rsidRPr="00FC493B">
        <w:rPr>
          <w:rFonts w:ascii="Palatino Linotype" w:hAnsi="Palatino Linotype" w:cs="Times New Roman"/>
          <w:i/>
          <w:iCs/>
          <w:noProof/>
          <w:sz w:val="20"/>
          <w:szCs w:val="24"/>
        </w:rPr>
        <w:t>24</w:t>
      </w:r>
      <w:r w:rsidRPr="00FC493B">
        <w:rPr>
          <w:rFonts w:ascii="Palatino Linotype" w:hAnsi="Palatino Linotype" w:cs="Times New Roman"/>
          <w:noProof/>
          <w:sz w:val="20"/>
          <w:szCs w:val="24"/>
        </w:rPr>
        <w:t>, 2064–71, doi:10.1111/j.1420-9101.2011.02317.x.</w:t>
      </w:r>
    </w:p>
    <w:p w14:paraId="1515C09F" w14:textId="77777777"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cs="Times New Roman"/>
          <w:noProof/>
          <w:sz w:val="20"/>
          <w:szCs w:val="24"/>
        </w:rPr>
      </w:pPr>
      <w:r w:rsidRPr="00FC493B">
        <w:rPr>
          <w:rFonts w:ascii="Palatino Linotype" w:hAnsi="Palatino Linotype" w:cs="Times New Roman"/>
          <w:noProof/>
          <w:sz w:val="20"/>
          <w:szCs w:val="24"/>
        </w:rPr>
        <w:t xml:space="preserve">11. </w:t>
      </w:r>
      <w:r w:rsidRPr="00FC493B">
        <w:rPr>
          <w:rFonts w:ascii="Palatino Linotype" w:hAnsi="Palatino Linotype" w:cs="Times New Roman"/>
          <w:noProof/>
          <w:sz w:val="20"/>
          <w:szCs w:val="24"/>
        </w:rPr>
        <w:tab/>
        <w:t xml:space="preserve">Henshaw, J.M.; Kahn, A.T.; Fritzsche, K. A rigorous comparison of sexual selection indexes via simulations of diverse mating systems. </w:t>
      </w:r>
      <w:r w:rsidRPr="00FC493B">
        <w:rPr>
          <w:rFonts w:ascii="Palatino Linotype" w:hAnsi="Palatino Linotype" w:cs="Times New Roman"/>
          <w:i/>
          <w:iCs/>
          <w:noProof/>
          <w:sz w:val="20"/>
          <w:szCs w:val="24"/>
        </w:rPr>
        <w:t>Proc. Natl. Acad. Sci.</w:t>
      </w:r>
      <w:r w:rsidRPr="00FC493B">
        <w:rPr>
          <w:rFonts w:ascii="Palatino Linotype" w:hAnsi="Palatino Linotype" w:cs="Times New Roman"/>
          <w:noProof/>
          <w:sz w:val="20"/>
          <w:szCs w:val="24"/>
        </w:rPr>
        <w:t xml:space="preserve"> </w:t>
      </w:r>
      <w:r w:rsidRPr="00FC493B">
        <w:rPr>
          <w:rFonts w:ascii="Palatino Linotype" w:hAnsi="Palatino Linotype" w:cs="Times New Roman"/>
          <w:b/>
          <w:bCs/>
          <w:noProof/>
          <w:sz w:val="20"/>
          <w:szCs w:val="24"/>
        </w:rPr>
        <w:t>2016</w:t>
      </w:r>
      <w:r w:rsidRPr="00FC493B">
        <w:rPr>
          <w:rFonts w:ascii="Palatino Linotype" w:hAnsi="Palatino Linotype" w:cs="Times New Roman"/>
          <w:noProof/>
          <w:sz w:val="20"/>
          <w:szCs w:val="24"/>
        </w:rPr>
        <w:t xml:space="preserve">, </w:t>
      </w:r>
      <w:r w:rsidRPr="00FC493B">
        <w:rPr>
          <w:rFonts w:ascii="Palatino Linotype" w:hAnsi="Palatino Linotype" w:cs="Times New Roman"/>
          <w:i/>
          <w:iCs/>
          <w:noProof/>
          <w:sz w:val="20"/>
          <w:szCs w:val="24"/>
        </w:rPr>
        <w:t>113</w:t>
      </w:r>
      <w:r w:rsidRPr="00FC493B">
        <w:rPr>
          <w:rFonts w:ascii="Palatino Linotype" w:hAnsi="Palatino Linotype" w:cs="Times New Roman"/>
          <w:noProof/>
          <w:sz w:val="20"/>
          <w:szCs w:val="24"/>
        </w:rPr>
        <w:t>, E300–E308, doi:10.1073/pnas.1518067113.</w:t>
      </w:r>
    </w:p>
    <w:p w14:paraId="7E8B607C" w14:textId="77777777" w:rsidR="00FA78B6" w:rsidRPr="00FC493B" w:rsidRDefault="00FA78B6" w:rsidP="00FA78B6">
      <w:pPr>
        <w:widowControl w:val="0"/>
        <w:autoSpaceDE w:val="0"/>
        <w:autoSpaceDN w:val="0"/>
        <w:adjustRightInd w:val="0"/>
        <w:spacing w:after="0" w:line="240" w:lineRule="auto"/>
        <w:ind w:left="640" w:hanging="640"/>
        <w:rPr>
          <w:rFonts w:ascii="Palatino Linotype" w:hAnsi="Palatino Linotype"/>
          <w:noProof/>
          <w:sz w:val="20"/>
        </w:rPr>
      </w:pPr>
      <w:r w:rsidRPr="00FC493B">
        <w:rPr>
          <w:rFonts w:ascii="Palatino Linotype" w:hAnsi="Palatino Linotype" w:cs="Times New Roman"/>
          <w:noProof/>
          <w:sz w:val="20"/>
          <w:szCs w:val="24"/>
        </w:rPr>
        <w:t xml:space="preserve">12. </w:t>
      </w:r>
      <w:r w:rsidRPr="00FC493B">
        <w:rPr>
          <w:rFonts w:ascii="Palatino Linotype" w:hAnsi="Palatino Linotype" w:cs="Times New Roman"/>
          <w:noProof/>
          <w:sz w:val="20"/>
          <w:szCs w:val="24"/>
        </w:rPr>
        <w:tab/>
        <w:t xml:space="preserve">Marie‐Orleach, L.; Vellnow, N.; Schärer, L. The repeatable opportunity for selection differs between pre‐ and postcopulatory fitness components. </w:t>
      </w:r>
      <w:r w:rsidRPr="00FC493B">
        <w:rPr>
          <w:rFonts w:ascii="Palatino Linotype" w:hAnsi="Palatino Linotype" w:cs="Times New Roman"/>
          <w:i/>
          <w:iCs/>
          <w:noProof/>
          <w:sz w:val="20"/>
          <w:szCs w:val="24"/>
        </w:rPr>
        <w:t>Evol. Lett.</w:t>
      </w:r>
      <w:r w:rsidRPr="00FC493B">
        <w:rPr>
          <w:rFonts w:ascii="Palatino Linotype" w:hAnsi="Palatino Linotype" w:cs="Times New Roman"/>
          <w:noProof/>
          <w:sz w:val="20"/>
          <w:szCs w:val="24"/>
        </w:rPr>
        <w:t xml:space="preserve"> </w:t>
      </w:r>
      <w:r w:rsidRPr="00FC493B">
        <w:rPr>
          <w:rFonts w:ascii="Palatino Linotype" w:hAnsi="Palatino Linotype" w:cs="Times New Roman"/>
          <w:b/>
          <w:bCs/>
          <w:noProof/>
          <w:sz w:val="20"/>
          <w:szCs w:val="24"/>
        </w:rPr>
        <w:t>2021</w:t>
      </w:r>
      <w:r w:rsidRPr="00FC493B">
        <w:rPr>
          <w:rFonts w:ascii="Palatino Linotype" w:hAnsi="Palatino Linotype" w:cs="Times New Roman"/>
          <w:noProof/>
          <w:sz w:val="20"/>
          <w:szCs w:val="24"/>
        </w:rPr>
        <w:t xml:space="preserve">, </w:t>
      </w:r>
      <w:r w:rsidRPr="00FC493B">
        <w:rPr>
          <w:rFonts w:ascii="Palatino Linotype" w:hAnsi="Palatino Linotype" w:cs="Times New Roman"/>
          <w:i/>
          <w:iCs/>
          <w:noProof/>
          <w:sz w:val="20"/>
          <w:szCs w:val="24"/>
        </w:rPr>
        <w:t>5</w:t>
      </w:r>
      <w:r w:rsidRPr="00FC493B">
        <w:rPr>
          <w:rFonts w:ascii="Palatino Linotype" w:hAnsi="Palatino Linotype" w:cs="Times New Roman"/>
          <w:noProof/>
          <w:sz w:val="20"/>
          <w:szCs w:val="24"/>
        </w:rPr>
        <w:t>, 101–114, doi:10.1002/evl3.210.</w:t>
      </w:r>
    </w:p>
    <w:p w14:paraId="17E076B7" w14:textId="21A5A07F" w:rsidR="000D73C7" w:rsidRPr="00E07704" w:rsidRDefault="000D73C7" w:rsidP="001525ED">
      <w:pPr>
        <w:spacing w:after="0" w:line="240" w:lineRule="auto"/>
      </w:pPr>
      <w:r w:rsidRPr="00FC493B">
        <w:rPr>
          <w:rFonts w:ascii="Palatino Linotype" w:hAnsi="Palatino Linotype"/>
          <w:sz w:val="20"/>
          <w:szCs w:val="20"/>
        </w:rPr>
        <w:fldChar w:fldCharType="end"/>
      </w:r>
    </w:p>
    <w:sectPr w:rsidR="000D73C7" w:rsidRPr="00E07704" w:rsidSect="00BB2D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1E7A86" w14:textId="77777777" w:rsidR="00D56071" w:rsidRDefault="00D56071" w:rsidP="00BB661C">
      <w:pPr>
        <w:spacing w:after="0" w:line="240" w:lineRule="auto"/>
      </w:pPr>
      <w:r>
        <w:separator/>
      </w:r>
    </w:p>
  </w:endnote>
  <w:endnote w:type="continuationSeparator" w:id="0">
    <w:p w14:paraId="5E772D82" w14:textId="77777777" w:rsidR="00D56071" w:rsidRDefault="00D56071" w:rsidP="00BB6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000A1" w14:textId="77777777" w:rsidR="00D56071" w:rsidRDefault="00D56071" w:rsidP="00BB661C">
      <w:pPr>
        <w:spacing w:after="0" w:line="240" w:lineRule="auto"/>
      </w:pPr>
      <w:r>
        <w:separator/>
      </w:r>
    </w:p>
  </w:footnote>
  <w:footnote w:type="continuationSeparator" w:id="0">
    <w:p w14:paraId="567F648C" w14:textId="77777777" w:rsidR="00D56071" w:rsidRDefault="00D56071" w:rsidP="00BB66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9F42F1"/>
    <w:multiLevelType w:val="hybridMultilevel"/>
    <w:tmpl w:val="A5E82652"/>
    <w:lvl w:ilvl="0" w:tplc="392234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D66"/>
    <w:rsid w:val="00045347"/>
    <w:rsid w:val="00076EB3"/>
    <w:rsid w:val="000869BC"/>
    <w:rsid w:val="00087FC5"/>
    <w:rsid w:val="000B32F8"/>
    <w:rsid w:val="000D0A75"/>
    <w:rsid w:val="000D73C7"/>
    <w:rsid w:val="000F347D"/>
    <w:rsid w:val="000F3ECD"/>
    <w:rsid w:val="000F568E"/>
    <w:rsid w:val="00104C71"/>
    <w:rsid w:val="00114089"/>
    <w:rsid w:val="00115DCD"/>
    <w:rsid w:val="001359FB"/>
    <w:rsid w:val="001431EC"/>
    <w:rsid w:val="0014745D"/>
    <w:rsid w:val="001525ED"/>
    <w:rsid w:val="00165EB0"/>
    <w:rsid w:val="001975A7"/>
    <w:rsid w:val="001A0C6A"/>
    <w:rsid w:val="001C14CD"/>
    <w:rsid w:val="001D034B"/>
    <w:rsid w:val="00220ED8"/>
    <w:rsid w:val="002336E1"/>
    <w:rsid w:val="00240A26"/>
    <w:rsid w:val="002413EE"/>
    <w:rsid w:val="00265A03"/>
    <w:rsid w:val="002871FA"/>
    <w:rsid w:val="00297D3A"/>
    <w:rsid w:val="002C61B8"/>
    <w:rsid w:val="002D25BB"/>
    <w:rsid w:val="002F10A7"/>
    <w:rsid w:val="002F49E2"/>
    <w:rsid w:val="00311088"/>
    <w:rsid w:val="00315A8E"/>
    <w:rsid w:val="00324F3B"/>
    <w:rsid w:val="00326CD6"/>
    <w:rsid w:val="00326E15"/>
    <w:rsid w:val="00350F7C"/>
    <w:rsid w:val="00355D4D"/>
    <w:rsid w:val="00363F82"/>
    <w:rsid w:val="00367D99"/>
    <w:rsid w:val="00370420"/>
    <w:rsid w:val="00373F5A"/>
    <w:rsid w:val="00394AAC"/>
    <w:rsid w:val="003C0B03"/>
    <w:rsid w:val="003D55B6"/>
    <w:rsid w:val="003E73FD"/>
    <w:rsid w:val="00427196"/>
    <w:rsid w:val="00427365"/>
    <w:rsid w:val="00430234"/>
    <w:rsid w:val="004342D3"/>
    <w:rsid w:val="00452202"/>
    <w:rsid w:val="004526CB"/>
    <w:rsid w:val="00454322"/>
    <w:rsid w:val="00463D2D"/>
    <w:rsid w:val="00471BDB"/>
    <w:rsid w:val="0048590F"/>
    <w:rsid w:val="0049142A"/>
    <w:rsid w:val="0049396D"/>
    <w:rsid w:val="004A1F59"/>
    <w:rsid w:val="004B2C6A"/>
    <w:rsid w:val="004D689C"/>
    <w:rsid w:val="0053425D"/>
    <w:rsid w:val="00543422"/>
    <w:rsid w:val="005509C2"/>
    <w:rsid w:val="00595D66"/>
    <w:rsid w:val="005A222A"/>
    <w:rsid w:val="005C0653"/>
    <w:rsid w:val="005C1B95"/>
    <w:rsid w:val="005C4176"/>
    <w:rsid w:val="005D5B70"/>
    <w:rsid w:val="005E0045"/>
    <w:rsid w:val="005E3431"/>
    <w:rsid w:val="0060134B"/>
    <w:rsid w:val="00614A54"/>
    <w:rsid w:val="006321A4"/>
    <w:rsid w:val="00655A36"/>
    <w:rsid w:val="006831B1"/>
    <w:rsid w:val="00686032"/>
    <w:rsid w:val="006A2654"/>
    <w:rsid w:val="006B0F08"/>
    <w:rsid w:val="006B34DC"/>
    <w:rsid w:val="006C1039"/>
    <w:rsid w:val="006D1473"/>
    <w:rsid w:val="006F1783"/>
    <w:rsid w:val="00707120"/>
    <w:rsid w:val="0071108F"/>
    <w:rsid w:val="00725D15"/>
    <w:rsid w:val="00760CEE"/>
    <w:rsid w:val="007B41BE"/>
    <w:rsid w:val="007C23AC"/>
    <w:rsid w:val="007C4894"/>
    <w:rsid w:val="00811744"/>
    <w:rsid w:val="0083189A"/>
    <w:rsid w:val="00852CCD"/>
    <w:rsid w:val="00885AAD"/>
    <w:rsid w:val="008C2D1A"/>
    <w:rsid w:val="008F0F72"/>
    <w:rsid w:val="00925D73"/>
    <w:rsid w:val="00941331"/>
    <w:rsid w:val="00964515"/>
    <w:rsid w:val="0097799A"/>
    <w:rsid w:val="009852DF"/>
    <w:rsid w:val="009D5A4F"/>
    <w:rsid w:val="00A07A26"/>
    <w:rsid w:val="00A233A4"/>
    <w:rsid w:val="00A40B88"/>
    <w:rsid w:val="00A44191"/>
    <w:rsid w:val="00A52928"/>
    <w:rsid w:val="00A615B5"/>
    <w:rsid w:val="00A7566E"/>
    <w:rsid w:val="00AC7DF8"/>
    <w:rsid w:val="00AE3A19"/>
    <w:rsid w:val="00B20324"/>
    <w:rsid w:val="00B627B1"/>
    <w:rsid w:val="00B900E1"/>
    <w:rsid w:val="00B94887"/>
    <w:rsid w:val="00BA06A9"/>
    <w:rsid w:val="00BB2DC8"/>
    <w:rsid w:val="00BB661C"/>
    <w:rsid w:val="00BD7691"/>
    <w:rsid w:val="00BE3C14"/>
    <w:rsid w:val="00C056E4"/>
    <w:rsid w:val="00C11418"/>
    <w:rsid w:val="00C208AF"/>
    <w:rsid w:val="00C32DB1"/>
    <w:rsid w:val="00C335CF"/>
    <w:rsid w:val="00C539D2"/>
    <w:rsid w:val="00CC6D2D"/>
    <w:rsid w:val="00CF4A83"/>
    <w:rsid w:val="00D1783C"/>
    <w:rsid w:val="00D56071"/>
    <w:rsid w:val="00D77409"/>
    <w:rsid w:val="00D83EBF"/>
    <w:rsid w:val="00DC3EFB"/>
    <w:rsid w:val="00DD3ED1"/>
    <w:rsid w:val="00DD6BDA"/>
    <w:rsid w:val="00DF42AD"/>
    <w:rsid w:val="00DF4950"/>
    <w:rsid w:val="00E07704"/>
    <w:rsid w:val="00E7758C"/>
    <w:rsid w:val="00EB03AC"/>
    <w:rsid w:val="00EB39FB"/>
    <w:rsid w:val="00ED12DD"/>
    <w:rsid w:val="00ED5BC2"/>
    <w:rsid w:val="00F07EF5"/>
    <w:rsid w:val="00F615CE"/>
    <w:rsid w:val="00F874FF"/>
    <w:rsid w:val="00F939CB"/>
    <w:rsid w:val="00FA78B6"/>
    <w:rsid w:val="00FC2AB4"/>
    <w:rsid w:val="00FC493B"/>
    <w:rsid w:val="00FE7130"/>
    <w:rsid w:val="00FF7E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2742"/>
  <w15:chartTrackingRefBased/>
  <w15:docId w15:val="{D45ED5FD-CCCA-4245-A0B2-9D55EA28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53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347"/>
    <w:rPr>
      <w:rFonts w:ascii="Segoe UI" w:hAnsi="Segoe UI" w:cs="Segoe UI"/>
      <w:sz w:val="18"/>
      <w:szCs w:val="18"/>
    </w:rPr>
  </w:style>
  <w:style w:type="table" w:styleId="TableGrid">
    <w:name w:val="Table Grid"/>
    <w:basedOn w:val="TableNormal"/>
    <w:uiPriority w:val="39"/>
    <w:rsid w:val="00045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4887"/>
    <w:rPr>
      <w:color w:val="808080"/>
    </w:rPr>
  </w:style>
  <w:style w:type="character" w:styleId="CommentReference">
    <w:name w:val="annotation reference"/>
    <w:basedOn w:val="DefaultParagraphFont"/>
    <w:uiPriority w:val="99"/>
    <w:semiHidden/>
    <w:unhideWhenUsed/>
    <w:rsid w:val="00ED12DD"/>
    <w:rPr>
      <w:sz w:val="16"/>
      <w:szCs w:val="16"/>
    </w:rPr>
  </w:style>
  <w:style w:type="paragraph" w:styleId="CommentText">
    <w:name w:val="annotation text"/>
    <w:basedOn w:val="Normal"/>
    <w:link w:val="CommentTextChar"/>
    <w:uiPriority w:val="99"/>
    <w:semiHidden/>
    <w:unhideWhenUsed/>
    <w:rsid w:val="00ED12DD"/>
    <w:pPr>
      <w:spacing w:line="240" w:lineRule="auto"/>
    </w:pPr>
    <w:rPr>
      <w:sz w:val="20"/>
      <w:szCs w:val="20"/>
    </w:rPr>
  </w:style>
  <w:style w:type="character" w:customStyle="1" w:styleId="CommentTextChar">
    <w:name w:val="Comment Text Char"/>
    <w:basedOn w:val="DefaultParagraphFont"/>
    <w:link w:val="CommentText"/>
    <w:uiPriority w:val="99"/>
    <w:semiHidden/>
    <w:rsid w:val="00ED12DD"/>
    <w:rPr>
      <w:sz w:val="20"/>
      <w:szCs w:val="20"/>
    </w:rPr>
  </w:style>
  <w:style w:type="paragraph" w:styleId="CommentSubject">
    <w:name w:val="annotation subject"/>
    <w:basedOn w:val="CommentText"/>
    <w:next w:val="CommentText"/>
    <w:link w:val="CommentSubjectChar"/>
    <w:uiPriority w:val="99"/>
    <w:semiHidden/>
    <w:unhideWhenUsed/>
    <w:rsid w:val="00ED12DD"/>
    <w:rPr>
      <w:b/>
      <w:bCs/>
    </w:rPr>
  </w:style>
  <w:style w:type="character" w:customStyle="1" w:styleId="CommentSubjectChar">
    <w:name w:val="Comment Subject Char"/>
    <w:basedOn w:val="CommentTextChar"/>
    <w:link w:val="CommentSubject"/>
    <w:uiPriority w:val="99"/>
    <w:semiHidden/>
    <w:rsid w:val="00ED12DD"/>
    <w:rPr>
      <w:b/>
      <w:bCs/>
      <w:sz w:val="20"/>
      <w:szCs w:val="20"/>
    </w:rPr>
  </w:style>
  <w:style w:type="character" w:styleId="LineNumber">
    <w:name w:val="line number"/>
    <w:basedOn w:val="DefaultParagraphFont"/>
    <w:uiPriority w:val="99"/>
    <w:semiHidden/>
    <w:unhideWhenUsed/>
    <w:rsid w:val="005C1B95"/>
  </w:style>
  <w:style w:type="paragraph" w:customStyle="1" w:styleId="MDPI12title">
    <w:name w:val="MDPI_1.2_title"/>
    <w:next w:val="Normal"/>
    <w:qFormat/>
    <w:rsid w:val="00614A54"/>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 w:type="paragraph" w:customStyle="1" w:styleId="MDPI21heading1">
    <w:name w:val="MDPI_2.1_heading1"/>
    <w:basedOn w:val="Normal"/>
    <w:qFormat/>
    <w:rsid w:val="00FE7130"/>
    <w:pPr>
      <w:adjustRightInd w:val="0"/>
      <w:snapToGrid w:val="0"/>
      <w:spacing w:before="240" w:after="120" w:line="260" w:lineRule="atLeast"/>
      <w:outlineLvl w:val="0"/>
    </w:pPr>
    <w:rPr>
      <w:rFonts w:ascii="Palatino Linotype" w:eastAsia="Times New Roman" w:hAnsi="Palatino Linotype" w:cs="Times New Roman"/>
      <w:b/>
      <w:snapToGrid w:val="0"/>
      <w:color w:val="000000"/>
      <w:sz w:val="20"/>
      <w:lang w:eastAsia="de-DE" w:bidi="en-US"/>
    </w:rPr>
  </w:style>
  <w:style w:type="paragraph" w:customStyle="1" w:styleId="MDPI31text">
    <w:name w:val="MDPI_3.1_text"/>
    <w:qFormat/>
    <w:rsid w:val="00FE7130"/>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paragraph" w:customStyle="1" w:styleId="MDPI41tablecaption">
    <w:name w:val="MDPI_4.1_table_caption"/>
    <w:basedOn w:val="Normal"/>
    <w:qFormat/>
    <w:rsid w:val="00FE7130"/>
    <w:pPr>
      <w:adjustRightInd w:val="0"/>
      <w:snapToGrid w:val="0"/>
      <w:spacing w:before="240" w:after="120" w:line="260" w:lineRule="atLeast"/>
      <w:ind w:left="425" w:right="425"/>
      <w:jc w:val="both"/>
    </w:pPr>
    <w:rPr>
      <w:rFonts w:ascii="Palatino Linotype" w:eastAsia="Times New Roman" w:hAnsi="Palatino Linotype" w:cs="Times New Roman"/>
      <w:color w:val="000000"/>
      <w:sz w:val="18"/>
      <w:lang w:eastAsia="de-DE" w:bidi="en-US"/>
    </w:rPr>
  </w:style>
  <w:style w:type="paragraph" w:customStyle="1" w:styleId="MDPI42tablebody">
    <w:name w:val="MDPI_4.2_table_body"/>
    <w:qFormat/>
    <w:rsid w:val="00FE7130"/>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table" w:styleId="TableGridLight">
    <w:name w:val="Grid Table Light"/>
    <w:basedOn w:val="TableNormal"/>
    <w:uiPriority w:val="40"/>
    <w:rsid w:val="00FE7130"/>
    <w:pPr>
      <w:spacing w:after="0" w:line="240" w:lineRule="auto"/>
    </w:pPr>
    <w:rPr>
      <w:lang w:val="nb-N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MDPI51figurecaption">
    <w:name w:val="MDPI_5.1_figure_caption"/>
    <w:basedOn w:val="Normal"/>
    <w:qFormat/>
    <w:rsid w:val="00FE7130"/>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eastAsia="de-DE" w:bidi="en-US"/>
    </w:rPr>
  </w:style>
  <w:style w:type="paragraph" w:customStyle="1" w:styleId="MDPI52figure">
    <w:name w:val="MDPI_5.2_figure"/>
    <w:qFormat/>
    <w:rsid w:val="00FE7130"/>
    <w:pPr>
      <w:spacing w:after="0" w:line="240" w:lineRule="auto"/>
      <w:jc w:val="center"/>
    </w:pPr>
    <w:rPr>
      <w:rFonts w:ascii="Palatino Linotype" w:eastAsia="Times New Roman" w:hAnsi="Palatino Linotype" w:cs="Times New Roman"/>
      <w:snapToGrid w:val="0"/>
      <w:color w:val="000000"/>
      <w:sz w:val="24"/>
      <w:szCs w:val="20"/>
      <w:lang w:eastAsia="de-DE" w:bidi="en-US"/>
    </w:rPr>
  </w:style>
  <w:style w:type="paragraph" w:styleId="Header">
    <w:name w:val="header"/>
    <w:basedOn w:val="Normal"/>
    <w:link w:val="HeaderChar"/>
    <w:uiPriority w:val="99"/>
    <w:unhideWhenUsed/>
    <w:rsid w:val="00BB661C"/>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BB661C"/>
    <w:rPr>
      <w:sz w:val="18"/>
      <w:szCs w:val="18"/>
    </w:rPr>
  </w:style>
  <w:style w:type="paragraph" w:styleId="Footer">
    <w:name w:val="footer"/>
    <w:basedOn w:val="Normal"/>
    <w:link w:val="FooterChar"/>
    <w:uiPriority w:val="99"/>
    <w:unhideWhenUsed/>
    <w:rsid w:val="00BB661C"/>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BB661C"/>
    <w:rPr>
      <w:sz w:val="18"/>
      <w:szCs w:val="18"/>
    </w:rPr>
  </w:style>
  <w:style w:type="paragraph" w:styleId="Revision">
    <w:name w:val="Revision"/>
    <w:hidden/>
    <w:uiPriority w:val="99"/>
    <w:semiHidden/>
    <w:rsid w:val="0053425D"/>
    <w:pPr>
      <w:spacing w:after="0" w:line="240" w:lineRule="auto"/>
    </w:pPr>
  </w:style>
  <w:style w:type="table" w:styleId="PlainTable2">
    <w:name w:val="Plain Table 2"/>
    <w:basedOn w:val="TableNormal"/>
    <w:uiPriority w:val="42"/>
    <w:rsid w:val="00925D7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925D7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BCE4E-A3F5-41D6-810D-516A10F23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3377</Words>
  <Characters>19643</Characters>
  <Application>Microsoft Office Word</Application>
  <DocSecurity>0</DocSecurity>
  <Lines>395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MDPI</cp:lastModifiedBy>
  <cp:revision>124</cp:revision>
  <cp:lastPrinted>2021-03-04T01:01:00Z</cp:lastPrinted>
  <dcterms:created xsi:type="dcterms:W3CDTF">2021-01-31T10:39:00Z</dcterms:created>
  <dcterms:modified xsi:type="dcterms:W3CDTF">2021-03-11T02:05:00Z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http://www.zotero.org/styles/cells</vt:lpwstr>
  </property>
  <property fmtid="{D5CDD505-2E9C-101B-9397-08002B2CF9AE}" pid="5" name="Mendeley Recent Style Name 1_1">
    <vt:lpwstr>Cells</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http://www.zotero.org/styles/elsevier-harvard</vt:lpwstr>
  </property>
  <property fmtid="{D5CDD505-2E9C-101B-9397-08002B2CF9AE}" pid="9" name="Mendeley Recent Style Name 3_1">
    <vt:lpwstr>Elsevier -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http://www.zotero.org/styles/journal-of-avian-biology</vt:lpwstr>
  </property>
  <property fmtid="{D5CDD505-2E9C-101B-9397-08002B2CF9AE}" pid="13" name="Mendeley Recent Style Name 5_1">
    <vt:lpwstr>Journal of Avian Biology</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8f2c4691-ecf9-343e-a459-c24f80404b50</vt:lpwstr>
  </property>
  <property fmtid="{D5CDD505-2E9C-101B-9397-08002B2CF9AE}" pid="24" name="Mendeley Citation Style_1">
    <vt:lpwstr>http://www.zotero.org/styles/cells</vt:lpwstr>
  </property>
</Properties>
</file>