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84C4D" w14:textId="0B36D569" w:rsidR="00834337" w:rsidRDefault="00834337" w:rsidP="00834337">
      <w:pPr>
        <w:pStyle w:val="MDPI12title"/>
        <w:jc w:val="center"/>
      </w:pPr>
      <w:r w:rsidRPr="00834337">
        <w:t>Supplementary Figures</w:t>
      </w:r>
    </w:p>
    <w:p w14:paraId="005AEC77" w14:textId="4786746D" w:rsidR="00834337" w:rsidRPr="00834337" w:rsidRDefault="00834337" w:rsidP="00834337">
      <w:pPr>
        <w:pStyle w:val="MDPI12title"/>
        <w:rPr>
          <w:sz w:val="18"/>
          <w:szCs w:val="8"/>
        </w:rPr>
      </w:pPr>
      <w:r w:rsidRPr="00834337">
        <w:rPr>
          <w:sz w:val="18"/>
          <w:szCs w:val="8"/>
        </w:rPr>
        <w:t xml:space="preserve"> “</w:t>
      </w:r>
      <w:r w:rsidRPr="00834337">
        <w:rPr>
          <w:sz w:val="18"/>
          <w:szCs w:val="8"/>
        </w:rPr>
        <w:t xml:space="preserve">Voluntary wheel running did not alter gene expression in 5xFAD mice, but in wild-type animals exclusively after one-day exercise </w:t>
      </w:r>
      <w:proofErr w:type="gramStart"/>
      <w:r w:rsidRPr="00834337">
        <w:rPr>
          <w:sz w:val="18"/>
          <w:szCs w:val="8"/>
        </w:rPr>
        <w:t>bout</w:t>
      </w:r>
      <w:proofErr w:type="gramEnd"/>
      <w:r w:rsidRPr="00834337">
        <w:rPr>
          <w:sz w:val="18"/>
          <w:szCs w:val="8"/>
        </w:rPr>
        <w:t>”</w:t>
      </w:r>
    </w:p>
    <w:p w14:paraId="0A7BB975" w14:textId="42B897EB" w:rsidR="00834337" w:rsidRDefault="00834337"/>
    <w:p w14:paraId="2A5665DE" w14:textId="77777777" w:rsidR="00C253C2" w:rsidRPr="00CC6A6B" w:rsidRDefault="00C253C2" w:rsidP="00834337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35AEB2F4" wp14:editId="0A1415D5">
            <wp:extent cx="2341880" cy="2341880"/>
            <wp:effectExtent l="0" t="0" r="0" b="0"/>
            <wp:docPr id="2119291594" name="Picture 2119291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1880" cy="234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3A17B" w14:textId="32A0D154" w:rsidR="00834337" w:rsidRDefault="00C253C2" w:rsidP="00834337">
      <w:pPr>
        <w:jc w:val="both"/>
        <w:rPr>
          <w:rFonts w:ascii="Palatino Linotype" w:hAnsi="Palatino Linotype"/>
          <w:sz w:val="18"/>
          <w:szCs w:val="18"/>
        </w:rPr>
      </w:pPr>
      <w:r w:rsidRPr="00834337">
        <w:rPr>
          <w:rFonts w:ascii="Palatino Linotype" w:hAnsi="Palatino Linotype"/>
          <w:b/>
          <w:bCs/>
          <w:sz w:val="18"/>
          <w:szCs w:val="18"/>
        </w:rPr>
        <w:t>Figure S1: Normalized gene counts of mutated and mutation-correlated genes that produce the 5xFAD mouse model.</w:t>
      </w:r>
      <w:r w:rsidRPr="00834337">
        <w:rPr>
          <w:rFonts w:ascii="Palatino Linotype" w:hAnsi="Palatino Linotype"/>
          <w:sz w:val="18"/>
          <w:szCs w:val="18"/>
        </w:rPr>
        <w:t xml:space="preserve"> The raw gene counts of Psen1, App, and Thy1 were normalized within the global expression table using the size factor provided by DESeq2. Dark green dots represent the wild-type </w:t>
      </w:r>
      <w:r w:rsidRPr="00834337" w:rsidDel="00DA13B5">
        <w:rPr>
          <w:rFonts w:ascii="Palatino Linotype" w:hAnsi="Palatino Linotype"/>
          <w:sz w:val="18"/>
          <w:szCs w:val="18"/>
        </w:rPr>
        <w:t>samples</w:t>
      </w:r>
      <w:r w:rsidRPr="00834337">
        <w:rPr>
          <w:rFonts w:ascii="Palatino Linotype" w:hAnsi="Palatino Linotype"/>
          <w:sz w:val="18"/>
          <w:szCs w:val="18"/>
        </w:rPr>
        <w:t xml:space="preserve">, and the 5xFAD mice are </w:t>
      </w:r>
      <w:proofErr w:type="spellStart"/>
      <w:r w:rsidRPr="00834337">
        <w:rPr>
          <w:rFonts w:ascii="Palatino Linotype" w:hAnsi="Palatino Linotype"/>
          <w:sz w:val="18"/>
          <w:szCs w:val="18"/>
        </w:rPr>
        <w:t>colored</w:t>
      </w:r>
      <w:proofErr w:type="spellEnd"/>
      <w:r w:rsidRPr="00834337">
        <w:rPr>
          <w:rFonts w:ascii="Palatino Linotype" w:hAnsi="Palatino Linotype"/>
          <w:sz w:val="18"/>
          <w:szCs w:val="18"/>
        </w:rPr>
        <w:t xml:space="preserve"> in light green. The counts of all three genes show two clusters that separate the disease model from healthy controls, thus demonstrating successful genotyping at the transcriptional level.</w:t>
      </w:r>
    </w:p>
    <w:p w14:paraId="5E8B637F" w14:textId="2474F321" w:rsidR="00834337" w:rsidRDefault="00834337" w:rsidP="00834337">
      <w:pPr>
        <w:jc w:val="both"/>
        <w:rPr>
          <w:rFonts w:ascii="Palatino Linotype" w:hAnsi="Palatino Linotype"/>
          <w:sz w:val="18"/>
          <w:szCs w:val="18"/>
        </w:rPr>
      </w:pPr>
    </w:p>
    <w:p w14:paraId="359FF35C" w14:textId="5447D701" w:rsidR="00834337" w:rsidRDefault="00834337" w:rsidP="00834337">
      <w:pPr>
        <w:jc w:val="both"/>
        <w:rPr>
          <w:rFonts w:ascii="Palatino Linotype" w:hAnsi="Palatino Linotype"/>
          <w:sz w:val="18"/>
          <w:szCs w:val="18"/>
        </w:rPr>
      </w:pPr>
    </w:p>
    <w:p w14:paraId="63101F3F" w14:textId="7C8BA493" w:rsidR="00834337" w:rsidRDefault="00834337" w:rsidP="00834337">
      <w:pPr>
        <w:jc w:val="both"/>
        <w:rPr>
          <w:rFonts w:ascii="Palatino Linotype" w:hAnsi="Palatino Linotype"/>
          <w:sz w:val="18"/>
          <w:szCs w:val="18"/>
        </w:rPr>
      </w:pPr>
    </w:p>
    <w:p w14:paraId="7F327C30" w14:textId="4ED33EC3" w:rsidR="00834337" w:rsidRDefault="00834337" w:rsidP="00834337">
      <w:pPr>
        <w:jc w:val="both"/>
        <w:rPr>
          <w:rFonts w:ascii="Palatino Linotype" w:hAnsi="Palatino Linotype"/>
          <w:sz w:val="18"/>
          <w:szCs w:val="18"/>
        </w:rPr>
      </w:pPr>
    </w:p>
    <w:p w14:paraId="191BAC76" w14:textId="77777777" w:rsidR="00834337" w:rsidRPr="00834337" w:rsidRDefault="00834337" w:rsidP="00834337">
      <w:pPr>
        <w:jc w:val="both"/>
        <w:rPr>
          <w:rFonts w:ascii="Palatino Linotype" w:hAnsi="Palatino Linotype"/>
          <w:sz w:val="18"/>
          <w:szCs w:val="18"/>
        </w:rPr>
      </w:pPr>
    </w:p>
    <w:p w14:paraId="305C9DE4" w14:textId="77777777" w:rsidR="00C253C2" w:rsidRPr="00CC6A6B" w:rsidRDefault="00C253C2" w:rsidP="00C253C2">
      <w:pPr>
        <w:rPr>
          <w:rFonts w:ascii="Times New Roman" w:hAnsi="Times New Roman"/>
        </w:rPr>
      </w:pPr>
    </w:p>
    <w:p w14:paraId="6C2213BC" w14:textId="543AADBC" w:rsidR="00C253C2" w:rsidRDefault="00C253C2" w:rsidP="00834337">
      <w:pPr>
        <w:jc w:val="center"/>
        <w:rPr>
          <w:rFonts w:ascii="Times New Roman" w:eastAsia="Calibri" w:hAnsi="Times New Roman"/>
          <w:b/>
          <w:bCs/>
        </w:rPr>
      </w:pPr>
      <w:r>
        <w:rPr>
          <w:noProof/>
        </w:rPr>
        <w:lastRenderedPageBreak/>
        <w:drawing>
          <wp:inline distT="0" distB="0" distL="0" distR="0" wp14:anchorId="3F964207" wp14:editId="026FE27C">
            <wp:extent cx="5676902" cy="2835275"/>
            <wp:effectExtent l="0" t="0" r="0" b="0"/>
            <wp:docPr id="1919372176" name="Picture 19193721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2" cy="283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C0051" w14:textId="2B84B5D7" w:rsidR="00C253C2" w:rsidRDefault="00C253C2" w:rsidP="00834337">
      <w:pPr>
        <w:rPr>
          <w:rFonts w:ascii="Palatino Linotype" w:hAnsi="Palatino Linotype"/>
          <w:sz w:val="18"/>
          <w:szCs w:val="18"/>
        </w:rPr>
      </w:pPr>
      <w:r w:rsidRPr="00834337">
        <w:rPr>
          <w:rFonts w:ascii="Palatino Linotype" w:hAnsi="Palatino Linotype"/>
          <w:b/>
          <w:bCs/>
          <w:sz w:val="18"/>
          <w:szCs w:val="18"/>
        </w:rPr>
        <w:t>Figure S2: Principal Component Analysis of normalized counts from training-specific groups.</w:t>
      </w:r>
      <w:r w:rsidRPr="00834337">
        <w:rPr>
          <w:rFonts w:ascii="Palatino Linotype" w:hAnsi="Palatino Linotype"/>
          <w:sz w:val="18"/>
          <w:szCs w:val="18"/>
        </w:rPr>
        <w:t xml:space="preserve"> Using principal component analysis, the highest variances within the gene counts corresponding to principal component 1 (PC1) and principal component 2 (PC2) were calculated and plotted for A) sedentary (n = 8), B) chronically trained (n = 8) and C) wild-type (n = 8) mice. In A), dark green dots represent wild-type samples, while light green dots correspond to 5xFAD mice. The shapes of the symbols and the </w:t>
      </w:r>
      <w:proofErr w:type="spellStart"/>
      <w:r w:rsidRPr="00834337">
        <w:rPr>
          <w:rFonts w:ascii="Palatino Linotype" w:hAnsi="Palatino Linotype"/>
          <w:sz w:val="18"/>
          <w:szCs w:val="18"/>
        </w:rPr>
        <w:t>colors</w:t>
      </w:r>
      <w:proofErr w:type="spellEnd"/>
      <w:r w:rsidRPr="00834337">
        <w:rPr>
          <w:rFonts w:ascii="Palatino Linotype" w:hAnsi="Palatino Linotype"/>
          <w:sz w:val="18"/>
          <w:szCs w:val="18"/>
        </w:rPr>
        <w:t xml:space="preserve"> show the different training groups. The corresponding legend is located on the bottom.</w:t>
      </w:r>
    </w:p>
    <w:p w14:paraId="1D40B114" w14:textId="55D61A0A" w:rsidR="00834337" w:rsidRDefault="00834337" w:rsidP="00834337">
      <w:pPr>
        <w:rPr>
          <w:rFonts w:ascii="Palatino Linotype" w:hAnsi="Palatino Linotype"/>
          <w:sz w:val="18"/>
          <w:szCs w:val="18"/>
        </w:rPr>
      </w:pPr>
    </w:p>
    <w:p w14:paraId="11B1E04E" w14:textId="77777777" w:rsidR="00834337" w:rsidRPr="00834337" w:rsidRDefault="00834337" w:rsidP="00834337">
      <w:pPr>
        <w:rPr>
          <w:rFonts w:ascii="Palatino Linotype" w:hAnsi="Palatino Linotype"/>
          <w:sz w:val="18"/>
          <w:szCs w:val="18"/>
        </w:rPr>
      </w:pPr>
    </w:p>
    <w:p w14:paraId="4E85085B" w14:textId="58535A45" w:rsidR="00C253C2" w:rsidRPr="00CC6A6B" w:rsidRDefault="00C253C2" w:rsidP="00834337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9505DA8" wp14:editId="3B25A8C3">
            <wp:extent cx="5801996" cy="2821940"/>
            <wp:effectExtent l="0" t="0" r="0" b="0"/>
            <wp:docPr id="1835558355" name="Picture 18355583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1996" cy="282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83C3" w14:textId="491BDC87" w:rsidR="00C253C2" w:rsidRPr="00834337" w:rsidRDefault="00C253C2">
      <w:pPr>
        <w:rPr>
          <w:rFonts w:ascii="Palatino Linotype" w:hAnsi="Palatino Linotype"/>
          <w:sz w:val="18"/>
          <w:szCs w:val="18"/>
        </w:rPr>
      </w:pPr>
      <w:r w:rsidRPr="00834337">
        <w:rPr>
          <w:rFonts w:ascii="Palatino Linotype" w:hAnsi="Palatino Linotype"/>
          <w:b/>
          <w:bCs/>
          <w:sz w:val="18"/>
          <w:szCs w:val="18"/>
        </w:rPr>
        <w:t xml:space="preserve">Figure S3: Volcano plots of all pairwise contrasts of training groups in 5xFAD samples. </w:t>
      </w:r>
      <w:r w:rsidRPr="00834337">
        <w:rPr>
          <w:rFonts w:ascii="Palatino Linotype" w:hAnsi="Palatino Linotype"/>
          <w:sz w:val="18"/>
          <w:szCs w:val="18"/>
        </w:rPr>
        <w:t xml:space="preserve">The volcano plots visualize the negative log10 of the adjusted p-value and the corresponding log2-fold change of the differential expression analysis between A) chronic training and sedentariness (n=3+3), B) acute training, and sedentariness and C) acute training and chronic training of 5xFAD mice. Each group consisted of four samples. Positive and negative log2-fold change values correspond to up- and downregulation in each comparison. Significant differentially expressed genes with an adjusted p-value &lt; 0.05 are </w:t>
      </w:r>
      <w:proofErr w:type="spellStart"/>
      <w:r w:rsidRPr="00834337">
        <w:rPr>
          <w:rFonts w:ascii="Palatino Linotype" w:hAnsi="Palatino Linotype"/>
          <w:sz w:val="18"/>
          <w:szCs w:val="18"/>
        </w:rPr>
        <w:t>colored</w:t>
      </w:r>
      <w:proofErr w:type="spellEnd"/>
      <w:r w:rsidRPr="00834337">
        <w:rPr>
          <w:rFonts w:ascii="Palatino Linotype" w:hAnsi="Palatino Linotype"/>
          <w:sz w:val="18"/>
          <w:szCs w:val="18"/>
        </w:rPr>
        <w:t xml:space="preserve"> in blue, corresponding to upregulation. All non-significant genes are </w:t>
      </w:r>
      <w:proofErr w:type="spellStart"/>
      <w:r w:rsidRPr="00834337">
        <w:rPr>
          <w:rFonts w:ascii="Palatino Linotype" w:hAnsi="Palatino Linotype"/>
          <w:sz w:val="18"/>
          <w:szCs w:val="18"/>
        </w:rPr>
        <w:t>colored</w:t>
      </w:r>
      <w:proofErr w:type="spellEnd"/>
      <w:r w:rsidRPr="00834337">
        <w:rPr>
          <w:rFonts w:ascii="Palatino Linotype" w:hAnsi="Palatino Linotype"/>
          <w:sz w:val="18"/>
          <w:szCs w:val="18"/>
        </w:rPr>
        <w:t xml:space="preserve"> </w:t>
      </w:r>
      <w:proofErr w:type="spellStart"/>
      <w:r w:rsidRPr="00834337">
        <w:rPr>
          <w:rFonts w:ascii="Palatino Linotype" w:hAnsi="Palatino Linotype"/>
          <w:sz w:val="18"/>
          <w:szCs w:val="18"/>
        </w:rPr>
        <w:t>gray</w:t>
      </w:r>
      <w:proofErr w:type="spellEnd"/>
      <w:r w:rsidRPr="00834337">
        <w:rPr>
          <w:rFonts w:ascii="Palatino Linotype" w:hAnsi="Palatino Linotype"/>
          <w:sz w:val="18"/>
          <w:szCs w:val="18"/>
        </w:rPr>
        <w:t xml:space="preserve"> (see legend)</w:t>
      </w:r>
      <w:r w:rsidR="00834337">
        <w:rPr>
          <w:rFonts w:ascii="Palatino Linotype" w:hAnsi="Palatino Linotype"/>
          <w:sz w:val="18"/>
          <w:szCs w:val="18"/>
        </w:rPr>
        <w:t>.</w:t>
      </w:r>
    </w:p>
    <w:sectPr w:rsidR="00C253C2" w:rsidRPr="00834337" w:rsidSect="00152019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5E810" w14:textId="77777777" w:rsidR="00834337" w:rsidRDefault="00834337" w:rsidP="00834337">
      <w:pPr>
        <w:spacing w:after="0" w:line="240" w:lineRule="auto"/>
      </w:pPr>
      <w:r>
        <w:separator/>
      </w:r>
    </w:p>
  </w:endnote>
  <w:endnote w:type="continuationSeparator" w:id="0">
    <w:p w14:paraId="78F82D32" w14:textId="77777777" w:rsidR="00834337" w:rsidRDefault="00834337" w:rsidP="00834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528996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6213C7" w14:textId="26507A77" w:rsidR="00834337" w:rsidRDefault="0083433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14CA02" w14:textId="77777777" w:rsidR="00834337" w:rsidRDefault="008343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C7C84" w14:textId="77777777" w:rsidR="00834337" w:rsidRDefault="00834337" w:rsidP="00834337">
      <w:pPr>
        <w:spacing w:after="0" w:line="240" w:lineRule="auto"/>
      </w:pPr>
      <w:r>
        <w:separator/>
      </w:r>
    </w:p>
  </w:footnote>
  <w:footnote w:type="continuationSeparator" w:id="0">
    <w:p w14:paraId="4E65C2E6" w14:textId="77777777" w:rsidR="00834337" w:rsidRDefault="00834337" w:rsidP="008343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3C2"/>
    <w:rsid w:val="00152019"/>
    <w:rsid w:val="004A43A2"/>
    <w:rsid w:val="00834337"/>
    <w:rsid w:val="00C0667D"/>
    <w:rsid w:val="00C2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5C3D44"/>
  <w15:chartTrackingRefBased/>
  <w15:docId w15:val="{C26DACE4-2907-4F15-BE0B-3287F30F8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qFormat/>
    <w:rsid w:val="00C253C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C253C2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834337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8343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337"/>
  </w:style>
  <w:style w:type="paragraph" w:styleId="Footer">
    <w:name w:val="footer"/>
    <w:basedOn w:val="Normal"/>
    <w:link w:val="FooterChar"/>
    <w:uiPriority w:val="99"/>
    <w:unhideWhenUsed/>
    <w:rsid w:val="008343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B6C1D72A3D341896C89CAF6CECAE1" ma:contentTypeVersion="11" ma:contentTypeDescription="Create a new document." ma:contentTypeScope="" ma:versionID="1f07438ae14e0d3f82d4132e05a69a9f">
  <xsd:schema xmlns:xsd="http://www.w3.org/2001/XMLSchema" xmlns:xs="http://www.w3.org/2001/XMLSchema" xmlns:p="http://schemas.microsoft.com/office/2006/metadata/properties" xmlns:ns3="58719e29-28aa-475e-b4fd-1c2b6a63ac21" xmlns:ns4="fdeabd80-4b56-4927-96fb-8477582a1682" targetNamespace="http://schemas.microsoft.com/office/2006/metadata/properties" ma:root="true" ma:fieldsID="b488bac0751417f869aa8e0c51ee42af" ns3:_="" ns4:_="">
    <xsd:import namespace="58719e29-28aa-475e-b4fd-1c2b6a63ac21"/>
    <xsd:import namespace="fdeabd80-4b56-4927-96fb-8477582a168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719e29-28aa-475e-b4fd-1c2b6a63ac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eabd80-4b56-4927-96fb-8477582a16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D0C92C-71CD-4536-8AFA-F8102D7DE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719e29-28aa-475e-b4fd-1c2b6a63ac21"/>
    <ds:schemaRef ds:uri="fdeabd80-4b56-4927-96fb-8477582a1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41142F-0D92-4734-ACC4-032212140C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09D2DC-9760-4EBA-B18A-99205931DAD7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fdeabd80-4b56-4927-96fb-8477582a1682"/>
    <ds:schemaRef ds:uri="58719e29-28aa-475e-b4fd-1c2b6a63ac21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2021-02-09T12:12:00Z</dcterms:created>
  <dcterms:modified xsi:type="dcterms:W3CDTF">2021-02-09T12:12:00Z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0x010100625B6C1D72A3D341896C89CAF6CECAE1</vt:lpwstr>
  </property>
</Properties>
</file>