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29C54" w14:textId="195CEF07" w:rsidR="005A4FB1" w:rsidRDefault="005A4FB1" w:rsidP="005A4FB1">
      <w:pPr>
        <w:pStyle w:val="MDPI11articletype"/>
      </w:pPr>
      <w:r>
        <w:t>Supplementary Materials</w:t>
      </w:r>
    </w:p>
    <w:p w14:paraId="3A742BA4" w14:textId="77777777" w:rsidR="005A4FB1" w:rsidRPr="005A4FB1" w:rsidRDefault="005A4FB1" w:rsidP="005A4FB1">
      <w:pPr>
        <w:pStyle w:val="MDPI12title"/>
        <w:tabs>
          <w:tab w:val="left" w:pos="2687"/>
        </w:tabs>
        <w:spacing w:line="240" w:lineRule="atLeast"/>
        <w:rPr>
          <w:color w:val="auto"/>
        </w:rPr>
      </w:pPr>
      <w:r w:rsidRPr="005A4FB1">
        <w:rPr>
          <w:rFonts w:eastAsia="DengXian"/>
          <w:color w:val="auto"/>
          <w:lang w:eastAsia="zh-CN"/>
        </w:rPr>
        <w:t xml:space="preserve">Characterization of </w:t>
      </w:r>
      <w:r w:rsidRPr="005A4FB1">
        <w:rPr>
          <w:color w:val="auto"/>
          <w:lang w:eastAsia="zh-CN"/>
        </w:rPr>
        <w:t>Somatic Embryogenesis Receptor Like Kinase</w:t>
      </w:r>
      <w:r w:rsidRPr="005A4FB1">
        <w:rPr>
          <w:rFonts w:eastAsia="DengXian"/>
          <w:color w:val="auto"/>
          <w:lang w:eastAsia="zh-CN"/>
        </w:rPr>
        <w:t xml:space="preserve"> 4 as </w:t>
      </w:r>
      <w:r w:rsidRPr="005A4FB1">
        <w:rPr>
          <w:color w:val="auto"/>
        </w:rPr>
        <w:t xml:space="preserve">a </w:t>
      </w:r>
      <w:r w:rsidRPr="005A4FB1">
        <w:rPr>
          <w:rFonts w:eastAsia="DengXian"/>
          <w:color w:val="auto"/>
          <w:lang w:eastAsia="zh-CN"/>
        </w:rPr>
        <w:t>Negative Regulator of Leaf</w:t>
      </w:r>
      <w:r w:rsidRPr="005A4FB1">
        <w:rPr>
          <w:color w:val="auto"/>
          <w:lang w:eastAsia="zh-CN"/>
        </w:rPr>
        <w:t xml:space="preserve"> </w:t>
      </w:r>
      <w:r w:rsidRPr="005A4FB1">
        <w:rPr>
          <w:color w:val="auto"/>
        </w:rPr>
        <w:t xml:space="preserve">Senescence </w:t>
      </w:r>
      <w:r w:rsidRPr="005A4FB1">
        <w:rPr>
          <w:color w:val="auto"/>
          <w:lang w:eastAsia="zh-CN"/>
        </w:rPr>
        <w:t xml:space="preserve">in </w:t>
      </w:r>
      <w:r w:rsidRPr="005A4FB1">
        <w:rPr>
          <w:i/>
          <w:color w:val="auto"/>
          <w:lang w:eastAsia="zh-CN"/>
        </w:rPr>
        <w:t>Arabidopsis</w:t>
      </w:r>
    </w:p>
    <w:p w14:paraId="5E0FEEEB" w14:textId="77777777" w:rsidR="00CF537F" w:rsidRPr="00CF537F" w:rsidRDefault="00CF537F" w:rsidP="00CF537F">
      <w:pPr>
        <w:adjustRightInd w:val="0"/>
        <w:snapToGrid w:val="0"/>
        <w:spacing w:after="120" w:line="260" w:lineRule="atLeast"/>
        <w:jc w:val="left"/>
        <w:rPr>
          <w:rFonts w:ascii="Palatino Linotype" w:hAnsi="Palatino Linotype"/>
          <w:b/>
          <w:sz w:val="20"/>
          <w:szCs w:val="22"/>
          <w:lang w:bidi="en-US"/>
        </w:rPr>
      </w:pPr>
      <w:proofErr w:type="spellStart"/>
      <w:r w:rsidRPr="00CF537F">
        <w:rPr>
          <w:rFonts w:ascii="Palatino Linotype" w:hAnsi="Palatino Linotype"/>
          <w:b/>
          <w:sz w:val="20"/>
          <w:szCs w:val="22"/>
          <w:lang w:bidi="en-US"/>
        </w:rPr>
        <w:t>Xiaoxu</w:t>
      </w:r>
      <w:proofErr w:type="spellEnd"/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Li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</w:t>
      </w:r>
      <w:proofErr w:type="gramStart"/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2,†</w:t>
      </w:r>
      <w:proofErr w:type="gramEnd"/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Salman Ahmad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1,2,†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Akhtar Ali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</w:t>
      </w:r>
      <w:proofErr w:type="spellStart"/>
      <w:r w:rsidRPr="00CF537F">
        <w:rPr>
          <w:rFonts w:ascii="Palatino Linotype" w:hAnsi="Palatino Linotype"/>
          <w:b/>
          <w:sz w:val="20"/>
          <w:szCs w:val="22"/>
          <w:lang w:bidi="en-US"/>
        </w:rPr>
        <w:t>Cun</w:t>
      </w:r>
      <w:proofErr w:type="spellEnd"/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Guo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1,2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Hong Li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</w:t>
      </w:r>
      <w:r w:rsidRPr="00CF537F">
        <w:rPr>
          <w:rFonts w:ascii="Palatino Linotype" w:hAnsi="Palatino Linotype"/>
          <w:b/>
          <w:sz w:val="20"/>
          <w:szCs w:val="22"/>
          <w:lang w:eastAsia="zh-CN" w:bidi="en-US"/>
        </w:rPr>
        <w:t>Jing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r w:rsidRPr="00CF537F">
        <w:rPr>
          <w:rFonts w:ascii="Palatino Linotype" w:hAnsi="Palatino Linotype"/>
          <w:b/>
          <w:sz w:val="20"/>
          <w:szCs w:val="22"/>
          <w:lang w:eastAsia="zh-CN" w:bidi="en-US"/>
        </w:rPr>
        <w:t>Yu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Yan Zhang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1,2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, </w:t>
      </w:r>
      <w:proofErr w:type="spellStart"/>
      <w:r w:rsidRPr="00CF537F">
        <w:rPr>
          <w:rFonts w:ascii="Palatino Linotype" w:hAnsi="Palatino Linotype"/>
          <w:b/>
          <w:sz w:val="20"/>
          <w:szCs w:val="22"/>
          <w:lang w:bidi="en-US"/>
        </w:rPr>
        <w:t>Xiaoming</w:t>
      </w:r>
      <w:proofErr w:type="spellEnd"/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Gao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1,2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and </w:t>
      </w:r>
      <w:proofErr w:type="spellStart"/>
      <w:r w:rsidRPr="00CF537F">
        <w:rPr>
          <w:rFonts w:ascii="Palatino Linotype" w:hAnsi="Palatino Linotype"/>
          <w:b/>
          <w:sz w:val="20"/>
          <w:szCs w:val="22"/>
          <w:lang w:bidi="en-US"/>
        </w:rPr>
        <w:t>Yongfeng</w:t>
      </w:r>
      <w:proofErr w:type="spellEnd"/>
      <w:r w:rsidRPr="00CF537F">
        <w:rPr>
          <w:rFonts w:ascii="Palatino Linotype" w:hAnsi="Palatino Linotype"/>
          <w:b/>
          <w:sz w:val="20"/>
          <w:szCs w:val="22"/>
          <w:lang w:bidi="en-US"/>
        </w:rPr>
        <w:t xml:space="preserve"> Guo </w:t>
      </w:r>
      <w:r w:rsidRPr="00CF537F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</w:t>
      </w:r>
      <w:r w:rsidRPr="00CF537F">
        <w:rPr>
          <w:rFonts w:ascii="Palatino Linotype" w:hAnsi="Palatino Linotype"/>
          <w:b/>
          <w:sz w:val="20"/>
          <w:szCs w:val="22"/>
          <w:lang w:bidi="en-US"/>
        </w:rPr>
        <w:t>*</w:t>
      </w:r>
    </w:p>
    <w:p w14:paraId="42F240E4" w14:textId="5DFD6F24" w:rsidR="005A4FB1" w:rsidRDefault="005A4FB1" w:rsidP="005A4FB1">
      <w:pPr>
        <w:pStyle w:val="MDPI16affiliation"/>
        <w:rPr>
          <w:rFonts w:eastAsia="SimSun" w:cs="SimSun"/>
          <w:lang w:eastAsia="zh-CN"/>
        </w:rPr>
      </w:pPr>
      <w:r w:rsidRPr="005A4FB1">
        <w:rPr>
          <w:vertAlign w:val="superscript"/>
        </w:rPr>
        <w:t>1</w:t>
      </w:r>
      <w:r w:rsidRPr="005A4FB1">
        <w:tab/>
        <w:t xml:space="preserve">Key Laboratory for Tobacco Gene Resources, Tobacco Research Institute, Chinese Academy of Agricultural Sciences, Qingdao </w:t>
      </w:r>
      <w:r>
        <w:t xml:space="preserve">266101, China; 82101171073@caas.cn (X.L.); </w:t>
      </w:r>
      <w:r w:rsidRPr="005A4FB1">
        <w:t>safitfa@yahoo.com</w:t>
      </w:r>
      <w:r>
        <w:t xml:space="preserve"> (</w:t>
      </w:r>
      <w:r>
        <w:rPr>
          <w:lang w:eastAsia="zh-CN"/>
        </w:rPr>
        <w:t>S</w:t>
      </w:r>
      <w:r>
        <w:t>.</w:t>
      </w:r>
      <w:r>
        <w:rPr>
          <w:lang w:eastAsia="zh-CN"/>
        </w:rPr>
        <w:t>A</w:t>
      </w:r>
      <w:r>
        <w:t xml:space="preserve">.); akhtar_arid@yahoo.com (A.A.); 82101172197@caas.cn (C.G.); </w:t>
      </w:r>
      <w:r>
        <w:rPr>
          <w:lang w:eastAsia="zh-CN"/>
        </w:rPr>
        <w:t>lihongcq1993</w:t>
      </w:r>
      <w:r>
        <w:t>@163.com (H</w:t>
      </w:r>
      <w:r>
        <w:rPr>
          <w:lang w:eastAsia="zh-CN"/>
        </w:rPr>
        <w:t xml:space="preserve">.L.); </w:t>
      </w:r>
      <w:r w:rsidRPr="005A4FB1">
        <w:rPr>
          <w:lang w:eastAsia="zh-CN"/>
        </w:rPr>
        <w:t>yujing_qau@163.com</w:t>
      </w:r>
      <w:r>
        <w:t xml:space="preserve"> (J.Y.); </w:t>
      </w:r>
      <w:r w:rsidRPr="005A4FB1">
        <w:t>zhangyan03@caas.cn</w:t>
      </w:r>
      <w:r>
        <w:t xml:space="preserve"> (Y.Z.); gaoxiaoming@caas.cn (X.G.)</w:t>
      </w:r>
    </w:p>
    <w:p w14:paraId="62B034A1" w14:textId="77777777" w:rsidR="005A4FB1" w:rsidRDefault="005A4FB1" w:rsidP="005A4FB1">
      <w:pPr>
        <w:pStyle w:val="MDPI16affiliation"/>
      </w:pPr>
      <w:r>
        <w:rPr>
          <w:vertAlign w:val="superscript"/>
        </w:rPr>
        <w:t>2</w:t>
      </w:r>
      <w:r>
        <w:tab/>
        <w:t>Graduate School of Chinese Academy of Agricultural Science</w:t>
      </w:r>
      <w:r>
        <w:rPr>
          <w:lang w:eastAsia="zh-CN"/>
        </w:rPr>
        <w:t>s</w:t>
      </w:r>
      <w:r>
        <w:t>, Beijing 100081, China</w:t>
      </w:r>
    </w:p>
    <w:p w14:paraId="1CE00179" w14:textId="77777777" w:rsidR="005A4FB1" w:rsidRDefault="005A4FB1" w:rsidP="005A4FB1">
      <w:pPr>
        <w:pStyle w:val="MDPI14history"/>
        <w:spacing w:before="0"/>
        <w:ind w:left="311" w:hanging="198"/>
        <w:rPr>
          <w:color w:val="auto"/>
        </w:rPr>
      </w:pPr>
      <w:r>
        <w:rPr>
          <w:b/>
          <w:color w:val="auto"/>
        </w:rPr>
        <w:t>*</w:t>
      </w:r>
      <w:r>
        <w:rPr>
          <w:color w:val="auto"/>
        </w:rPr>
        <w:tab/>
        <w:t>Correspondence: guoyongfeng@caas.cn (Y.G.); Tel.: +86-532-667-15256</w:t>
      </w:r>
    </w:p>
    <w:p w14:paraId="6F9186B8" w14:textId="1BD26E39" w:rsidR="005A4FB1" w:rsidRDefault="005A4FB1" w:rsidP="005A4FB1">
      <w:pPr>
        <w:pStyle w:val="MDPI41tablecaption"/>
      </w:pPr>
      <w:r w:rsidRPr="005A4FB1">
        <w:rPr>
          <w:b/>
        </w:rPr>
        <w:t>†</w:t>
      </w:r>
      <w:r>
        <w:tab/>
        <w:t>These authors contributed equally to this work.</w:t>
      </w:r>
    </w:p>
    <w:p w14:paraId="00CA9A60" w14:textId="7EC8FDF7" w:rsidR="005A4FB1" w:rsidRPr="005A4FB1" w:rsidRDefault="005A4FB1" w:rsidP="005A4FB1">
      <w:pPr>
        <w:pStyle w:val="MDPI41tablecaption"/>
        <w:jc w:val="center"/>
      </w:pPr>
      <w:r w:rsidRPr="005A4FB1">
        <w:rPr>
          <w:b/>
        </w:rPr>
        <w:t>Table S1.</w:t>
      </w:r>
      <w:r w:rsidRPr="005A4FB1">
        <w:t xml:space="preserve"> The PCR primers used in this study.</w:t>
      </w:r>
    </w:p>
    <w:tbl>
      <w:tblPr>
        <w:tblW w:w="855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610"/>
        <w:gridCol w:w="5610"/>
      </w:tblGrid>
      <w:tr w:rsidR="0095795B" w:rsidRPr="0095795B" w14:paraId="6F80B6C9" w14:textId="77777777" w:rsidTr="0095795B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10A5F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95795B">
              <w:rPr>
                <w:b/>
                <w:sz w:val="18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7D2E1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95795B">
              <w:rPr>
                <w:b/>
                <w:sz w:val="18"/>
              </w:rPr>
              <w:t>Primer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1C433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95795B">
              <w:rPr>
                <w:b/>
                <w:sz w:val="18"/>
              </w:rPr>
              <w:t>Sequence</w:t>
            </w:r>
            <w:r w:rsidRPr="0095795B">
              <w:rPr>
                <w:rFonts w:hint="eastAsia"/>
                <w:b/>
                <w:sz w:val="18"/>
              </w:rPr>
              <w:t xml:space="preserve"> (5</w:t>
            </w:r>
            <w:r w:rsidRPr="0095795B">
              <w:rPr>
                <w:b/>
                <w:sz w:val="18"/>
              </w:rPr>
              <w:t>’</w:t>
            </w:r>
            <w:r w:rsidRPr="0095795B">
              <w:rPr>
                <w:rFonts w:hint="eastAsia"/>
                <w:b/>
                <w:sz w:val="18"/>
              </w:rPr>
              <w:t>-3</w:t>
            </w:r>
            <w:r w:rsidRPr="0095795B">
              <w:rPr>
                <w:b/>
                <w:sz w:val="18"/>
              </w:rPr>
              <w:t>’</w:t>
            </w:r>
            <w:r w:rsidRPr="0095795B">
              <w:rPr>
                <w:rFonts w:hint="eastAsia"/>
                <w:b/>
                <w:sz w:val="18"/>
              </w:rPr>
              <w:t>)</w:t>
            </w:r>
          </w:p>
        </w:tc>
      </w:tr>
      <w:tr w:rsidR="0095795B" w:rsidRPr="0095795B" w14:paraId="088CEE7D" w14:textId="77777777" w:rsidTr="0095795B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12A31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95795B">
              <w:rPr>
                <w:rFonts w:hint="eastAsia"/>
                <w:i/>
                <w:sz w:val="18"/>
              </w:rPr>
              <w:t>RBCS</w:t>
            </w:r>
          </w:p>
          <w:p w14:paraId="39EC664E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1D834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RBCS</w:t>
            </w:r>
            <w:r w:rsidRPr="0095795B">
              <w:rPr>
                <w:sz w:val="18"/>
              </w:rPr>
              <w:t>F</w:t>
            </w:r>
          </w:p>
          <w:p w14:paraId="3041CC1A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RBCS</w:t>
            </w:r>
            <w:r w:rsidRPr="0095795B">
              <w:rPr>
                <w:sz w:val="18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FD9B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TTCGGAATCGGTAAGGTCAGG</w:t>
            </w:r>
          </w:p>
          <w:p w14:paraId="178FF3E9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CCACCCGCAAGGCTAACAAC</w:t>
            </w:r>
          </w:p>
        </w:tc>
      </w:tr>
      <w:tr w:rsidR="0095795B" w:rsidRPr="0095795B" w14:paraId="26EDB36F" w14:textId="77777777" w:rsidTr="0095795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A5F7C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95795B">
              <w:rPr>
                <w:rFonts w:hint="eastAsia"/>
                <w:i/>
                <w:sz w:val="18"/>
              </w:rPr>
              <w:t>SAG12</w:t>
            </w:r>
          </w:p>
          <w:p w14:paraId="771F098B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BE168C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SAG12F</w:t>
            </w:r>
          </w:p>
          <w:p w14:paraId="2373FF3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SAG12R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261F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GCTTTCATGGCAAGACCACATAG</w:t>
            </w:r>
          </w:p>
          <w:p w14:paraId="4044B557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TGGATACGGCGAATCTACTAACG</w:t>
            </w:r>
          </w:p>
        </w:tc>
      </w:tr>
      <w:tr w:rsidR="0095795B" w:rsidRPr="0095795B" w14:paraId="006CF162" w14:textId="77777777" w:rsidTr="0095795B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96139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  <w:r w:rsidRPr="0095795B">
              <w:rPr>
                <w:rFonts w:hint="eastAsia"/>
                <w:i/>
                <w:sz w:val="18"/>
              </w:rPr>
              <w:t>ACT2</w:t>
            </w:r>
          </w:p>
          <w:p w14:paraId="6AE38E83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F2A62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ACT2</w:t>
            </w:r>
            <w:r w:rsidRPr="0095795B">
              <w:rPr>
                <w:sz w:val="18"/>
              </w:rPr>
              <w:t>F</w:t>
            </w:r>
          </w:p>
          <w:p w14:paraId="2A69AF92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rFonts w:hint="eastAsia"/>
                <w:sz w:val="18"/>
              </w:rPr>
              <w:t>ACT2</w:t>
            </w:r>
            <w:r w:rsidRPr="0095795B">
              <w:rPr>
                <w:sz w:val="18"/>
              </w:rPr>
              <w:t>R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12FD5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AACAGCCCTGGGAGCATC</w:t>
            </w:r>
          </w:p>
          <w:p w14:paraId="7E14D644" w14:textId="77777777" w:rsidR="005A4FB1" w:rsidRPr="0095795B" w:rsidRDefault="005A4FB1" w:rsidP="0095795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95795B">
              <w:rPr>
                <w:sz w:val="18"/>
              </w:rPr>
              <w:t>CGCTCTTTCTTTCCAAGCTC</w:t>
            </w:r>
          </w:p>
        </w:tc>
      </w:tr>
    </w:tbl>
    <w:p w14:paraId="17C32DFC" w14:textId="2B9EA91D" w:rsidR="005A4FB1" w:rsidRPr="005A4FB1" w:rsidRDefault="005A4FB1" w:rsidP="005A4FB1">
      <w:pPr>
        <w:pStyle w:val="MDPI14history"/>
        <w:spacing w:before="0"/>
        <w:ind w:left="0"/>
        <w:rPr>
          <w:color w:val="auto"/>
        </w:rPr>
      </w:pPr>
    </w:p>
    <w:p w14:paraId="546A1F8C" w14:textId="2DEB4113" w:rsidR="00657CE6" w:rsidRPr="00FE40C4" w:rsidRDefault="006E4A78" w:rsidP="00657CE6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</w:rPr>
      </w:pPr>
      <w:bookmarkStart w:id="0" w:name="OLE_LINK3"/>
      <w:r>
        <w:rPr>
          <w:rFonts w:ascii="Palatino Linotype" w:hAnsi="Palatino Linotype"/>
          <w:noProof/>
          <w:sz w:val="18"/>
          <w:szCs w:val="18"/>
        </w:rPr>
        <w:pict w14:anchorId="06492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6" type="#_x0000_t75" style="position:absolute;left:0;text-align:left;margin-left:6.35pt;margin-top:17.75pt;width:78.8pt;height:28.35pt;z-index:-1;visibility:visible;mso-position-horizontal-relative:margin" wrapcoords="0 0 0 20610 20970 20610 20970 0 0 0">
            <v:imagedata r:id="rId7" o:title="CC-BY logo original v1" cropleft="1658f" cropright="975f"/>
            <w10:wrap type="tight" anchorx="margin"/>
          </v:shape>
        </w:pict>
      </w:r>
      <w:r w:rsidR="00657CE6" w:rsidRPr="00BD6EFA">
        <w:rPr>
          <w:rFonts w:ascii="Palatino Linotype" w:hAnsi="Palatino Linotype"/>
          <w:snapToGrid w:val="0"/>
          <w:sz w:val="18"/>
          <w:szCs w:val="18"/>
          <w:lang w:bidi="en-US"/>
        </w:rPr>
        <w:t xml:space="preserve">© </w:t>
      </w:r>
      <w:r w:rsidR="00657CE6">
        <w:rPr>
          <w:rFonts w:ascii="Palatino Linotype" w:hAnsi="Palatino Linotype"/>
          <w:snapToGrid w:val="0"/>
          <w:sz w:val="18"/>
          <w:szCs w:val="18"/>
          <w:lang w:bidi="en-US"/>
        </w:rPr>
        <w:t>201</w:t>
      </w:r>
      <w:r w:rsidR="00CF537F">
        <w:rPr>
          <w:rFonts w:ascii="Palatino Linotype" w:hAnsi="Palatino Linotype"/>
          <w:snapToGrid w:val="0"/>
          <w:sz w:val="18"/>
          <w:szCs w:val="18"/>
          <w:lang w:bidi="en-US"/>
        </w:rPr>
        <w:t>9</w:t>
      </w:r>
      <w:r w:rsidR="00657CE6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by the authors. Submitted for possible open</w:t>
      </w:r>
      <w:r w:rsidR="00657CE6" w:rsidRPr="00BD6EFA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access publication under the terms and conditions of the Creative Commons Attribution (</w:t>
      </w:r>
      <w:r w:rsidR="00657CE6">
        <w:rPr>
          <w:rFonts w:ascii="Palatino Linotype" w:hAnsi="Palatino Linotype"/>
          <w:snapToGrid w:val="0"/>
          <w:sz w:val="18"/>
          <w:szCs w:val="18"/>
          <w:lang w:bidi="en-US"/>
        </w:rPr>
        <w:t>CC BY</w:t>
      </w:r>
      <w:r w:rsidR="00657CE6" w:rsidRPr="00BD6EFA">
        <w:rPr>
          <w:rFonts w:ascii="Palatino Linotype" w:hAnsi="Palatino Linotype"/>
          <w:snapToGrid w:val="0"/>
          <w:sz w:val="18"/>
          <w:szCs w:val="18"/>
          <w:lang w:bidi="en-US"/>
        </w:rPr>
        <w:t>) license (http://creativecommons.org/licenses/by/4.0/).</w:t>
      </w:r>
      <w:bookmarkStart w:id="1" w:name="_GoBack"/>
      <w:bookmarkEnd w:id="0"/>
      <w:bookmarkEnd w:id="1"/>
    </w:p>
    <w:sectPr w:rsidR="00657CE6" w:rsidRPr="00FE40C4" w:rsidSect="005A4FB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06C4A" w14:textId="77777777" w:rsidR="006E4A78" w:rsidRDefault="006E4A78">
      <w:pPr>
        <w:spacing w:line="240" w:lineRule="auto"/>
      </w:pPr>
      <w:r>
        <w:separator/>
      </w:r>
    </w:p>
  </w:endnote>
  <w:endnote w:type="continuationSeparator" w:id="0">
    <w:p w14:paraId="716041A2" w14:textId="77777777" w:rsidR="006E4A78" w:rsidRDefault="006E4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C940" w14:textId="77777777" w:rsidR="00971111" w:rsidRPr="00F2034D" w:rsidRDefault="00971111" w:rsidP="00971111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DE67" w14:textId="0F73A94D" w:rsidR="00971111" w:rsidRPr="00372FCD" w:rsidRDefault="00971111" w:rsidP="00657CE6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547466">
      <w:rPr>
        <w:rFonts w:ascii="Palatino Linotype" w:hAnsi="Palatino Linotype"/>
        <w:i/>
        <w:sz w:val="16"/>
        <w:szCs w:val="16"/>
      </w:rPr>
      <w:t>Cells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</w:t>
    </w:r>
    <w:r w:rsidR="00CF537F">
      <w:rPr>
        <w:rFonts w:ascii="Palatino Linotype" w:hAnsi="Palatino Linotype"/>
        <w:b/>
        <w:bCs/>
        <w:iCs/>
        <w:sz w:val="16"/>
        <w:szCs w:val="16"/>
      </w:rPr>
      <w:t>9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7</w:t>
    </w:r>
    <w:r w:rsidRPr="00B65510">
      <w:rPr>
        <w:rFonts w:ascii="Palatino Linotype" w:hAnsi="Palatino Linotype"/>
        <w:iCs/>
        <w:sz w:val="16"/>
        <w:szCs w:val="16"/>
      </w:rPr>
      <w:t>,</w:t>
    </w:r>
    <w:r>
      <w:rPr>
        <w:rFonts w:ascii="Palatino Linotype" w:hAnsi="Palatino Linotype"/>
        <w:iCs/>
        <w:sz w:val="16"/>
        <w:szCs w:val="16"/>
      </w:rPr>
      <w:t xml:space="preserve"> </w:t>
    </w:r>
    <w:r>
      <w:rPr>
        <w:rFonts w:ascii="Palatino Linotype" w:hAnsi="Palatino Linotype"/>
        <w:sz w:val="16"/>
        <w:szCs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Pr="00B65510">
      <w:rPr>
        <w:rFonts w:ascii="Palatino Linotype" w:hAnsi="Palatino Linotype"/>
        <w:sz w:val="16"/>
        <w:szCs w:val="16"/>
        <w:lang w:val="fr-CH"/>
      </w:rPr>
      <w:t>:</w:t>
    </w:r>
    <w:r>
      <w:rPr>
        <w:rFonts w:ascii="Palatino Linotype" w:hAnsi="Palatino Linotype"/>
        <w:sz w:val="16"/>
        <w:szCs w:val="16"/>
        <w:lang w:val="fr-CH"/>
      </w:rPr>
      <w:t xml:space="preserve"> </w:t>
    </w:r>
    <w:r w:rsidRPr="00C7178D">
      <w:rPr>
        <w:rFonts w:ascii="Palatino Linotype" w:eastAsia="SimSun" w:hAnsi="Palatino Linotype"/>
        <w:sz w:val="16"/>
        <w:szCs w:val="16"/>
        <w:lang w:eastAsia="zh-CN"/>
      </w:rPr>
      <w:t>FOR PEER REVIEW</w:t>
    </w:r>
    <w:r>
      <w:rPr>
        <w:rFonts w:ascii="Palatino Linotype" w:hAnsi="Palatino Linotype"/>
        <w:sz w:val="20"/>
        <w:lang w:val="fr-CH"/>
      </w:rPr>
      <w:t xml:space="preserve"> </w:t>
    </w:r>
    <w:r w:rsidR="00657CE6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547466">
      <w:rPr>
        <w:rFonts w:ascii="Palatino Linotype" w:hAnsi="Palatino Linotype"/>
        <w:sz w:val="16"/>
        <w:szCs w:val="16"/>
      </w:rPr>
      <w:t>cells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09CBD" w14:textId="77777777" w:rsidR="006E4A78" w:rsidRDefault="006E4A78">
      <w:pPr>
        <w:spacing w:line="240" w:lineRule="auto"/>
      </w:pPr>
      <w:r>
        <w:separator/>
      </w:r>
    </w:p>
  </w:footnote>
  <w:footnote w:type="continuationSeparator" w:id="0">
    <w:p w14:paraId="69FD273F" w14:textId="77777777" w:rsidR="006E4A78" w:rsidRDefault="006E4A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34371" w14:textId="77777777" w:rsidR="00971111" w:rsidRDefault="00971111" w:rsidP="0097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3030" w14:textId="77777777" w:rsidR="00971111" w:rsidRPr="0013498B" w:rsidRDefault="00971111" w:rsidP="00657CE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Cells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7</w:t>
    </w:r>
    <w:r>
      <w:rPr>
        <w:rFonts w:ascii="Palatino Linotype" w:hAnsi="Palatino Linotype"/>
        <w:sz w:val="16"/>
      </w:rPr>
      <w:t xml:space="preserve">, x FOR PEER REVIEW </w:t>
    </w:r>
    <w:r w:rsidR="00657CE6"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293B61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293B61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E645A" w14:textId="77777777" w:rsidR="00971111" w:rsidRDefault="006E4A78" w:rsidP="00971111">
    <w:pPr>
      <w:pStyle w:val="MDPIheaderjournallogo"/>
    </w:pPr>
    <w:r>
      <w:rPr>
        <w:i w:val="0"/>
        <w:noProof/>
        <w:szCs w:val="16"/>
        <w:lang w:eastAsia="zh-CN"/>
      </w:rPr>
      <w:pict w14:anchorId="0EA5BDB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3.55pt;height:55.85pt;z-index:-1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" stroked="f">
          <v:textbox inset="0,0,0,0">
            <w:txbxContent>
              <w:p w14:paraId="4DBE4887" w14:textId="77777777" w:rsidR="00971111" w:rsidRDefault="006E4A78" w:rsidP="00971111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eastAsia="zh-CN"/>
                  </w:rPr>
                  <w:pict w14:anchorId="3FE2F1F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i1026" type="#_x0000_t75" style="width:42.75pt;height:27.75pt;visibility:visible">
                      <v:imagedata r:id="rId1" o:title="logo-mdpi"/>
                    </v:shape>
                  </w:pict>
                </w:r>
              </w:p>
            </w:txbxContent>
          </v:textbox>
          <w10:wrap anchorx="margin" anchory="page"/>
        </v:shape>
      </w:pict>
    </w:r>
    <w:r>
      <w:rPr>
        <w:noProof/>
        <w:lang w:eastAsia="zh-CN"/>
      </w:rPr>
      <w:pict w14:anchorId="076BCDAE">
        <v:shape id="Picture 5" o:spid="_x0000_i1027" type="#_x0000_t75" style="width:94.5pt;height:34.5pt;visibility:visible">
          <v:imagedata r:id="rId2" o:title="Cells_high-01" croptop="6985f" cropbottom="6485f" cropleft="3032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revisionView w:markup="0"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FB1"/>
    <w:rsid w:val="00014B2D"/>
    <w:rsid w:val="00036FA8"/>
    <w:rsid w:val="0007350A"/>
    <w:rsid w:val="000C0D7C"/>
    <w:rsid w:val="000C31B9"/>
    <w:rsid w:val="000E4397"/>
    <w:rsid w:val="0010080C"/>
    <w:rsid w:val="001330A9"/>
    <w:rsid w:val="00141264"/>
    <w:rsid w:val="00146297"/>
    <w:rsid w:val="00156246"/>
    <w:rsid w:val="001E2AEB"/>
    <w:rsid w:val="001E2C02"/>
    <w:rsid w:val="002230EE"/>
    <w:rsid w:val="00236BEF"/>
    <w:rsid w:val="002718E3"/>
    <w:rsid w:val="00293B61"/>
    <w:rsid w:val="00326141"/>
    <w:rsid w:val="00385063"/>
    <w:rsid w:val="003D0897"/>
    <w:rsid w:val="00401D30"/>
    <w:rsid w:val="00442299"/>
    <w:rsid w:val="00445E9E"/>
    <w:rsid w:val="00480683"/>
    <w:rsid w:val="004E6A47"/>
    <w:rsid w:val="005665FF"/>
    <w:rsid w:val="00571B42"/>
    <w:rsid w:val="005A4FB1"/>
    <w:rsid w:val="00614122"/>
    <w:rsid w:val="00657CE6"/>
    <w:rsid w:val="00692393"/>
    <w:rsid w:val="006E4A78"/>
    <w:rsid w:val="0072010E"/>
    <w:rsid w:val="00723F43"/>
    <w:rsid w:val="007A27D9"/>
    <w:rsid w:val="007A78F7"/>
    <w:rsid w:val="007F25EE"/>
    <w:rsid w:val="00813CEC"/>
    <w:rsid w:val="00846311"/>
    <w:rsid w:val="008727EF"/>
    <w:rsid w:val="008B18F3"/>
    <w:rsid w:val="008C7F0C"/>
    <w:rsid w:val="008F3BB4"/>
    <w:rsid w:val="00937D64"/>
    <w:rsid w:val="0095795B"/>
    <w:rsid w:val="00967A38"/>
    <w:rsid w:val="00971111"/>
    <w:rsid w:val="009F70E6"/>
    <w:rsid w:val="00A259C2"/>
    <w:rsid w:val="00A42885"/>
    <w:rsid w:val="00B12FA5"/>
    <w:rsid w:val="00B613D5"/>
    <w:rsid w:val="00B913E8"/>
    <w:rsid w:val="00BE4865"/>
    <w:rsid w:val="00C7286F"/>
    <w:rsid w:val="00CC7C3B"/>
    <w:rsid w:val="00CF537F"/>
    <w:rsid w:val="00D465C1"/>
    <w:rsid w:val="00D5322D"/>
    <w:rsid w:val="00D665CD"/>
    <w:rsid w:val="00DB372E"/>
    <w:rsid w:val="00E311B4"/>
    <w:rsid w:val="00E50BC4"/>
    <w:rsid w:val="00E949D7"/>
    <w:rsid w:val="00EC0DEB"/>
    <w:rsid w:val="00EF6F5F"/>
    <w:rsid w:val="00F5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16C7A29"/>
  <w15:chartTrackingRefBased/>
  <w15:docId w15:val="{936EDF06-5586-4DF7-814B-412E7E65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CE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57CE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57CE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57CE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57CE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57CE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57CE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57CE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57CE6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657CE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57CE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57CE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57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57CE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57CE6"/>
    <w:pPr>
      <w:ind w:firstLine="0"/>
    </w:pPr>
  </w:style>
  <w:style w:type="paragraph" w:customStyle="1" w:styleId="MDPI33textspaceafter">
    <w:name w:val="MDPI_3.3_text_space_after"/>
    <w:basedOn w:val="MDPI31text"/>
    <w:qFormat/>
    <w:rsid w:val="00657CE6"/>
    <w:pPr>
      <w:spacing w:after="240"/>
    </w:pPr>
  </w:style>
  <w:style w:type="paragraph" w:customStyle="1" w:styleId="MDPI35textbeforelist">
    <w:name w:val="MDPI_3.5_text_before_list"/>
    <w:basedOn w:val="MDPI31text"/>
    <w:qFormat/>
    <w:rsid w:val="00657CE6"/>
    <w:pPr>
      <w:spacing w:after="120"/>
    </w:pPr>
  </w:style>
  <w:style w:type="paragraph" w:customStyle="1" w:styleId="MDPI36textafterlist">
    <w:name w:val="MDPI_3.6_text_after_list"/>
    <w:basedOn w:val="MDPI31text"/>
    <w:qFormat/>
    <w:rsid w:val="00657CE6"/>
    <w:pPr>
      <w:spacing w:before="120"/>
    </w:pPr>
  </w:style>
  <w:style w:type="paragraph" w:customStyle="1" w:styleId="MDPI37itemize">
    <w:name w:val="MDPI_3.7_itemize"/>
    <w:basedOn w:val="MDPI31text"/>
    <w:qFormat/>
    <w:rsid w:val="00657CE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57CE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57CE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57CE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57CE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57CE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4229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57CE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57CE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57CE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57CE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57CE6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57CE6"/>
  </w:style>
  <w:style w:type="paragraph" w:customStyle="1" w:styleId="MDPI31text">
    <w:name w:val="MDPI_3.1_text"/>
    <w:qFormat/>
    <w:rsid w:val="00657CE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657CE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57CE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57CE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57CE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7CE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57CE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57CE6"/>
  </w:style>
  <w:style w:type="table" w:customStyle="1" w:styleId="MDPI41threelinetable">
    <w:name w:val="MDPI_4.1_three_line_table"/>
    <w:basedOn w:val="TableNormal"/>
    <w:uiPriority w:val="99"/>
    <w:rsid w:val="0044229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61412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46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FB1"/>
    <w:pPr>
      <w:jc w:val="left"/>
    </w:pPr>
  </w:style>
  <w:style w:type="character" w:customStyle="1" w:styleId="CommentTextChar">
    <w:name w:val="Comment Text Char"/>
    <w:link w:val="CommentText"/>
    <w:uiPriority w:val="99"/>
    <w:semiHidden/>
    <w:rsid w:val="005A4FB1"/>
    <w:rPr>
      <w:rFonts w:ascii="Times New Roman" w:eastAsia="Times New Roman" w:hAnsi="Times New Roman"/>
      <w:color w:val="000000"/>
      <w:sz w:val="24"/>
      <w:lang w:eastAsia="de-DE"/>
    </w:rPr>
  </w:style>
  <w:style w:type="character" w:styleId="CommentReference">
    <w:name w:val="annotation reference"/>
    <w:uiPriority w:val="99"/>
    <w:semiHidden/>
    <w:unhideWhenUsed/>
    <w:rsid w:val="005A4FB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CELLS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CELLS TEMPLATE.dot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MDPI-36</cp:lastModifiedBy>
  <cp:revision>2</cp:revision>
  <dcterms:created xsi:type="dcterms:W3CDTF">2019-01-10T14:43:00Z</dcterms:created>
  <dcterms:modified xsi:type="dcterms:W3CDTF">2019-01-14T10:25:00Z</dcterms:modified>
</cp:coreProperties>
</file>