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sz w:val="24"/>
          <w:szCs w:val="24"/>
          <w:lang w:val="en-GB" w:eastAsia="ar-SA"/>
        </w:rPr>
      </w:pPr>
      <w:bookmarkStart w:id="0" w:name="_GoBack"/>
      <w:bookmarkEnd w:id="0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Figure </w:t>
      </w:r>
      <w:r w:rsidR="00742768">
        <w:rPr>
          <w:rFonts w:eastAsia="Times New Roman" w:cs="Times New Roman"/>
          <w:b/>
          <w:bCs/>
          <w:sz w:val="24"/>
          <w:szCs w:val="24"/>
          <w:lang w:val="en-GB" w:eastAsia="ar-SA"/>
        </w:rPr>
        <w:t>S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>1.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>AMPK activation in ovarian cancer xenografts following anti-VEGF therapy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Representative pictures of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pAMPK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staining in experimental IGROV-1 and SKOV3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tumors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(</w:t>
      </w:r>
      <w:r w:rsidRPr="000304E4">
        <w:rPr>
          <w:rFonts w:eastAsia="Times New Roman" w:cs="Times New Roman"/>
          <w:i/>
          <w:iCs/>
          <w:sz w:val="24"/>
          <w:szCs w:val="24"/>
          <w:lang w:val="en-GB" w:eastAsia="ar-SA"/>
        </w:rPr>
        <w:t>left panel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). Semi-quantitative analysis of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pAMPK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expression in </w:t>
      </w:r>
      <w:r w:rsidR="0088597D">
        <w:rPr>
          <w:rFonts w:eastAsia="Times New Roman" w:cs="Times New Roman"/>
          <w:sz w:val="24"/>
          <w:szCs w:val="24"/>
          <w:lang w:val="en-GB" w:eastAsia="ar-SA"/>
        </w:rPr>
        <w:t>b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evacizumab-treated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tumors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compared to control (</w:t>
      </w:r>
      <w:r w:rsidRPr="000304E4">
        <w:rPr>
          <w:rFonts w:eastAsia="Times New Roman" w:cs="Times New Roman"/>
          <w:i/>
          <w:iCs/>
          <w:sz w:val="24"/>
          <w:szCs w:val="24"/>
          <w:lang w:val="en-GB" w:eastAsia="ar-SA"/>
        </w:rPr>
        <w:t>right panel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).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Immunoreactivity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was scored for both the intensity and the proportion of cells staining, as detailed under M&amp;M section.</w:t>
      </w:r>
    </w:p>
    <w:p w:rsidR="00932184" w:rsidRDefault="00932184">
      <w:pPr>
        <w:rPr>
          <w:lang w:val="en-GB"/>
        </w:rPr>
      </w:pP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b/>
          <w:bCs/>
          <w:sz w:val="24"/>
          <w:szCs w:val="24"/>
          <w:lang w:val="en-GB" w:eastAsia="ar-SA"/>
        </w:rPr>
      </w:pP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Figure </w:t>
      </w:r>
      <w:r w:rsidR="00742768">
        <w:rPr>
          <w:rFonts w:eastAsia="Times New Roman" w:cs="Times New Roman"/>
          <w:b/>
          <w:bCs/>
          <w:sz w:val="24"/>
          <w:szCs w:val="24"/>
          <w:lang w:val="en-GB" w:eastAsia="ar-SA"/>
        </w:rPr>
        <w:t>S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2. Lipid content evaluation in IGROV-1 treated </w:t>
      </w:r>
      <w:proofErr w:type="spellStart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>tumors</w:t>
      </w:r>
      <w:proofErr w:type="spellEnd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 compared to controls by NMR analysis</w:t>
      </w: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cs="URWPalladioL-Roma"/>
          <w:sz w:val="24"/>
          <w:szCs w:val="24"/>
          <w:lang w:val="en-US"/>
        </w:rPr>
      </w:pPr>
      <w:r w:rsidRPr="000304E4">
        <w:rPr>
          <w:rFonts w:cs="URWPalladioL-Roma"/>
          <w:sz w:val="24"/>
          <w:szCs w:val="24"/>
          <w:lang w:val="en-US"/>
        </w:rPr>
        <w:t xml:space="preserve">Evaluation of relative amounts of lipid classes in </w:t>
      </w:r>
      <w:r w:rsidR="0088597D">
        <w:rPr>
          <w:rFonts w:cs="URWPalladioL-Roma"/>
          <w:sz w:val="24"/>
          <w:szCs w:val="24"/>
          <w:lang w:val="en-US"/>
        </w:rPr>
        <w:t>b</w:t>
      </w:r>
      <w:r w:rsidRPr="000304E4">
        <w:rPr>
          <w:rFonts w:cs="URWPalladioL-Roma"/>
          <w:sz w:val="24"/>
          <w:szCs w:val="24"/>
          <w:lang w:val="en-US"/>
        </w:rPr>
        <w:t xml:space="preserve">evacizumab-treated tumors compared to control. 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Dot blots show mean </w:t>
      </w:r>
      <w:r w:rsidRPr="000304E4">
        <w:rPr>
          <w:rFonts w:eastAsia="Times New Roman" w:cs="Arial"/>
          <w:sz w:val="24"/>
          <w:szCs w:val="24"/>
          <w:lang w:val="en-GB" w:eastAsia="ar-SA"/>
        </w:rPr>
        <w:t>±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SD values </w:t>
      </w:r>
      <w:r w:rsidRPr="000304E4">
        <w:rPr>
          <w:rFonts w:cs="URWPalladioL-Roma"/>
          <w:sz w:val="24"/>
          <w:szCs w:val="24"/>
          <w:lang w:val="en-US"/>
        </w:rPr>
        <w:t>(n=6 tumors/group).</w:t>
      </w:r>
    </w:p>
    <w:p w:rsidR="00932184" w:rsidRDefault="00932184">
      <w:pPr>
        <w:rPr>
          <w:lang w:val="en-GB"/>
        </w:rPr>
      </w:pP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b/>
          <w:bCs/>
          <w:sz w:val="24"/>
          <w:szCs w:val="24"/>
          <w:lang w:val="en-GB" w:eastAsia="ar-SA"/>
        </w:rPr>
      </w:pP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Figure </w:t>
      </w:r>
      <w:r w:rsidR="00742768">
        <w:rPr>
          <w:rFonts w:eastAsia="Times New Roman" w:cs="Times New Roman"/>
          <w:b/>
          <w:bCs/>
          <w:sz w:val="24"/>
          <w:szCs w:val="24"/>
          <w:lang w:val="en-GB" w:eastAsia="ar-SA"/>
        </w:rPr>
        <w:t>S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3. Lipid content evaluation in SKOV3 treated </w:t>
      </w:r>
      <w:proofErr w:type="spellStart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>tumors</w:t>
      </w:r>
      <w:proofErr w:type="spellEnd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 compared to controls by NMR analysis</w:t>
      </w:r>
    </w:p>
    <w:p w:rsidR="00932184" w:rsidRDefault="00932184" w:rsidP="00EC5B6D">
      <w:pPr>
        <w:suppressAutoHyphens/>
        <w:spacing w:after="200" w:line="480" w:lineRule="auto"/>
        <w:contextualSpacing/>
        <w:jc w:val="both"/>
        <w:rPr>
          <w:rFonts w:cs="URWPalladioL-Roma"/>
          <w:sz w:val="24"/>
          <w:szCs w:val="24"/>
          <w:lang w:val="en-US"/>
        </w:rPr>
      </w:pPr>
      <w:r w:rsidRPr="000304E4">
        <w:rPr>
          <w:rFonts w:cs="URWPalladioL-Roma"/>
          <w:sz w:val="24"/>
          <w:szCs w:val="24"/>
          <w:lang w:val="en-US"/>
        </w:rPr>
        <w:t xml:space="preserve">Evaluation of relative amounts of lipid classes in </w:t>
      </w:r>
      <w:r w:rsidR="00254CC5">
        <w:rPr>
          <w:rFonts w:cs="URWPalladioL-Roma"/>
          <w:sz w:val="24"/>
          <w:szCs w:val="24"/>
          <w:lang w:val="en-US"/>
        </w:rPr>
        <w:t>b</w:t>
      </w:r>
      <w:r w:rsidRPr="000304E4">
        <w:rPr>
          <w:rFonts w:cs="URWPalladioL-Roma"/>
          <w:sz w:val="24"/>
          <w:szCs w:val="24"/>
          <w:lang w:val="en-US"/>
        </w:rPr>
        <w:t xml:space="preserve">evacizumab-treated tumors compared to control. 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Dot blots show mean </w:t>
      </w:r>
      <w:r w:rsidRPr="000304E4">
        <w:rPr>
          <w:rFonts w:eastAsia="Times New Roman" w:cs="Arial"/>
          <w:sz w:val="24"/>
          <w:szCs w:val="24"/>
          <w:lang w:val="en-GB" w:eastAsia="ar-SA"/>
        </w:rPr>
        <w:t>±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SD values </w:t>
      </w:r>
      <w:r w:rsidRPr="000304E4">
        <w:rPr>
          <w:rFonts w:cs="URWPalladioL-Roma"/>
          <w:sz w:val="24"/>
          <w:szCs w:val="24"/>
          <w:lang w:val="en-US"/>
        </w:rPr>
        <w:t>(n=6 tumors/group).</w:t>
      </w:r>
    </w:p>
    <w:p w:rsidR="0098261A" w:rsidRPr="00EC5B6D" w:rsidRDefault="0098261A" w:rsidP="00EC5B6D">
      <w:pPr>
        <w:suppressAutoHyphens/>
        <w:spacing w:after="200" w:line="480" w:lineRule="auto"/>
        <w:contextualSpacing/>
        <w:jc w:val="both"/>
        <w:rPr>
          <w:rFonts w:cs="URWPalladioL-Roma"/>
          <w:sz w:val="24"/>
          <w:szCs w:val="24"/>
          <w:lang w:val="en-US"/>
        </w:rPr>
      </w:pP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cs="URWPalladioL-Roma"/>
          <w:sz w:val="24"/>
          <w:szCs w:val="24"/>
          <w:lang w:val="en-US"/>
        </w:rPr>
      </w:pP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Figure </w:t>
      </w:r>
      <w:r w:rsidR="00742768">
        <w:rPr>
          <w:rFonts w:eastAsia="Times New Roman" w:cs="Times New Roman"/>
          <w:b/>
          <w:bCs/>
          <w:sz w:val="24"/>
          <w:szCs w:val="24"/>
          <w:lang w:val="en-GB" w:eastAsia="ar-SA"/>
        </w:rPr>
        <w:t>S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4. </w:t>
      </w:r>
      <w:r w:rsidRPr="000304E4">
        <w:rPr>
          <w:rFonts w:eastAsia="Times New Roman" w:cs="Times New Roman"/>
          <w:b/>
          <w:sz w:val="24"/>
          <w:szCs w:val="24"/>
          <w:lang w:val="en-GB" w:eastAsia="ar-SA"/>
        </w:rPr>
        <w:t>LD accumulation under hypoxia condition in ovarian cancer cells</w:t>
      </w: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sz w:val="24"/>
          <w:szCs w:val="24"/>
          <w:lang w:val="en-GB" w:eastAsia="ar-SA"/>
        </w:rPr>
      </w:pPr>
      <w:r w:rsidRPr="000304E4">
        <w:rPr>
          <w:rFonts w:eastAsia="Times New Roman" w:cs="Times New Roman"/>
          <w:bCs/>
          <w:sz w:val="24"/>
          <w:szCs w:val="24"/>
          <w:lang w:val="en-GB" w:eastAsia="ar-SA"/>
        </w:rPr>
        <w:t xml:space="preserve">Representative images of IGROV-1 and SKOV3 cells cultured under </w:t>
      </w:r>
      <w:proofErr w:type="spellStart"/>
      <w:r w:rsidRPr="000304E4">
        <w:rPr>
          <w:rFonts w:eastAsia="Times New Roman" w:cs="Times New Roman"/>
          <w:bCs/>
          <w:sz w:val="24"/>
          <w:szCs w:val="24"/>
          <w:lang w:val="en-GB" w:eastAsia="ar-SA"/>
        </w:rPr>
        <w:t>normoxia</w:t>
      </w:r>
      <w:proofErr w:type="spellEnd"/>
      <w:r w:rsidRPr="000304E4">
        <w:rPr>
          <w:rFonts w:eastAsia="Times New Roman" w:cs="Times New Roman"/>
          <w:bCs/>
          <w:sz w:val="24"/>
          <w:szCs w:val="24"/>
          <w:lang w:val="en-GB" w:eastAsia="ar-SA"/>
        </w:rPr>
        <w:t xml:space="preserve"> or hypoxia for </w:t>
      </w:r>
      <w:r w:rsidR="00254CC5">
        <w:rPr>
          <w:rFonts w:eastAsia="Times New Roman" w:cs="Times New Roman"/>
          <w:bCs/>
          <w:sz w:val="24"/>
          <w:szCs w:val="24"/>
          <w:lang w:val="en-GB" w:eastAsia="ar-SA"/>
        </w:rPr>
        <w:t>48</w:t>
      </w:r>
      <w:r w:rsidRPr="000304E4">
        <w:rPr>
          <w:rFonts w:eastAsia="Times New Roman" w:cs="Times New Roman"/>
          <w:bCs/>
          <w:sz w:val="24"/>
          <w:szCs w:val="24"/>
          <w:lang w:val="en-GB" w:eastAsia="ar-SA"/>
        </w:rPr>
        <w:t>h following incubation with BODIPY 493/503 (</w:t>
      </w:r>
      <w:r w:rsidRPr="000304E4">
        <w:rPr>
          <w:rFonts w:eastAsia="Times New Roman" w:cs="Times New Roman"/>
          <w:bCs/>
          <w:i/>
          <w:iCs/>
          <w:sz w:val="24"/>
          <w:szCs w:val="24"/>
          <w:lang w:val="en-GB" w:eastAsia="ar-SA"/>
        </w:rPr>
        <w:t>left panel</w:t>
      </w:r>
      <w:r w:rsidRPr="000304E4">
        <w:rPr>
          <w:rFonts w:eastAsia="Times New Roman" w:cs="Times New Roman"/>
          <w:bCs/>
          <w:sz w:val="24"/>
          <w:szCs w:val="24"/>
          <w:lang w:val="en-GB" w:eastAsia="ar-SA"/>
        </w:rPr>
        <w:t xml:space="preserve">). 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LD accumulation is quantified as number of pixels for field. Columns show mean </w:t>
      </w:r>
      <w:r w:rsidRPr="000304E4">
        <w:rPr>
          <w:rFonts w:eastAsia="Times New Roman" w:cs="Arial"/>
          <w:sz w:val="24"/>
          <w:szCs w:val="24"/>
          <w:lang w:val="en-GB" w:eastAsia="ar-SA"/>
        </w:rPr>
        <w:t>±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 SD values (n=7 fields/sample), *** </w:t>
      </w:r>
      <w:r w:rsidRPr="000304E4">
        <w:rPr>
          <w:rFonts w:eastAsia="Times New Roman" w:cs="Times New Roman"/>
          <w:i/>
          <w:sz w:val="24"/>
          <w:szCs w:val="24"/>
          <w:lang w:val="en-GB" w:eastAsia="ar-SA"/>
        </w:rPr>
        <w:t>P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>&lt; 0.001, t-test (</w:t>
      </w:r>
      <w:r w:rsidRPr="000304E4">
        <w:rPr>
          <w:rFonts w:eastAsia="Times New Roman" w:cs="Times New Roman"/>
          <w:i/>
          <w:iCs/>
          <w:sz w:val="24"/>
          <w:szCs w:val="24"/>
          <w:lang w:val="en-GB" w:eastAsia="ar-SA"/>
        </w:rPr>
        <w:t>right panel</w:t>
      </w:r>
      <w:r w:rsidRPr="000304E4">
        <w:rPr>
          <w:rFonts w:eastAsia="Times New Roman" w:cs="Times New Roman"/>
          <w:sz w:val="24"/>
          <w:szCs w:val="24"/>
          <w:lang w:val="en-GB" w:eastAsia="ar-SA"/>
        </w:rPr>
        <w:t>).</w:t>
      </w:r>
    </w:p>
    <w:p w:rsidR="00090730" w:rsidRDefault="00090730">
      <w:pPr>
        <w:rPr>
          <w:lang w:val="en-GB"/>
        </w:rPr>
      </w:pPr>
    </w:p>
    <w:p w:rsidR="008717D9" w:rsidRPr="00C4183D" w:rsidRDefault="008717D9" w:rsidP="008717D9">
      <w:pPr>
        <w:suppressAutoHyphens/>
        <w:spacing w:after="200" w:line="480" w:lineRule="auto"/>
        <w:contextualSpacing/>
        <w:jc w:val="both"/>
        <w:rPr>
          <w:rFonts w:cs="URWPalladioL-Roma"/>
          <w:b/>
          <w:bCs/>
          <w:sz w:val="24"/>
          <w:szCs w:val="24"/>
          <w:highlight w:val="yellow"/>
          <w:lang w:val="en-GB"/>
        </w:rPr>
      </w:pPr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>Figure S5. Anti-VEGF therapy and culture under hypoxic conditions enrich for CD117</w:t>
      </w:r>
      <w:r w:rsidRPr="00C4183D">
        <w:rPr>
          <w:rFonts w:cs="URWPalladioL-Roma"/>
          <w:b/>
          <w:bCs/>
          <w:sz w:val="24"/>
          <w:szCs w:val="24"/>
          <w:highlight w:val="yellow"/>
          <w:vertAlign w:val="superscript"/>
          <w:lang w:val="en-GB"/>
        </w:rPr>
        <w:t>+</w:t>
      </w:r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 xml:space="preserve"> </w:t>
      </w:r>
      <w:proofErr w:type="spellStart"/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>tumor</w:t>
      </w:r>
      <w:proofErr w:type="spellEnd"/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 xml:space="preserve"> cells</w:t>
      </w:r>
    </w:p>
    <w:p w:rsidR="008717D9" w:rsidRPr="00C4183D" w:rsidRDefault="008717D9" w:rsidP="008717D9">
      <w:pPr>
        <w:suppressAutoHyphens/>
        <w:spacing w:after="200" w:line="480" w:lineRule="auto"/>
        <w:contextualSpacing/>
        <w:jc w:val="both"/>
        <w:rPr>
          <w:rFonts w:cs="URWPalladioL-Roma"/>
          <w:bCs/>
          <w:sz w:val="24"/>
          <w:szCs w:val="24"/>
          <w:highlight w:val="yellow"/>
          <w:lang w:val="en-GB"/>
        </w:rPr>
      </w:pPr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>A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: Flow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cytometric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detection of CD117</w:t>
      </w:r>
      <w:r w:rsidRPr="00C4183D">
        <w:rPr>
          <w:rFonts w:cs="URWPalladioL-Roma"/>
          <w:bCs/>
          <w:sz w:val="24"/>
          <w:szCs w:val="24"/>
          <w:highlight w:val="yellow"/>
          <w:vertAlign w:val="superscript"/>
          <w:lang w:val="en-GB"/>
        </w:rPr>
        <w:t>+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</w:t>
      </w:r>
      <w:r w:rsidR="000C6522" w:rsidRPr="00C4183D">
        <w:rPr>
          <w:rFonts w:cs="URWPalladioL-Roma"/>
          <w:bCs/>
          <w:sz w:val="24"/>
          <w:szCs w:val="24"/>
          <w:highlight w:val="yellow"/>
          <w:lang w:val="en-GB"/>
        </w:rPr>
        <w:t>CSCs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in IGROV-1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tumors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after anti-VEGF therapy. The histograms show the percentage of CD117</w:t>
      </w:r>
      <w:r w:rsidRPr="00C4183D">
        <w:rPr>
          <w:rFonts w:cs="URWPalladioL-Roma"/>
          <w:bCs/>
          <w:sz w:val="24"/>
          <w:szCs w:val="24"/>
          <w:highlight w:val="yellow"/>
          <w:vertAlign w:val="superscript"/>
          <w:lang w:val="en-GB"/>
        </w:rPr>
        <w:t>+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cells in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tumor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cell cultures established from xenografts 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lastRenderedPageBreak/>
        <w:t xml:space="preserve">treated for 4 weeks with bevacizumab or control cultures. Data are represented as mean values ± SD of five different samples for group, ** </w:t>
      </w:r>
      <w:r w:rsidRPr="00C4183D">
        <w:rPr>
          <w:rFonts w:cs="URWPalladioL-Roma"/>
          <w:bCs/>
          <w:i/>
          <w:sz w:val="24"/>
          <w:szCs w:val="24"/>
          <w:highlight w:val="yellow"/>
          <w:lang w:val="en-GB"/>
        </w:rPr>
        <w:t>P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&lt; 0.01, t-test. (</w:t>
      </w:r>
      <w:r w:rsidRPr="00C4183D">
        <w:rPr>
          <w:rFonts w:cs="URWPalladioL-Roma"/>
          <w:bCs/>
          <w:i/>
          <w:sz w:val="24"/>
          <w:szCs w:val="24"/>
          <w:highlight w:val="yellow"/>
          <w:lang w:val="en-GB"/>
        </w:rPr>
        <w:t>left panel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) Histogram shows the percentage of IGROV-1 and SKOV3 CD117</w:t>
      </w:r>
      <w:r w:rsidRPr="00C4183D">
        <w:rPr>
          <w:rFonts w:cs="URWPalladioL-Roma"/>
          <w:bCs/>
          <w:sz w:val="24"/>
          <w:szCs w:val="24"/>
          <w:highlight w:val="yellow"/>
          <w:vertAlign w:val="superscript"/>
          <w:lang w:val="en-GB"/>
        </w:rPr>
        <w:t>+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cells following cultivation under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normoxia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(N) or hypoxia (H) for 72h. Data are represented as mean values ± SD of two different replicates. (</w:t>
      </w:r>
      <w:r w:rsidRPr="00C4183D">
        <w:rPr>
          <w:rFonts w:cs="URWPalladioL-Roma"/>
          <w:bCs/>
          <w:i/>
          <w:sz w:val="24"/>
          <w:szCs w:val="24"/>
          <w:highlight w:val="yellow"/>
          <w:lang w:val="en-GB"/>
        </w:rPr>
        <w:t>right panel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) </w:t>
      </w:r>
    </w:p>
    <w:p w:rsidR="008717D9" w:rsidRPr="00C4183D" w:rsidRDefault="008717D9" w:rsidP="008717D9">
      <w:pPr>
        <w:suppressAutoHyphens/>
        <w:spacing w:after="200" w:line="480" w:lineRule="auto"/>
        <w:contextualSpacing/>
        <w:jc w:val="both"/>
        <w:rPr>
          <w:rFonts w:cs="URWPalladioL-Roma"/>
          <w:b/>
          <w:bCs/>
          <w:sz w:val="24"/>
          <w:szCs w:val="24"/>
          <w:highlight w:val="yellow"/>
          <w:lang w:val="en-GB"/>
        </w:rPr>
      </w:pPr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>B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: Quantification of LD in IGROV-1 and SKOV3 </w:t>
      </w:r>
      <w:proofErr w:type="spellStart"/>
      <w:r w:rsidR="000C6522" w:rsidRPr="00C4183D">
        <w:rPr>
          <w:rFonts w:cs="URWPalladioL-Roma"/>
          <w:bCs/>
          <w:sz w:val="24"/>
          <w:szCs w:val="24"/>
          <w:highlight w:val="yellow"/>
          <w:lang w:val="en-GB"/>
        </w:rPr>
        <w:t>tumor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cells, cultured under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normoxia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(N) or hypoxia (H) for 72h, by flow cytometry analysis following staining with BODIPY 493/503 dye. X-mean values are normalized to </w:t>
      </w:r>
      <w:proofErr w:type="spellStart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normoxia</w:t>
      </w:r>
      <w:proofErr w:type="spellEnd"/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condition. Columns show mean ± SD values of two experimental replicates.</w:t>
      </w:r>
    </w:p>
    <w:p w:rsidR="008717D9" w:rsidRPr="008717D9" w:rsidRDefault="008717D9" w:rsidP="008717D9">
      <w:pPr>
        <w:suppressAutoHyphens/>
        <w:spacing w:after="200" w:line="480" w:lineRule="auto"/>
        <w:contextualSpacing/>
        <w:jc w:val="both"/>
        <w:rPr>
          <w:rFonts w:cs="URWPalladioL-Roma"/>
          <w:bCs/>
          <w:sz w:val="24"/>
          <w:szCs w:val="24"/>
          <w:lang w:val="en-GB"/>
        </w:rPr>
      </w:pPr>
      <w:r w:rsidRPr="00C4183D">
        <w:rPr>
          <w:rFonts w:cs="URWPalladioL-Roma"/>
          <w:b/>
          <w:bCs/>
          <w:sz w:val="24"/>
          <w:szCs w:val="24"/>
          <w:highlight w:val="yellow"/>
          <w:lang w:val="en-GB"/>
        </w:rPr>
        <w:t>C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>: Quantification of LD in CD117</w:t>
      </w:r>
      <w:r w:rsidRPr="00C4183D">
        <w:rPr>
          <w:rFonts w:cs="URWPalladioL-Roma"/>
          <w:bCs/>
          <w:sz w:val="24"/>
          <w:szCs w:val="24"/>
          <w:highlight w:val="yellow"/>
          <w:vertAlign w:val="superscript"/>
          <w:lang w:val="en-GB"/>
        </w:rPr>
        <w:t>+</w:t>
      </w:r>
      <w:r w:rsidRPr="00C4183D">
        <w:rPr>
          <w:rFonts w:cs="URWPalladioL-Roma"/>
          <w:bCs/>
          <w:sz w:val="24"/>
          <w:szCs w:val="24"/>
          <w:highlight w:val="yellow"/>
          <w:lang w:val="en-GB"/>
        </w:rPr>
        <w:t xml:space="preserve"> cancer cells compared to total cells by flow cytometry analysis following staining with BODIPY 493/503 dye. Columns show mean ± SD values of two experimental replicates.</w:t>
      </w:r>
    </w:p>
    <w:p w:rsidR="00090730" w:rsidRDefault="00090730">
      <w:pPr>
        <w:rPr>
          <w:lang w:val="en-GB"/>
        </w:rPr>
      </w:pPr>
    </w:p>
    <w:p w:rsidR="00932184" w:rsidRPr="000304E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b/>
          <w:bCs/>
          <w:sz w:val="24"/>
          <w:szCs w:val="24"/>
          <w:lang w:val="en-GB" w:eastAsia="ar-SA"/>
        </w:rPr>
      </w:pP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Figure </w:t>
      </w:r>
      <w:r w:rsidR="00742768">
        <w:rPr>
          <w:rFonts w:eastAsia="Times New Roman" w:cs="Times New Roman"/>
          <w:b/>
          <w:bCs/>
          <w:sz w:val="24"/>
          <w:szCs w:val="24"/>
          <w:lang w:val="en-GB" w:eastAsia="ar-SA"/>
        </w:rPr>
        <w:t>S</w:t>
      </w:r>
      <w:r w:rsidR="0098261A">
        <w:rPr>
          <w:rFonts w:eastAsia="Times New Roman" w:cs="Times New Roman"/>
          <w:b/>
          <w:bCs/>
          <w:sz w:val="24"/>
          <w:szCs w:val="24"/>
          <w:lang w:val="en-GB" w:eastAsia="ar-SA"/>
        </w:rPr>
        <w:t>6</w:t>
      </w:r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. Flow </w:t>
      </w:r>
      <w:proofErr w:type="spellStart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>cytometric</w:t>
      </w:r>
      <w:proofErr w:type="spellEnd"/>
      <w:r w:rsidRPr="000304E4">
        <w:rPr>
          <w:rFonts w:eastAsia="Times New Roman" w:cs="Times New Roman"/>
          <w:b/>
          <w:bCs/>
          <w:sz w:val="24"/>
          <w:szCs w:val="24"/>
          <w:lang w:val="en-GB" w:eastAsia="ar-SA"/>
        </w:rPr>
        <w:t xml:space="preserve"> morphologic evaluation of ovarian cancer cells </w:t>
      </w:r>
    </w:p>
    <w:p w:rsidR="00932184" w:rsidRDefault="00932184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sz w:val="24"/>
          <w:szCs w:val="24"/>
          <w:lang w:val="en-GB" w:eastAsia="ar-SA"/>
        </w:rPr>
      </w:pPr>
      <w:r w:rsidRPr="000304E4">
        <w:rPr>
          <w:rFonts w:eastAsia="Times New Roman" w:cs="Times New Roman"/>
          <w:sz w:val="24"/>
          <w:szCs w:val="24"/>
          <w:lang w:val="en-GB" w:eastAsia="ar-SA"/>
        </w:rPr>
        <w:t xml:space="preserve">IGROV-1 and SKOV3 cell morphology following GW3965 treatment and under serum starvation condition (1% FBS) with supplementation of oleic acid (1.8 </w:t>
      </w:r>
      <w:proofErr w:type="spellStart"/>
      <w:r w:rsidRPr="000304E4">
        <w:rPr>
          <w:rFonts w:eastAsia="Times New Roman" w:cs="Times New Roman"/>
          <w:sz w:val="24"/>
          <w:szCs w:val="24"/>
          <w:lang w:val="en-GB" w:eastAsia="ar-SA"/>
        </w:rPr>
        <w:t>mM</w:t>
      </w:r>
      <w:proofErr w:type="spellEnd"/>
      <w:r w:rsidRPr="000304E4">
        <w:rPr>
          <w:rFonts w:eastAsia="Times New Roman" w:cs="Times New Roman"/>
          <w:sz w:val="24"/>
          <w:szCs w:val="24"/>
          <w:lang w:val="en-GB" w:eastAsia="ar-SA"/>
        </w:rPr>
        <w:t>). Results are shown as representative dot blots of cell population.</w:t>
      </w:r>
    </w:p>
    <w:p w:rsidR="00B35B52" w:rsidRDefault="00B35B52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sz w:val="24"/>
          <w:szCs w:val="24"/>
          <w:lang w:val="en-GB" w:eastAsia="ar-SA"/>
        </w:rPr>
      </w:pPr>
    </w:p>
    <w:p w:rsidR="00B35B52" w:rsidRDefault="00B35B52" w:rsidP="00932184">
      <w:pPr>
        <w:suppressAutoHyphens/>
        <w:spacing w:after="200" w:line="480" w:lineRule="auto"/>
        <w:contextualSpacing/>
        <w:jc w:val="both"/>
        <w:rPr>
          <w:rFonts w:eastAsia="Times New Roman" w:cs="Times New Roman"/>
          <w:sz w:val="24"/>
          <w:szCs w:val="24"/>
          <w:lang w:val="en-GB" w:eastAsia="ar-SA"/>
        </w:rPr>
      </w:pPr>
    </w:p>
    <w:sectPr w:rsidR="00B35B52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URWPalladioL-Roma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2184"/>
    <w:rsid w:val="00031CBB"/>
    <w:rsid w:val="00090730"/>
    <w:rsid w:val="000C6522"/>
    <w:rsid w:val="000F1BBB"/>
    <w:rsid w:val="00254CC5"/>
    <w:rsid w:val="00340B20"/>
    <w:rsid w:val="00380C8D"/>
    <w:rsid w:val="00436582"/>
    <w:rsid w:val="0053181E"/>
    <w:rsid w:val="00560BDE"/>
    <w:rsid w:val="00697631"/>
    <w:rsid w:val="00737ABC"/>
    <w:rsid w:val="00742768"/>
    <w:rsid w:val="008717D9"/>
    <w:rsid w:val="0088597D"/>
    <w:rsid w:val="00932184"/>
    <w:rsid w:val="0098261A"/>
    <w:rsid w:val="00A159BB"/>
    <w:rsid w:val="00B35B52"/>
    <w:rsid w:val="00C4183D"/>
    <w:rsid w:val="00EC5B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DB12C5D-BC85-4915-8E1A-246FD0E45E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560BDE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380C8D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380C8D"/>
    <w:rPr>
      <w:color w:val="954F72"/>
      <w:u w:val="single"/>
    </w:rPr>
  </w:style>
  <w:style w:type="paragraph" w:customStyle="1" w:styleId="msonormal0">
    <w:name w:val="msonormal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xl65">
    <w:name w:val="xl65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66">
    <w:name w:val="xl66"/>
    <w:basedOn w:val="Normale"/>
    <w:rsid w:val="00380C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7">
    <w:name w:val="xl67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8">
    <w:name w:val="xl68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69">
    <w:name w:val="xl69"/>
    <w:basedOn w:val="Normale"/>
    <w:rsid w:val="00380C8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0">
    <w:name w:val="xl70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1">
    <w:name w:val="xl71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2">
    <w:name w:val="xl72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3">
    <w:name w:val="xl73"/>
    <w:basedOn w:val="Normale"/>
    <w:rsid w:val="00380C8D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74">
    <w:name w:val="xl74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5">
    <w:name w:val="xl75"/>
    <w:basedOn w:val="Normale"/>
    <w:rsid w:val="00380C8D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it-IT"/>
    </w:rPr>
  </w:style>
  <w:style w:type="paragraph" w:customStyle="1" w:styleId="xl76">
    <w:name w:val="xl76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7">
    <w:name w:val="xl77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8">
    <w:name w:val="xl78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79">
    <w:name w:val="xl79"/>
    <w:basedOn w:val="Normale"/>
    <w:rsid w:val="00380C8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it-IT"/>
    </w:rPr>
  </w:style>
  <w:style w:type="paragraph" w:customStyle="1" w:styleId="xl80">
    <w:name w:val="xl80"/>
    <w:basedOn w:val="Normale"/>
    <w:rsid w:val="00380C8D"/>
    <w:pP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1">
    <w:name w:val="xl8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2">
    <w:name w:val="xl82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3">
    <w:name w:val="xl83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4">
    <w:name w:val="xl84"/>
    <w:basedOn w:val="Normale"/>
    <w:rsid w:val="00380C8D"/>
    <w:pPr>
      <w:shd w:val="clear" w:color="000000" w:fill="BDD7EE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5">
    <w:name w:val="xl85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6">
    <w:name w:val="xl86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7">
    <w:name w:val="xl87"/>
    <w:basedOn w:val="Normale"/>
    <w:rsid w:val="00380C8D"/>
    <w:pPr>
      <w:shd w:val="clear" w:color="000000" w:fill="BDD7EE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8">
    <w:name w:val="xl88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89">
    <w:name w:val="xl89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0">
    <w:name w:val="xl90"/>
    <w:basedOn w:val="Normale"/>
    <w:rsid w:val="00380C8D"/>
    <w:pPr>
      <w:pBdr>
        <w:top w:val="single" w:sz="4" w:space="0" w:color="auto"/>
      </w:pBd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1">
    <w:name w:val="xl91"/>
    <w:basedOn w:val="Normale"/>
    <w:rsid w:val="00380C8D"/>
    <w:pPr>
      <w:shd w:val="clear" w:color="000000" w:fill="9BC2E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2">
    <w:name w:val="xl92"/>
    <w:basedOn w:val="Normale"/>
    <w:rsid w:val="00380C8D"/>
    <w:pPr>
      <w:shd w:val="clear" w:color="000000" w:fill="DDEBF7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3">
    <w:name w:val="xl93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4">
    <w:name w:val="xl94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  <w:style w:type="paragraph" w:customStyle="1" w:styleId="xl95">
    <w:name w:val="xl95"/>
    <w:basedOn w:val="Normale"/>
    <w:rsid w:val="00380C8D"/>
    <w:pPr>
      <w:shd w:val="clear" w:color="000000" w:fill="DDEBF7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16"/>
      <w:szCs w:val="16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943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410</Words>
  <Characters>2339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Istituto Oncologico Veneto</Company>
  <LinksUpToDate>false</LinksUpToDate>
  <CharactersWithSpaces>2744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Matteo Curtarello</dc:creator>
  <cp:keywords/>
  <dc:description/>
  <cp:lastModifiedBy>Matteo Curtarello</cp:lastModifiedBy>
  <cp:revision>2</cp:revision>
  <dcterms:created xsi:type="dcterms:W3CDTF">2019-12-02T15:27:00Z</dcterms:created>
  <dcterms:modified xsi:type="dcterms:W3CDTF">2019-12-02T15:27:00Z</dcterms:modified>
</cp:coreProperties>
</file>