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034BD" w14:textId="07240E4B" w:rsidR="00972C76" w:rsidRPr="00972C76" w:rsidRDefault="002A49E2" w:rsidP="00972C76">
      <w:pPr>
        <w:pStyle w:val="MDPI22heading2"/>
        <w:spacing w:line="360" w:lineRule="auto"/>
        <w:rPr>
          <w:color w:val="auto"/>
          <w:szCs w:val="20"/>
          <w:lang w:val="en-GB"/>
        </w:rPr>
      </w:pPr>
      <w:r w:rsidRPr="00972C76">
        <w:rPr>
          <w:color w:val="auto"/>
          <w:szCs w:val="20"/>
          <w:lang w:val="en-GB"/>
        </w:rPr>
        <w:t>S</w:t>
      </w:r>
      <w:r w:rsidR="0027160A" w:rsidRPr="00972C76">
        <w:rPr>
          <w:color w:val="auto"/>
          <w:szCs w:val="20"/>
          <w:lang w:val="en-GB"/>
        </w:rPr>
        <w:t>upplementary Materials and Methods</w:t>
      </w:r>
    </w:p>
    <w:p w14:paraId="7147524F" w14:textId="77777777" w:rsidR="008A2947" w:rsidRPr="008A2947" w:rsidRDefault="008A2947" w:rsidP="008A2947">
      <w:pPr>
        <w:adjustRightInd w:val="0"/>
        <w:snapToGrid w:val="0"/>
        <w:spacing w:after="120" w:line="240" w:lineRule="auto"/>
        <w:rPr>
          <w:rFonts w:ascii="Palatino Linotype" w:eastAsia="Times New Roman" w:hAnsi="Palatino Linotype" w:cs="Times New Roman"/>
          <w:b/>
          <w:snapToGrid w:val="0"/>
          <w:sz w:val="36"/>
          <w:szCs w:val="20"/>
          <w:lang w:val="en-US" w:eastAsia="de-DE" w:bidi="en-US"/>
        </w:rPr>
      </w:pPr>
      <w:r w:rsidRPr="008A2947">
        <w:rPr>
          <w:rFonts w:ascii="Palatino Linotype" w:eastAsia="Times New Roman" w:hAnsi="Palatino Linotype" w:cs="Times New Roman"/>
          <w:b/>
          <w:snapToGrid w:val="0"/>
          <w:sz w:val="36"/>
          <w:szCs w:val="20"/>
          <w:lang w:val="en-US" w:eastAsia="de-DE" w:bidi="en-US"/>
        </w:rPr>
        <w:t xml:space="preserve">In-Depth Proteome Analysis Highlights </w:t>
      </w:r>
      <w:proofErr w:type="spellStart"/>
      <w:r w:rsidRPr="008A2947">
        <w:rPr>
          <w:rFonts w:ascii="Palatino Linotype" w:eastAsia="Times New Roman" w:hAnsi="Palatino Linotype" w:cs="Times New Roman"/>
          <w:b/>
          <w:snapToGrid w:val="0"/>
          <w:sz w:val="36"/>
          <w:szCs w:val="20"/>
          <w:lang w:val="en-US" w:eastAsia="de-DE" w:bidi="en-US"/>
        </w:rPr>
        <w:t>HepaRG</w:t>
      </w:r>
      <w:proofErr w:type="spellEnd"/>
      <w:r w:rsidRPr="008A2947">
        <w:rPr>
          <w:rFonts w:ascii="Palatino Linotype" w:eastAsia="Times New Roman" w:hAnsi="Palatino Linotype" w:cs="Times New Roman"/>
          <w:b/>
          <w:snapToGrid w:val="0"/>
          <w:sz w:val="36"/>
          <w:szCs w:val="20"/>
          <w:lang w:val="en-US" w:eastAsia="de-DE" w:bidi="en-US"/>
        </w:rPr>
        <w:t xml:space="preserve"> Cells as a Versatile Cell System Surrogate for Primary Human Hepatocytes</w:t>
      </w:r>
    </w:p>
    <w:p w14:paraId="582D8900" w14:textId="77777777" w:rsidR="008A2947" w:rsidRPr="008A2947" w:rsidRDefault="008A2947" w:rsidP="008A2947">
      <w:pPr>
        <w:adjustRightInd w:val="0"/>
        <w:snapToGrid w:val="0"/>
        <w:spacing w:after="120" w:line="240" w:lineRule="auto"/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</w:pP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Georg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Tascher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1,2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Audrey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Burban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3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Sandrine Camus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4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Marine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Plumel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1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Stéphanie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Chanon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5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Remy Le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Guevel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6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Valery Shevchenko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4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Alain Van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Dorsselaer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1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Etienne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Lefai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5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, Christiane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Guguen-Guillouzo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3,4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and Fabrice </w:t>
      </w:r>
      <w:proofErr w:type="spellStart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Bertile</w:t>
      </w:r>
      <w:proofErr w:type="spellEnd"/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 xml:space="preserve"> </w:t>
      </w:r>
      <w:proofErr w:type="gramStart"/>
      <w:r w:rsidRPr="008A2947">
        <w:rPr>
          <w:rFonts w:ascii="Palatino Linotype" w:eastAsia="Times New Roman" w:hAnsi="Palatino Linotype" w:cs="Times New Roman"/>
          <w:b/>
          <w:sz w:val="20"/>
          <w:vertAlign w:val="superscript"/>
          <w:lang w:val="en-US" w:eastAsia="de-DE" w:bidi="en-US"/>
        </w:rPr>
        <w:t>1,</w:t>
      </w:r>
      <w:r w:rsidRPr="008A2947">
        <w:rPr>
          <w:rFonts w:ascii="Palatino Linotype" w:eastAsia="Times New Roman" w:hAnsi="Palatino Linotype" w:cs="Times New Roman"/>
          <w:b/>
          <w:sz w:val="20"/>
          <w:lang w:val="en-US" w:eastAsia="de-DE" w:bidi="en-US"/>
        </w:rPr>
        <w:t>*</w:t>
      </w:r>
      <w:proofErr w:type="gramEnd"/>
    </w:p>
    <w:p w14:paraId="65ED98D8" w14:textId="77777777" w:rsidR="008A2947" w:rsidRPr="008A2947" w:rsidRDefault="008A2947" w:rsidP="008A2947">
      <w:pPr>
        <w:adjustRightInd w:val="0"/>
        <w:snapToGrid w:val="0"/>
        <w:spacing w:after="0" w:line="240" w:lineRule="auto"/>
        <w:ind w:left="311" w:hanging="198"/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</w:pPr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vertAlign w:val="superscript"/>
          <w:lang w:eastAsia="de-DE" w:bidi="en-US"/>
        </w:rPr>
        <w:t>1</w:t>
      </w:r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ab/>
        <w:t xml:space="preserve">Laboratoire de Spectrométrie de Masse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BioOrganique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 xml:space="preserve">, CNRS,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IPHC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 xml:space="preserve"> UMR 7178, Université de Strasbourg, F-67087 Strasbourg, </w:t>
      </w:r>
      <w:proofErr w:type="gram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France;</w:t>
      </w:r>
      <w:proofErr w:type="gramEnd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 xml:space="preserve">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marine.plumel@gmail.com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 xml:space="preserve"> (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M.P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 xml:space="preserve">.),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vandors@unistra.fr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 xml:space="preserve"> (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A.V.D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.)</w:t>
      </w:r>
    </w:p>
    <w:p w14:paraId="670D7A1F" w14:textId="77777777" w:rsidR="008A2947" w:rsidRPr="008A2947" w:rsidRDefault="008A2947" w:rsidP="008A2947">
      <w:pPr>
        <w:adjustRightInd w:val="0"/>
        <w:snapToGrid w:val="0"/>
        <w:spacing w:after="0" w:line="240" w:lineRule="auto"/>
        <w:ind w:left="311" w:hanging="198"/>
        <w:rPr>
          <w:rFonts w:ascii="Palatino Linotype" w:eastAsia="Times New Roman" w:hAnsi="Palatino Linotype" w:cs="Times New Roman"/>
          <w:spacing w:val="-4"/>
          <w:sz w:val="18"/>
          <w:szCs w:val="18"/>
          <w:lang w:val="en-US" w:eastAsia="de-DE" w:bidi="en-US"/>
        </w:rPr>
      </w:pPr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vertAlign w:val="superscript"/>
          <w:lang w:val="en-US" w:eastAsia="de-DE" w:bidi="en-US"/>
        </w:rPr>
        <w:t>2</w:t>
      </w:r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val="en-US" w:eastAsia="de-DE" w:bidi="en-US"/>
        </w:rPr>
        <w:tab/>
        <w:t xml:space="preserve">Institute of Biochemistry II, Goethe University Hospital, D-60590 Frankfurt am Main, Germany;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val="en-US" w:eastAsia="de-DE" w:bidi="en-US"/>
        </w:rPr>
        <w:t>tascher@med.uni-frankfurt.de</w:t>
      </w:r>
      <w:proofErr w:type="spellEnd"/>
    </w:p>
    <w:p w14:paraId="0B12E76F" w14:textId="77777777" w:rsidR="008A2947" w:rsidRPr="008A2947" w:rsidRDefault="008A2947" w:rsidP="008A2947">
      <w:pPr>
        <w:adjustRightInd w:val="0"/>
        <w:snapToGrid w:val="0"/>
        <w:spacing w:after="0" w:line="240" w:lineRule="auto"/>
        <w:ind w:left="311" w:hanging="198"/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</w:pPr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vertAlign w:val="superscript"/>
          <w:lang w:eastAsia="de-DE" w:bidi="en-US"/>
        </w:rPr>
        <w:t>3</w:t>
      </w:r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ab/>
        <w:t xml:space="preserve">INSERM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U1241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NuMeCan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, Université de Rennes 1, F-35033 Rennes, </w:t>
      </w:r>
      <w:proofErr w:type="gram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France;</w:t>
      </w:r>
      <w:proofErr w:type="gram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burban.au@gmail.com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(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A.B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.),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christiane.guillouzo@univ-rennes1.fr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(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C.G.G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.)</w:t>
      </w:r>
    </w:p>
    <w:p w14:paraId="6F453D93" w14:textId="77777777" w:rsidR="008A2947" w:rsidRPr="008A2947" w:rsidRDefault="008A2947" w:rsidP="008A2947">
      <w:pPr>
        <w:adjustRightInd w:val="0"/>
        <w:snapToGrid w:val="0"/>
        <w:spacing w:after="0" w:line="240" w:lineRule="auto"/>
        <w:ind w:left="311" w:hanging="198"/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</w:pPr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vertAlign w:val="superscript"/>
          <w:lang w:eastAsia="de-DE" w:bidi="en-US"/>
        </w:rPr>
        <w:t>4</w:t>
      </w:r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ab/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Biopredic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International, Parc d’Affaires de la Bretêche, F-35760 St Grégoire, </w:t>
      </w:r>
      <w:proofErr w:type="gram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France;</w:t>
      </w:r>
      <w:proofErr w:type="gram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sandrine.camus@biopredic.com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(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S.C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.),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eastAsia="de-DE" w:bidi="en-US"/>
        </w:rPr>
        <w:t>valery.shevchenko@biopredic.com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(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V.S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.)</w:t>
      </w:r>
    </w:p>
    <w:p w14:paraId="4E582FB4" w14:textId="77777777" w:rsidR="008A2947" w:rsidRPr="008A2947" w:rsidRDefault="008A2947" w:rsidP="008A2947">
      <w:pPr>
        <w:adjustRightInd w:val="0"/>
        <w:snapToGrid w:val="0"/>
        <w:spacing w:after="0" w:line="240" w:lineRule="auto"/>
        <w:ind w:left="311" w:hanging="198"/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</w:pPr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vertAlign w:val="superscript"/>
          <w:lang w:val="en-US" w:eastAsia="de-DE" w:bidi="en-US"/>
        </w:rPr>
        <w:t>5</w:t>
      </w:r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ab/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>CarMeN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 xml:space="preserve"> Laboratory,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>INSERM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 xml:space="preserve">,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>INRA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>, University of Lyon, F-69310 Pierre-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>Bénite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 xml:space="preserve">, France;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val="en-US" w:eastAsia="de-DE" w:bidi="en-US"/>
        </w:rPr>
        <w:t>stephanie.chanon@univ-lyon1.fr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 xml:space="preserve"> (S.C.),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18"/>
          <w:lang w:val="en-US" w:eastAsia="de-DE" w:bidi="en-US"/>
        </w:rPr>
        <w:t>etienne.lefai@inra.fr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 xml:space="preserve"> (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>E.L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val="en-US" w:eastAsia="de-DE" w:bidi="en-US"/>
        </w:rPr>
        <w:t>.)</w:t>
      </w:r>
    </w:p>
    <w:p w14:paraId="282AFD9C" w14:textId="77777777" w:rsidR="008A2947" w:rsidRPr="008A2947" w:rsidRDefault="008A2947" w:rsidP="008A2947">
      <w:pPr>
        <w:adjustRightInd w:val="0"/>
        <w:snapToGrid w:val="0"/>
        <w:spacing w:after="0" w:line="240" w:lineRule="auto"/>
        <w:ind w:left="311" w:hanging="198"/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</w:pPr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vertAlign w:val="superscript"/>
          <w:lang w:eastAsia="de-DE" w:bidi="en-US"/>
        </w:rPr>
        <w:t>6</w:t>
      </w:r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ab/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ImPACcell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platform, </w:t>
      </w:r>
      <w:proofErr w:type="spell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Biosit</w:t>
      </w:r>
      <w:proofErr w:type="spell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, Université de Rennes 1, F-35043 Rennes, </w:t>
      </w:r>
      <w:proofErr w:type="gramStart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>France;</w:t>
      </w:r>
      <w:proofErr w:type="gramEnd"/>
      <w:r w:rsidRPr="008A2947">
        <w:rPr>
          <w:rFonts w:ascii="Palatino Linotype" w:eastAsia="Times New Roman" w:hAnsi="Palatino Linotype" w:cs="Times New Roman"/>
          <w:spacing w:val="-4"/>
          <w:sz w:val="18"/>
          <w:szCs w:val="20"/>
          <w:lang w:eastAsia="de-DE" w:bidi="en-US"/>
        </w:rPr>
        <w:t xml:space="preserve"> </w:t>
      </w:r>
      <w:proofErr w:type="spellStart"/>
      <w:r w:rsidRPr="008A2947">
        <w:rPr>
          <w:rFonts w:ascii="Palatino Linotype" w:eastAsia="Times New Roman" w:hAnsi="Palatino Linotype" w:cs="Arial"/>
          <w:spacing w:val="-4"/>
          <w:sz w:val="18"/>
          <w:szCs w:val="18"/>
          <w:lang w:eastAsia="fr-FR" w:bidi="en-US"/>
        </w:rPr>
        <w:t>remy.leguevel@univ-rennes1.fr</w:t>
      </w:r>
      <w:proofErr w:type="spellEnd"/>
    </w:p>
    <w:p w14:paraId="14500EC2" w14:textId="77777777" w:rsidR="008A2947" w:rsidRPr="008A2947" w:rsidRDefault="008A2947" w:rsidP="008A2947">
      <w:pPr>
        <w:adjustRightInd w:val="0"/>
        <w:snapToGrid w:val="0"/>
        <w:spacing w:after="0" w:line="240" w:lineRule="auto"/>
        <w:ind w:left="311" w:hanging="198"/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</w:pPr>
      <w:r w:rsidRPr="008A2947">
        <w:rPr>
          <w:rFonts w:ascii="Palatino Linotype" w:eastAsia="Times New Roman" w:hAnsi="Palatino Linotype" w:cs="Times New Roman"/>
          <w:b/>
          <w:sz w:val="18"/>
          <w:szCs w:val="20"/>
          <w:lang w:val="en-US" w:eastAsia="de-DE" w:bidi="en-US"/>
        </w:rPr>
        <w:t>*</w:t>
      </w:r>
      <w:r w:rsidRPr="008A2947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ab/>
        <w:t xml:space="preserve">Correspondence: </w:t>
      </w:r>
      <w:proofErr w:type="spellStart"/>
      <w:r w:rsidRPr="008A2947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>fbertile@unistra.fr</w:t>
      </w:r>
      <w:proofErr w:type="spellEnd"/>
      <w:r w:rsidRPr="008A2947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>; Tel.: +33-368-852-681</w:t>
      </w:r>
    </w:p>
    <w:p w14:paraId="5E52EE15" w14:textId="77777777" w:rsidR="008A2947" w:rsidRPr="008A2947" w:rsidRDefault="008A2947" w:rsidP="008A2947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</w:pPr>
      <w:r w:rsidRPr="008A2947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>Received: 14 December 2018; Accepted: 18 February 2019; Published: date</w:t>
      </w:r>
    </w:p>
    <w:p w14:paraId="050A4273" w14:textId="7C176C37" w:rsidR="0027160A" w:rsidRPr="00972C76" w:rsidRDefault="00972C76" w:rsidP="00972C76">
      <w:pPr>
        <w:pStyle w:val="MDPI21heading1"/>
      </w:pPr>
      <w:r>
        <w:t xml:space="preserve">1. </w:t>
      </w:r>
      <w:r w:rsidR="0027160A" w:rsidRPr="00972C76">
        <w:t xml:space="preserve">Mitochondrial </w:t>
      </w:r>
      <w:r w:rsidRPr="00972C76">
        <w:t xml:space="preserve">Activity </w:t>
      </w:r>
      <w:r w:rsidR="0027160A" w:rsidRPr="00972C76">
        <w:t xml:space="preserve">in </w:t>
      </w:r>
      <w:proofErr w:type="spellStart"/>
      <w:r w:rsidR="0027160A" w:rsidRPr="00972C76">
        <w:t>HepaRG</w:t>
      </w:r>
      <w:proofErr w:type="spellEnd"/>
      <w:r w:rsidR="0027160A" w:rsidRPr="00972C76">
        <w:t xml:space="preserve"> </w:t>
      </w:r>
      <w:r w:rsidRPr="00972C76">
        <w:t>Cells</w:t>
      </w:r>
    </w:p>
    <w:p w14:paraId="75A3DEC3" w14:textId="5CF3347E" w:rsidR="001107C9" w:rsidRPr="00972C76" w:rsidRDefault="001107C9" w:rsidP="001107C9">
      <w:pPr>
        <w:pStyle w:val="MDPI31text"/>
        <w:rPr>
          <w:szCs w:val="20"/>
          <w:lang w:val="en-GB"/>
        </w:rPr>
      </w:pPr>
      <w:r w:rsidRPr="00972C76">
        <w:rPr>
          <w:szCs w:val="20"/>
          <w:lang w:val="en-GB"/>
        </w:rPr>
        <w:t>The red</w:t>
      </w:r>
      <w:r w:rsidR="001579AF" w:rsidRPr="00972C76">
        <w:rPr>
          <w:szCs w:val="20"/>
          <w:lang w:val="en-GB"/>
        </w:rPr>
        <w:t>–</w:t>
      </w:r>
      <w:r w:rsidRPr="00972C76">
        <w:rPr>
          <w:szCs w:val="20"/>
          <w:lang w:val="en-GB"/>
        </w:rPr>
        <w:t>orange membrane-permeant JC-1 dye (5,5’,6,6’-</w:t>
      </w:r>
      <w:proofErr w:type="spellStart"/>
      <w:r w:rsidRPr="00972C76">
        <w:rPr>
          <w:szCs w:val="20"/>
          <w:lang w:val="en-GB"/>
        </w:rPr>
        <w:t>tetrachloro</w:t>
      </w:r>
      <w:proofErr w:type="spellEnd"/>
      <w:r w:rsidRPr="00972C76">
        <w:rPr>
          <w:szCs w:val="20"/>
          <w:lang w:val="en-GB"/>
        </w:rPr>
        <w:t>-1,1’,3,3’-</w:t>
      </w:r>
      <w:proofErr w:type="spellStart"/>
      <w:r w:rsidRPr="00972C76">
        <w:rPr>
          <w:szCs w:val="20"/>
          <w:lang w:val="en-GB"/>
        </w:rPr>
        <w:t>tetraethylbenzimidazolo</w:t>
      </w:r>
      <w:proofErr w:type="spellEnd"/>
      <w:r w:rsidRPr="00972C76">
        <w:rPr>
          <w:szCs w:val="20"/>
          <w:lang w:val="en-GB"/>
        </w:rPr>
        <w:t xml:space="preserve"> carbocyanine iodide), </w:t>
      </w:r>
      <w:r w:rsidR="001579AF" w:rsidRPr="00972C76">
        <w:rPr>
          <w:szCs w:val="20"/>
          <w:lang w:val="en-GB"/>
        </w:rPr>
        <w:t xml:space="preserve">when </w:t>
      </w:r>
      <w:r w:rsidRPr="00972C76">
        <w:rPr>
          <w:szCs w:val="20"/>
          <w:lang w:val="en-GB"/>
        </w:rPr>
        <w:t>positively-charged, readily accumulates in active mitochondria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due to their relative negative charge. On the reverse, the membrane potential of depolarized or inactive mitochondria is decreased and they fail to sequester JC-1. This dye therefore enables one to assess </w:t>
      </w:r>
      <w:r w:rsidR="001579AF" w:rsidRPr="00972C76">
        <w:rPr>
          <w:szCs w:val="20"/>
          <w:lang w:val="en-GB"/>
        </w:rPr>
        <w:t xml:space="preserve">the </w:t>
      </w:r>
      <w:r w:rsidRPr="00972C76">
        <w:rPr>
          <w:szCs w:val="20"/>
          <w:lang w:val="en-GB"/>
        </w:rPr>
        <w:t>mitochondrial permeability transition (</w:t>
      </w:r>
      <w:proofErr w:type="spellStart"/>
      <w:r w:rsidRPr="00972C76">
        <w:rPr>
          <w:szCs w:val="20"/>
          <w:lang w:val="en-GB"/>
        </w:rPr>
        <w:t>MPT</w:t>
      </w:r>
      <w:proofErr w:type="spellEnd"/>
      <w:r w:rsidRPr="00972C76">
        <w:rPr>
          <w:szCs w:val="20"/>
          <w:lang w:val="en-GB"/>
        </w:rPr>
        <w:t>)</w:t>
      </w:r>
      <w:r w:rsidR="00C60F7D">
        <w:rPr>
          <w:szCs w:val="20"/>
          <w:lang w:val="en-GB"/>
        </w:rPr>
        <w:t xml:space="preserve"> </w:t>
      </w:r>
      <w:r w:rsidRPr="00972C76">
        <w:rPr>
          <w:noProof/>
          <w:szCs w:val="20"/>
          <w:lang w:val="en-GB"/>
        </w:rPr>
        <w:t>[1]</w:t>
      </w:r>
      <w:r w:rsidRPr="00972C76">
        <w:rPr>
          <w:szCs w:val="20"/>
          <w:lang w:val="en-GB"/>
        </w:rPr>
        <w:t>.</w:t>
      </w:r>
    </w:p>
    <w:p w14:paraId="2AA5C664" w14:textId="359DD0E2" w:rsidR="001107C9" w:rsidRPr="00972C76" w:rsidRDefault="001107C9" w:rsidP="001107C9">
      <w:pPr>
        <w:pStyle w:val="MDPI31text"/>
        <w:rPr>
          <w:szCs w:val="20"/>
          <w:lang w:val="en-GB"/>
        </w:rPr>
      </w:pPr>
      <w:r w:rsidRPr="00972C76">
        <w:rPr>
          <w:szCs w:val="20"/>
          <w:lang w:val="en-GB"/>
        </w:rPr>
        <w:t xml:space="preserve">JC-1 (#T3168; </w:t>
      </w:r>
      <w:r w:rsidR="00783B96">
        <w:t xml:space="preserve">Invitrogen, </w:t>
      </w:r>
      <w:proofErr w:type="spellStart"/>
      <w:r w:rsidR="00783B96">
        <w:t>ThermoFisher</w:t>
      </w:r>
      <w:proofErr w:type="spellEnd"/>
      <w:r w:rsidR="00783B96">
        <w:t xml:space="preserve"> Scientific, Rockford, IL, USA</w:t>
      </w:r>
      <w:r w:rsidRPr="00972C76">
        <w:rPr>
          <w:szCs w:val="20"/>
          <w:lang w:val="en-GB"/>
        </w:rPr>
        <w:t xml:space="preserve">) was used at </w:t>
      </w:r>
      <w:r w:rsidR="001579AF" w:rsidRPr="00972C76">
        <w:rPr>
          <w:szCs w:val="20"/>
          <w:lang w:val="en-GB"/>
        </w:rPr>
        <w:t xml:space="preserve">a </w:t>
      </w:r>
      <w:r w:rsidRPr="00972C76">
        <w:rPr>
          <w:szCs w:val="20"/>
          <w:lang w:val="en-GB"/>
        </w:rPr>
        <w:t>concentration of 7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µM corresponding to the maximum solubility value. Six days after seeding, </w:t>
      </w:r>
      <w:proofErr w:type="spellStart"/>
      <w:r w:rsidRPr="00972C76">
        <w:rPr>
          <w:szCs w:val="20"/>
          <w:lang w:val="en-GB"/>
        </w:rPr>
        <w:t>HepaRG</w:t>
      </w:r>
      <w:proofErr w:type="spellEnd"/>
      <w:r w:rsidRPr="00972C76">
        <w:rPr>
          <w:szCs w:val="20"/>
          <w:lang w:val="en-GB"/>
        </w:rPr>
        <w:t xml:space="preserve"> cells (</w:t>
      </w:r>
      <w:proofErr w:type="spellStart"/>
      <w:r w:rsidRPr="00972C76">
        <w:rPr>
          <w:szCs w:val="20"/>
          <w:lang w:val="en-GB"/>
        </w:rPr>
        <w:t>HPR116</w:t>
      </w:r>
      <w:proofErr w:type="spellEnd"/>
      <w:r w:rsidRPr="00972C76">
        <w:rPr>
          <w:szCs w:val="20"/>
          <w:lang w:val="en-GB"/>
        </w:rPr>
        <w:t xml:space="preserve"> cultivated in the differentiation medium) were exposed to the medium containing JC-1 </w:t>
      </w:r>
      <w:r w:rsidR="001579AF" w:rsidRPr="00972C76">
        <w:rPr>
          <w:szCs w:val="20"/>
          <w:lang w:val="en-GB"/>
        </w:rPr>
        <w:t xml:space="preserve">over </w:t>
      </w:r>
      <w:r w:rsidRPr="00972C76">
        <w:rPr>
          <w:szCs w:val="20"/>
          <w:lang w:val="en-GB"/>
        </w:rPr>
        <w:t>two successive exposures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as described by </w:t>
      </w:r>
      <w:proofErr w:type="spellStart"/>
      <w:r w:rsidRPr="00972C76">
        <w:rPr>
          <w:szCs w:val="20"/>
          <w:lang w:val="en-GB"/>
        </w:rPr>
        <w:t>Pernelle</w:t>
      </w:r>
      <w:proofErr w:type="spellEnd"/>
      <w:r w:rsidRPr="00972C76">
        <w:rPr>
          <w:szCs w:val="20"/>
          <w:lang w:val="en-GB"/>
        </w:rPr>
        <w:t xml:space="preserve"> et al. </w:t>
      </w:r>
      <w:r w:rsidRPr="00972C76">
        <w:rPr>
          <w:noProof/>
          <w:szCs w:val="20"/>
          <w:lang w:val="en-GB"/>
        </w:rPr>
        <w:t>[1]</w:t>
      </w:r>
      <w:r w:rsidRPr="00972C76">
        <w:rPr>
          <w:szCs w:val="20"/>
          <w:lang w:val="en-GB"/>
        </w:rPr>
        <w:t xml:space="preserve">. The specificity of JC-1 for mitochondria was assessed by using the uncoupling agent </w:t>
      </w:r>
      <w:proofErr w:type="spellStart"/>
      <w:r w:rsidRPr="00972C76">
        <w:rPr>
          <w:szCs w:val="20"/>
          <w:lang w:val="en-GB"/>
        </w:rPr>
        <w:t>FCCP</w:t>
      </w:r>
      <w:proofErr w:type="spellEnd"/>
      <w:r w:rsidRPr="00972C76">
        <w:rPr>
          <w:szCs w:val="20"/>
          <w:lang w:val="en-GB"/>
        </w:rPr>
        <w:t xml:space="preserve"> (phenylhydrazone; #</w:t>
      </w:r>
      <w:proofErr w:type="spellStart"/>
      <w:r w:rsidRPr="00972C76">
        <w:rPr>
          <w:szCs w:val="20"/>
          <w:lang w:val="en-GB"/>
        </w:rPr>
        <w:t>C2920</w:t>
      </w:r>
      <w:proofErr w:type="spellEnd"/>
      <w:r w:rsidRPr="00972C76">
        <w:rPr>
          <w:szCs w:val="20"/>
          <w:lang w:val="en-GB"/>
        </w:rPr>
        <w:t>; Sigma</w:t>
      </w:r>
      <w:r w:rsidR="00783B96">
        <w:rPr>
          <w:szCs w:val="20"/>
          <w:lang w:val="en-GB"/>
        </w:rPr>
        <w:t xml:space="preserve"> </w:t>
      </w:r>
      <w:r w:rsidR="00783B96" w:rsidRPr="00FD7CD0">
        <w:t>Aldrich</w:t>
      </w:r>
      <w:r w:rsidR="00783B96">
        <w:t xml:space="preserve">, </w:t>
      </w:r>
      <w:r w:rsidR="00783B96" w:rsidRPr="00FD7CD0">
        <w:t>St. Louis, MO, USA</w:t>
      </w:r>
      <w:r w:rsidRPr="00972C76">
        <w:rPr>
          <w:szCs w:val="20"/>
          <w:lang w:val="en-GB"/>
        </w:rPr>
        <w:t xml:space="preserve">) added at </w:t>
      </w:r>
      <w:r w:rsidR="001579AF" w:rsidRPr="00972C76">
        <w:rPr>
          <w:szCs w:val="20"/>
          <w:lang w:val="en-GB"/>
        </w:rPr>
        <w:t xml:space="preserve">a </w:t>
      </w:r>
      <w:r w:rsidRPr="00972C76">
        <w:rPr>
          <w:szCs w:val="20"/>
          <w:lang w:val="en-GB"/>
        </w:rPr>
        <w:t>concentration of 100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µM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to the culture 15 min before the two-charge JC-1 protocol.</w:t>
      </w:r>
    </w:p>
    <w:p w14:paraId="34B8C55E" w14:textId="13D46515" w:rsidR="001107C9" w:rsidRPr="00972C76" w:rsidRDefault="00972C76" w:rsidP="00972C76">
      <w:pPr>
        <w:pStyle w:val="MDPI21heading1"/>
      </w:pPr>
      <w:r>
        <w:t xml:space="preserve">2. </w:t>
      </w:r>
      <w:r w:rsidR="001107C9" w:rsidRPr="00972C76">
        <w:t xml:space="preserve">Glycogen </w:t>
      </w:r>
      <w:r w:rsidRPr="00972C76">
        <w:t xml:space="preserve">Storage Assay </w:t>
      </w:r>
      <w:r w:rsidR="001107C9" w:rsidRPr="00972C76">
        <w:t xml:space="preserve">in </w:t>
      </w:r>
      <w:proofErr w:type="spellStart"/>
      <w:r w:rsidR="001107C9" w:rsidRPr="00972C76">
        <w:t>HepaRG</w:t>
      </w:r>
      <w:proofErr w:type="spellEnd"/>
      <w:r w:rsidR="001107C9" w:rsidRPr="00972C76">
        <w:t xml:space="preserve"> </w:t>
      </w:r>
      <w:r w:rsidRPr="00972C76">
        <w:t>Cells</w:t>
      </w:r>
    </w:p>
    <w:p w14:paraId="2F78753A" w14:textId="7EFDE501" w:rsidR="001107C9" w:rsidRPr="00972C76" w:rsidRDefault="001107C9" w:rsidP="001107C9">
      <w:pPr>
        <w:pStyle w:val="MDPI31text"/>
        <w:rPr>
          <w:szCs w:val="20"/>
          <w:lang w:val="en-GB"/>
        </w:rPr>
      </w:pPr>
      <w:r w:rsidRPr="00972C76">
        <w:rPr>
          <w:szCs w:val="20"/>
          <w:lang w:val="en-GB"/>
        </w:rPr>
        <w:t xml:space="preserve">Accumulation of glycogen in proliferating </w:t>
      </w:r>
      <w:proofErr w:type="spellStart"/>
      <w:r w:rsidRPr="00972C76">
        <w:rPr>
          <w:szCs w:val="20"/>
          <w:lang w:val="en-GB"/>
        </w:rPr>
        <w:t>HepaRG</w:t>
      </w:r>
      <w:proofErr w:type="spellEnd"/>
      <w:r w:rsidRPr="00972C76">
        <w:rPr>
          <w:szCs w:val="20"/>
          <w:lang w:val="en-GB"/>
        </w:rPr>
        <w:t xml:space="preserve"> progenitors and 18</w:t>
      </w:r>
      <w:r w:rsidR="001579AF" w:rsidRPr="00972C76">
        <w:rPr>
          <w:szCs w:val="20"/>
          <w:lang w:val="en-GB"/>
        </w:rPr>
        <w:t>-</w:t>
      </w:r>
      <w:r w:rsidRPr="00972C76">
        <w:rPr>
          <w:szCs w:val="20"/>
          <w:lang w:val="en-GB"/>
        </w:rPr>
        <w:t xml:space="preserve">day-old cultures (HPR116 in the differentiation medium) was assessed by using the </w:t>
      </w:r>
      <w:r w:rsidR="001579AF" w:rsidRPr="00972C76">
        <w:rPr>
          <w:szCs w:val="20"/>
          <w:lang w:val="en-GB"/>
        </w:rPr>
        <w:t xml:space="preserve">periodic </w:t>
      </w:r>
      <w:r w:rsidRPr="00972C76">
        <w:rPr>
          <w:szCs w:val="20"/>
          <w:lang w:val="en-GB"/>
        </w:rPr>
        <w:t>acid</w:t>
      </w:r>
      <w:r w:rsidR="001579AF" w:rsidRPr="00972C76">
        <w:rPr>
          <w:szCs w:val="20"/>
          <w:lang w:val="en-GB"/>
        </w:rPr>
        <w:t>–</w:t>
      </w:r>
      <w:r w:rsidRPr="00972C76">
        <w:rPr>
          <w:szCs w:val="20"/>
          <w:lang w:val="en-GB"/>
        </w:rPr>
        <w:t>Schiff (PAS) assay, following the manufacturer’ recommendations (#395B; Sigma</w:t>
      </w:r>
      <w:r w:rsidR="00783B96">
        <w:rPr>
          <w:szCs w:val="20"/>
          <w:lang w:val="en-GB"/>
        </w:rPr>
        <w:t xml:space="preserve"> </w:t>
      </w:r>
      <w:r w:rsidR="00783B96" w:rsidRPr="00FD7CD0">
        <w:t>Aldrich</w:t>
      </w:r>
      <w:r w:rsidR="00783B96">
        <w:t xml:space="preserve">, </w:t>
      </w:r>
      <w:r w:rsidR="00783B96" w:rsidRPr="00FD7CD0">
        <w:t>St. Louis, MO, USA</w:t>
      </w:r>
      <w:r w:rsidRPr="00972C76">
        <w:rPr>
          <w:szCs w:val="20"/>
          <w:lang w:val="en-GB"/>
        </w:rPr>
        <w:t>).</w:t>
      </w:r>
    </w:p>
    <w:p w14:paraId="3B35EFE3" w14:textId="2C078CA8" w:rsidR="001107C9" w:rsidRPr="00972C76" w:rsidRDefault="00972C76" w:rsidP="00972C76">
      <w:pPr>
        <w:pStyle w:val="MDPI21heading1"/>
      </w:pPr>
      <w:r>
        <w:t xml:space="preserve">3. </w:t>
      </w:r>
      <w:r w:rsidR="001107C9" w:rsidRPr="00972C76">
        <w:t xml:space="preserve">Fetuin A </w:t>
      </w:r>
      <w:r w:rsidRPr="00972C76">
        <w:t xml:space="preserve">Secretion </w:t>
      </w:r>
      <w:r w:rsidR="001107C9" w:rsidRPr="00972C76">
        <w:t xml:space="preserve">from </w:t>
      </w:r>
      <w:proofErr w:type="spellStart"/>
      <w:r w:rsidR="001107C9" w:rsidRPr="00972C76">
        <w:t>HepaRG</w:t>
      </w:r>
      <w:proofErr w:type="spellEnd"/>
      <w:r w:rsidR="001107C9" w:rsidRPr="00972C76">
        <w:t xml:space="preserve"> </w:t>
      </w:r>
      <w:r w:rsidRPr="00972C76">
        <w:t>Cells</w:t>
      </w:r>
    </w:p>
    <w:p w14:paraId="1F40ABB0" w14:textId="026344A6" w:rsidR="001107C9" w:rsidRPr="00972C76" w:rsidRDefault="001107C9" w:rsidP="001107C9">
      <w:pPr>
        <w:pStyle w:val="MDPI31text"/>
        <w:rPr>
          <w:szCs w:val="20"/>
          <w:lang w:val="en-GB"/>
        </w:rPr>
      </w:pPr>
      <w:r w:rsidRPr="00972C76">
        <w:rPr>
          <w:szCs w:val="20"/>
          <w:lang w:val="en-GB"/>
        </w:rPr>
        <w:t xml:space="preserve">Six days after </w:t>
      </w:r>
      <w:r w:rsidR="00E21FFA">
        <w:rPr>
          <w:szCs w:val="20"/>
          <w:lang w:val="en-GB"/>
        </w:rPr>
        <w:t>seeding</w:t>
      </w:r>
      <w:r w:rsidRPr="00972C76">
        <w:rPr>
          <w:szCs w:val="20"/>
          <w:lang w:val="en-GB"/>
        </w:rPr>
        <w:t xml:space="preserve">, fetuin A secretion from differentiated </w:t>
      </w:r>
      <w:proofErr w:type="spellStart"/>
      <w:r w:rsidRPr="00972C76">
        <w:rPr>
          <w:szCs w:val="20"/>
          <w:lang w:val="en-GB"/>
        </w:rPr>
        <w:t>HepaRG</w:t>
      </w:r>
      <w:proofErr w:type="spellEnd"/>
      <w:r w:rsidRPr="00972C76">
        <w:rPr>
          <w:szCs w:val="20"/>
          <w:lang w:val="en-GB"/>
        </w:rPr>
        <w:t xml:space="preserve"> cells (</w:t>
      </w:r>
      <w:proofErr w:type="spellStart"/>
      <w:r w:rsidRPr="00972C76">
        <w:rPr>
          <w:szCs w:val="20"/>
          <w:lang w:val="en-GB"/>
        </w:rPr>
        <w:t>HPR116</w:t>
      </w:r>
      <w:proofErr w:type="spellEnd"/>
      <w:r w:rsidRPr="00972C76">
        <w:rPr>
          <w:szCs w:val="20"/>
          <w:lang w:val="en-GB"/>
        </w:rPr>
        <w:t xml:space="preserve"> maintained in the differentiation medium) was measured by collecting the medium from </w:t>
      </w:r>
      <w:proofErr w:type="spellStart"/>
      <w:r w:rsidRPr="00972C76">
        <w:rPr>
          <w:szCs w:val="20"/>
          <w:lang w:val="en-GB"/>
        </w:rPr>
        <w:t>HepaRG</w:t>
      </w:r>
      <w:proofErr w:type="spellEnd"/>
      <w:r w:rsidRPr="00972C76">
        <w:rPr>
          <w:szCs w:val="20"/>
          <w:lang w:val="en-GB"/>
        </w:rPr>
        <w:t xml:space="preserve"> cells at different time points during </w:t>
      </w:r>
      <w:r w:rsidR="001579AF" w:rsidRPr="00972C76">
        <w:rPr>
          <w:szCs w:val="20"/>
          <w:lang w:val="en-GB"/>
        </w:rPr>
        <w:t xml:space="preserve">the </w:t>
      </w:r>
      <w:r w:rsidRPr="00972C76">
        <w:rPr>
          <w:szCs w:val="20"/>
          <w:lang w:val="en-GB"/>
        </w:rPr>
        <w:t>progression of hepatocyte differentiation (N</w:t>
      </w:r>
      <w:r w:rsid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=</w:t>
      </w:r>
      <w:r w:rsid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3/time point), from progenitor stage to maturation, using the human fetuin A ELISA kit (#DFTA00; R&amp;D Systems Europe, Lille, France). The influence of starvation followed or not by refeeding (N</w:t>
      </w:r>
      <w:r w:rsid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=</w:t>
      </w:r>
      <w:r w:rsid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3/condition) on fetuin A secretion was also tested. Differentiated cells (HPR116; 6 days after seeding) were washed three times and </w:t>
      </w:r>
      <w:r w:rsidRPr="00972C76">
        <w:rPr>
          <w:szCs w:val="20"/>
          <w:lang w:val="en-GB"/>
        </w:rPr>
        <w:lastRenderedPageBreak/>
        <w:t>incubated for either 4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h</w:t>
      </w:r>
      <w:r w:rsidR="001579AF" w:rsidRPr="00972C76">
        <w:rPr>
          <w:szCs w:val="20"/>
          <w:lang w:val="en-GB"/>
        </w:rPr>
        <w:t>r</w:t>
      </w:r>
      <w:r w:rsidRPr="00972C76">
        <w:rPr>
          <w:szCs w:val="20"/>
          <w:lang w:val="en-GB"/>
        </w:rPr>
        <w:t xml:space="preserve"> or 24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h</w:t>
      </w:r>
      <w:r w:rsidR="001579AF" w:rsidRPr="00972C76">
        <w:rPr>
          <w:szCs w:val="20"/>
          <w:lang w:val="en-GB"/>
        </w:rPr>
        <w:t>r</w:t>
      </w:r>
      <w:r w:rsidRPr="00972C76">
        <w:rPr>
          <w:szCs w:val="20"/>
          <w:lang w:val="en-GB"/>
        </w:rPr>
        <w:t xml:space="preserve"> in the starvation medium deprived of serum, DMSO, and insulin. They were refed for 16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h with a medium containing 10% FCS, 1.7% DMSO, 2</w:t>
      </w:r>
      <w:r w:rsidRPr="00972C76">
        <w:rPr>
          <w:color w:val="auto"/>
          <w:szCs w:val="20"/>
          <w:lang w:val="en-GB"/>
        </w:rPr>
        <w:t>.5</w:t>
      </w:r>
      <w:r w:rsidR="001579AF" w:rsidRPr="00972C76">
        <w:rPr>
          <w:color w:val="auto"/>
          <w:szCs w:val="20"/>
          <w:lang w:val="en-GB"/>
        </w:rPr>
        <w:t xml:space="preserve"> </w:t>
      </w:r>
      <w:r w:rsidRPr="00972C76">
        <w:rPr>
          <w:color w:val="auto"/>
          <w:szCs w:val="20"/>
          <w:lang w:eastAsia="fr-FR"/>
        </w:rPr>
        <w:t>µg/mL insulin, and either 5</w:t>
      </w:r>
      <w:r w:rsidR="001579AF" w:rsidRPr="00972C76">
        <w:rPr>
          <w:color w:val="auto"/>
          <w:szCs w:val="20"/>
          <w:lang w:eastAsia="fr-FR"/>
        </w:rPr>
        <w:t xml:space="preserve"> </w:t>
      </w:r>
      <w:r w:rsidRPr="00972C76">
        <w:rPr>
          <w:color w:val="auto"/>
          <w:szCs w:val="20"/>
          <w:lang w:eastAsia="fr-FR"/>
        </w:rPr>
        <w:t xml:space="preserve">g/L of glucose or </w:t>
      </w:r>
      <w:r w:rsidRPr="00972C76">
        <w:rPr>
          <w:color w:val="auto"/>
          <w:szCs w:val="20"/>
          <w:lang w:val="en-GB"/>
        </w:rPr>
        <w:t xml:space="preserve">100 </w:t>
      </w:r>
      <w:r w:rsidRPr="00972C76">
        <w:rPr>
          <w:szCs w:val="20"/>
          <w:lang w:val="en-GB"/>
        </w:rPr>
        <w:t xml:space="preserve">µM of palmitate according to </w:t>
      </w:r>
      <w:proofErr w:type="spellStart"/>
      <w:r w:rsidRPr="00972C76">
        <w:rPr>
          <w:szCs w:val="20"/>
          <w:lang w:val="en-GB"/>
        </w:rPr>
        <w:t>Madec</w:t>
      </w:r>
      <w:proofErr w:type="spellEnd"/>
      <w:r w:rsidRPr="00972C76">
        <w:rPr>
          <w:szCs w:val="20"/>
          <w:lang w:val="en-GB"/>
        </w:rPr>
        <w:t xml:space="preserve"> et al. </w:t>
      </w:r>
      <w:r w:rsidRPr="00972C76">
        <w:rPr>
          <w:noProof/>
          <w:szCs w:val="20"/>
          <w:lang w:val="en-GB"/>
        </w:rPr>
        <w:t>[2]</w:t>
      </w:r>
      <w:r w:rsidRPr="00972C76">
        <w:rPr>
          <w:szCs w:val="20"/>
          <w:lang w:val="en-GB"/>
        </w:rPr>
        <w:t>. Data are expressed as fetuin A release into the medium in ng/day/10</w:t>
      </w:r>
      <w:r w:rsidRPr="00972C76">
        <w:rPr>
          <w:szCs w:val="20"/>
          <w:vertAlign w:val="superscript"/>
          <w:lang w:val="en-GB"/>
        </w:rPr>
        <w:t>6</w:t>
      </w:r>
      <w:r w:rsidRPr="00972C76">
        <w:rPr>
          <w:szCs w:val="20"/>
          <w:lang w:val="en-GB"/>
        </w:rPr>
        <w:t xml:space="preserve"> cells.</w:t>
      </w:r>
    </w:p>
    <w:p w14:paraId="0F0738B6" w14:textId="36EDB710" w:rsidR="001107C9" w:rsidRPr="00972C76" w:rsidRDefault="00972C76" w:rsidP="00972C76">
      <w:pPr>
        <w:pStyle w:val="MDPI21heading1"/>
      </w:pPr>
      <w:r>
        <w:t xml:space="preserve">4. </w:t>
      </w:r>
      <w:r w:rsidR="001107C9" w:rsidRPr="00972C76">
        <w:t xml:space="preserve">Evaluation of </w:t>
      </w:r>
      <w:r w:rsidRPr="00972C76">
        <w:t xml:space="preserve">Bile Acid Transport </w:t>
      </w:r>
      <w:r w:rsidR="001107C9" w:rsidRPr="00972C76">
        <w:t xml:space="preserve">and </w:t>
      </w:r>
      <w:r w:rsidRPr="00972C76">
        <w:t xml:space="preserve">Trafficking </w:t>
      </w:r>
      <w:r w:rsidR="001107C9" w:rsidRPr="00972C76">
        <w:t xml:space="preserve">in </w:t>
      </w:r>
      <w:proofErr w:type="spellStart"/>
      <w:r w:rsidR="001107C9" w:rsidRPr="00972C76">
        <w:t>HepaRG</w:t>
      </w:r>
      <w:proofErr w:type="spellEnd"/>
      <w:r w:rsidR="001107C9" w:rsidRPr="00972C76">
        <w:t xml:space="preserve"> </w:t>
      </w:r>
      <w:r w:rsidRPr="00972C76">
        <w:t>Cells</w:t>
      </w:r>
    </w:p>
    <w:p w14:paraId="23175352" w14:textId="2EE27CFE" w:rsidR="0027160A" w:rsidRPr="00972C76" w:rsidRDefault="001107C9" w:rsidP="001107C9">
      <w:pPr>
        <w:pStyle w:val="MDPI31text"/>
        <w:rPr>
          <w:szCs w:val="20"/>
          <w:lang w:val="en-GB"/>
        </w:rPr>
      </w:pPr>
      <w:r w:rsidRPr="00972C76">
        <w:rPr>
          <w:szCs w:val="20"/>
          <w:lang w:val="en-GB"/>
        </w:rPr>
        <w:t>Highly polarized differentiated HPR116 cells were used at day 10 of culture in the differentiation medium (1.7% DMSO, 10%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FCS). They were washed </w:t>
      </w:r>
      <w:r w:rsidR="001579AF" w:rsidRPr="00972C76">
        <w:rPr>
          <w:szCs w:val="20"/>
          <w:lang w:val="en-GB"/>
        </w:rPr>
        <w:t xml:space="preserve">three </w:t>
      </w:r>
      <w:r w:rsidRPr="00972C76">
        <w:rPr>
          <w:szCs w:val="20"/>
          <w:lang w:val="en-GB"/>
        </w:rPr>
        <w:t>times with an assay buffer (William</w:t>
      </w:r>
      <w:r w:rsidR="001579AF" w:rsidRPr="00972C76">
        <w:rPr>
          <w:szCs w:val="20"/>
          <w:lang w:val="en-GB"/>
        </w:rPr>
        <w:t>’</w:t>
      </w:r>
      <w:r w:rsidRPr="00972C76">
        <w:rPr>
          <w:szCs w:val="20"/>
          <w:lang w:val="en-GB"/>
        </w:rPr>
        <w:t>s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E medium deprived of serum and DMSO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and supplemented with 0.1% bovine serum albumin (Sigma</w:t>
      </w:r>
      <w:r w:rsidR="00783B96">
        <w:rPr>
          <w:szCs w:val="20"/>
          <w:lang w:val="en-GB"/>
        </w:rPr>
        <w:t xml:space="preserve"> </w:t>
      </w:r>
      <w:r w:rsidR="00783B96" w:rsidRPr="00FD7CD0">
        <w:t>Aldrich</w:t>
      </w:r>
      <w:r w:rsidR="00783B96">
        <w:t xml:space="preserve">, </w:t>
      </w:r>
      <w:r w:rsidR="00783B96" w:rsidRPr="00FD7CD0">
        <w:t>St. Louis, MO, USA</w:t>
      </w:r>
      <w:r w:rsidRPr="00972C76">
        <w:rPr>
          <w:szCs w:val="20"/>
          <w:lang w:val="en-GB"/>
        </w:rPr>
        <w:t>). After the last washing step, which was performed at 37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°C for 15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min, cells were exposed for 3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hr to </w:t>
      </w:r>
      <w:r w:rsidR="001579AF" w:rsidRPr="00972C76">
        <w:rPr>
          <w:szCs w:val="20"/>
          <w:lang w:val="en-GB"/>
        </w:rPr>
        <w:t xml:space="preserve">three </w:t>
      </w:r>
      <w:r w:rsidRPr="00972C76">
        <w:rPr>
          <w:szCs w:val="20"/>
          <w:lang w:val="en-GB"/>
        </w:rPr>
        <w:t xml:space="preserve">referent cholestatic drugs, namely flucloxacillin, </w:t>
      </w:r>
      <w:proofErr w:type="spellStart"/>
      <w:r w:rsidRPr="00972C76">
        <w:rPr>
          <w:szCs w:val="20"/>
          <w:lang w:val="en-GB"/>
        </w:rPr>
        <w:t>Bosentan</w:t>
      </w:r>
      <w:proofErr w:type="spellEnd"/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and </w:t>
      </w:r>
      <w:proofErr w:type="spellStart"/>
      <w:r w:rsidRPr="00972C76">
        <w:rPr>
          <w:szCs w:val="20"/>
          <w:lang w:val="en-GB"/>
        </w:rPr>
        <w:t>Fasudil</w:t>
      </w:r>
      <w:proofErr w:type="spellEnd"/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used at </w:t>
      </w:r>
      <w:r w:rsidR="001579AF" w:rsidRPr="00972C76">
        <w:rPr>
          <w:szCs w:val="20"/>
          <w:lang w:val="en-GB"/>
        </w:rPr>
        <w:t xml:space="preserve">a </w:t>
      </w:r>
      <w:r w:rsidRPr="00972C76">
        <w:rPr>
          <w:szCs w:val="20"/>
          <w:lang w:val="en-GB"/>
        </w:rPr>
        <w:t>final concentration of 1.5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mM, 100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µM and 50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µM, respectively. Phase-contrast microscopy allowed </w:t>
      </w:r>
      <w:r w:rsidR="001579AF" w:rsidRPr="00972C76">
        <w:rPr>
          <w:szCs w:val="20"/>
          <w:lang w:val="en-GB"/>
        </w:rPr>
        <w:t xml:space="preserve">for the </w:t>
      </w:r>
      <w:r w:rsidRPr="00972C76">
        <w:rPr>
          <w:szCs w:val="20"/>
          <w:lang w:val="en-GB"/>
        </w:rPr>
        <w:t xml:space="preserve">alteration of bile canaliculi morphology (dilatation) to be visualized. To evaluate bile acid trafficking and efflux to </w:t>
      </w:r>
      <w:r w:rsidR="001579AF" w:rsidRPr="00972C76">
        <w:rPr>
          <w:szCs w:val="20"/>
          <w:lang w:val="en-GB"/>
        </w:rPr>
        <w:t xml:space="preserve">the </w:t>
      </w:r>
      <w:r w:rsidRPr="00972C76">
        <w:rPr>
          <w:szCs w:val="20"/>
          <w:lang w:val="en-GB"/>
        </w:rPr>
        <w:t>bile canaliculi, two different probes were prepared in the assay buffer. The CDFDA probe (5(6)-carboxy-2’,7’-dichlorofluorescein diacetate; #21884; diluted 1/200; Sigma</w:t>
      </w:r>
      <w:r w:rsidR="00783B96">
        <w:rPr>
          <w:szCs w:val="20"/>
          <w:lang w:val="en-GB"/>
        </w:rPr>
        <w:t xml:space="preserve"> </w:t>
      </w:r>
      <w:r w:rsidR="00783B96" w:rsidRPr="00FD7CD0">
        <w:t>Aldrich</w:t>
      </w:r>
      <w:r w:rsidR="00783B96">
        <w:t xml:space="preserve">, </w:t>
      </w:r>
      <w:r w:rsidR="00783B96" w:rsidRPr="00FD7CD0">
        <w:t>St. Louis, MO, USA</w:t>
      </w:r>
      <w:r w:rsidRPr="00972C76">
        <w:rPr>
          <w:szCs w:val="20"/>
          <w:lang w:val="en-GB"/>
        </w:rPr>
        <w:t xml:space="preserve">) was added directly to the medium at </w:t>
      </w:r>
      <w:r w:rsidR="001579AF" w:rsidRPr="00972C76">
        <w:rPr>
          <w:szCs w:val="20"/>
          <w:lang w:val="en-GB"/>
        </w:rPr>
        <w:t xml:space="preserve">a </w:t>
      </w:r>
      <w:r w:rsidRPr="00972C76">
        <w:rPr>
          <w:szCs w:val="20"/>
          <w:lang w:val="en-GB"/>
        </w:rPr>
        <w:t>final concentration of 3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µM, 30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min before ending drug exposure. The </w:t>
      </w:r>
      <w:proofErr w:type="spellStart"/>
      <w:r w:rsidRPr="00972C76">
        <w:rPr>
          <w:szCs w:val="20"/>
          <w:lang w:val="en-GB"/>
        </w:rPr>
        <w:t>UDC</w:t>
      </w:r>
      <w:proofErr w:type="spellEnd"/>
      <w:r w:rsidRPr="00972C76">
        <w:rPr>
          <w:szCs w:val="20"/>
          <w:lang w:val="en-GB"/>
        </w:rPr>
        <w:t>-</w:t>
      </w:r>
      <w:proofErr w:type="spellStart"/>
      <w:r w:rsidRPr="00972C76">
        <w:rPr>
          <w:szCs w:val="20"/>
          <w:lang w:val="en-GB"/>
        </w:rPr>
        <w:t>lys</w:t>
      </w:r>
      <w:proofErr w:type="spellEnd"/>
      <w:r w:rsidRPr="00972C76">
        <w:rPr>
          <w:szCs w:val="20"/>
          <w:lang w:val="en-GB"/>
        </w:rPr>
        <w:t>-NBD probe (3α-hydroxy-7-</w:t>
      </w:r>
      <w:proofErr w:type="spellStart"/>
      <w:r w:rsidRPr="00972C76">
        <w:rPr>
          <w:szCs w:val="20"/>
          <w:lang w:val="en-GB"/>
        </w:rPr>
        <w:t>nitrobenzoxadiazolyl</w:t>
      </w:r>
      <w:proofErr w:type="spellEnd"/>
      <w:r w:rsidRPr="00972C76">
        <w:rPr>
          <w:szCs w:val="20"/>
          <w:lang w:val="en-GB"/>
        </w:rPr>
        <w:t>-</w:t>
      </w:r>
      <w:proofErr w:type="spellStart"/>
      <w:r w:rsidRPr="00972C76">
        <w:rPr>
          <w:szCs w:val="20"/>
          <w:lang w:val="en-GB"/>
        </w:rPr>
        <w:t>ursodeoxycholic</w:t>
      </w:r>
      <w:proofErr w:type="spellEnd"/>
      <w:r w:rsidRPr="00972C76">
        <w:rPr>
          <w:szCs w:val="20"/>
          <w:lang w:val="en-GB"/>
        </w:rPr>
        <w:t xml:space="preserve"> acid; synthesized by </w:t>
      </w:r>
      <w:proofErr w:type="spellStart"/>
      <w:r w:rsidRPr="00972C76">
        <w:rPr>
          <w:szCs w:val="20"/>
          <w:lang w:val="en-GB"/>
        </w:rPr>
        <w:t>ICOA</w:t>
      </w:r>
      <w:proofErr w:type="spellEnd"/>
      <w:r w:rsidRPr="00972C76">
        <w:rPr>
          <w:szCs w:val="20"/>
          <w:lang w:val="en-GB"/>
        </w:rPr>
        <w:t xml:space="preserve">-University of Orléans, France) was added prior to drug exposure at </w:t>
      </w:r>
      <w:r w:rsidR="001579AF" w:rsidRPr="00972C76">
        <w:rPr>
          <w:szCs w:val="20"/>
          <w:lang w:val="en-GB"/>
        </w:rPr>
        <w:t xml:space="preserve">a </w:t>
      </w:r>
      <w:r w:rsidRPr="00972C76">
        <w:rPr>
          <w:szCs w:val="20"/>
          <w:lang w:val="en-GB"/>
        </w:rPr>
        <w:t xml:space="preserve">final concentration of 5 µM, </w:t>
      </w:r>
      <w:r w:rsidR="001579AF" w:rsidRPr="00972C76">
        <w:rPr>
          <w:szCs w:val="20"/>
          <w:lang w:val="en-GB"/>
        </w:rPr>
        <w:t xml:space="preserve">and </w:t>
      </w:r>
      <w:r w:rsidRPr="00972C76">
        <w:rPr>
          <w:szCs w:val="20"/>
          <w:lang w:val="en-GB"/>
        </w:rPr>
        <w:t xml:space="preserve">then </w:t>
      </w:r>
      <w:r w:rsidR="001579AF" w:rsidRPr="00972C76">
        <w:rPr>
          <w:szCs w:val="20"/>
          <w:lang w:val="en-GB"/>
        </w:rPr>
        <w:t xml:space="preserve">it </w:t>
      </w:r>
      <w:r w:rsidRPr="00972C76">
        <w:rPr>
          <w:szCs w:val="20"/>
          <w:lang w:val="en-GB"/>
        </w:rPr>
        <w:t xml:space="preserve">was discarded and replaced without washing with drug solutions. At the end of </w:t>
      </w:r>
      <w:r w:rsidR="001579AF" w:rsidRPr="00972C76">
        <w:rPr>
          <w:szCs w:val="20"/>
          <w:lang w:val="en-GB"/>
        </w:rPr>
        <w:t xml:space="preserve">the </w:t>
      </w:r>
      <w:r w:rsidRPr="00972C76">
        <w:rPr>
          <w:szCs w:val="20"/>
          <w:lang w:val="en-GB"/>
        </w:rPr>
        <w:t>incubations, cells were extensively washed (</w:t>
      </w:r>
      <w:r w:rsidR="001579AF" w:rsidRPr="00972C76">
        <w:rPr>
          <w:szCs w:val="20"/>
          <w:lang w:val="en-GB"/>
        </w:rPr>
        <w:t xml:space="preserve">five </w:t>
      </w:r>
      <w:r w:rsidRPr="00972C76">
        <w:rPr>
          <w:szCs w:val="20"/>
          <w:lang w:val="en-GB"/>
        </w:rPr>
        <w:t>times) and imaged at 490/520 nm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using the </w:t>
      </w:r>
      <w:proofErr w:type="spellStart"/>
      <w:r w:rsidRPr="00972C76">
        <w:rPr>
          <w:szCs w:val="20"/>
          <w:lang w:val="en-GB"/>
        </w:rPr>
        <w:t>ArrayScan</w:t>
      </w:r>
      <w:proofErr w:type="spellEnd"/>
      <w:r w:rsidRPr="00972C76">
        <w:rPr>
          <w:szCs w:val="20"/>
          <w:lang w:val="en-GB"/>
        </w:rPr>
        <w:t xml:space="preserve"> </w:t>
      </w:r>
      <w:proofErr w:type="spellStart"/>
      <w:r w:rsidRPr="00972C76">
        <w:rPr>
          <w:szCs w:val="20"/>
          <w:lang w:val="en-GB"/>
        </w:rPr>
        <w:t>VTI</w:t>
      </w:r>
      <w:proofErr w:type="spellEnd"/>
      <w:r w:rsidRPr="00972C76">
        <w:rPr>
          <w:szCs w:val="20"/>
          <w:lang w:val="en-GB"/>
        </w:rPr>
        <w:t xml:space="preserve"> HCS </w:t>
      </w:r>
      <w:r w:rsidR="00783B96">
        <w:rPr>
          <w:szCs w:val="20"/>
          <w:lang w:val="en-GB"/>
        </w:rPr>
        <w:t>r</w:t>
      </w:r>
      <w:r w:rsidRPr="00972C76">
        <w:rPr>
          <w:szCs w:val="20"/>
          <w:lang w:val="en-GB"/>
        </w:rPr>
        <w:t>eader (</w:t>
      </w:r>
      <w:proofErr w:type="spellStart"/>
      <w:r w:rsidR="00783B96">
        <w:rPr>
          <w:szCs w:val="20"/>
          <w:lang w:val="en-GB"/>
        </w:rPr>
        <w:t>Cellomics</w:t>
      </w:r>
      <w:proofErr w:type="spellEnd"/>
      <w:r w:rsidR="00783B96">
        <w:rPr>
          <w:szCs w:val="20"/>
          <w:lang w:val="en-GB"/>
        </w:rPr>
        <w:t xml:space="preserve">, </w:t>
      </w:r>
      <w:proofErr w:type="spellStart"/>
      <w:r w:rsidR="00783B96">
        <w:t>ThermoFisher</w:t>
      </w:r>
      <w:proofErr w:type="spellEnd"/>
      <w:r w:rsidR="00783B96">
        <w:t xml:space="preserve"> Scientific, Rockford, IL, USA</w:t>
      </w:r>
      <w:r w:rsidRPr="00972C76">
        <w:rPr>
          <w:szCs w:val="20"/>
          <w:lang w:val="en-GB"/>
        </w:rPr>
        <w:t xml:space="preserve">) equipped with </w:t>
      </w:r>
      <w:r w:rsidR="001579AF" w:rsidRPr="00972C76">
        <w:rPr>
          <w:szCs w:val="20"/>
          <w:lang w:val="en-GB"/>
        </w:rPr>
        <w:t xml:space="preserve">a </w:t>
      </w:r>
      <w:r w:rsidRPr="00972C76">
        <w:rPr>
          <w:szCs w:val="20"/>
          <w:lang w:val="en-GB"/>
        </w:rPr>
        <w:t xml:space="preserve">Photometrics </w:t>
      </w:r>
      <w:proofErr w:type="spellStart"/>
      <w:r w:rsidRPr="00972C76">
        <w:rPr>
          <w:szCs w:val="20"/>
          <w:lang w:val="en-GB"/>
        </w:rPr>
        <w:t>X1</w:t>
      </w:r>
      <w:proofErr w:type="spellEnd"/>
      <w:r w:rsidRPr="00972C76">
        <w:rPr>
          <w:szCs w:val="20"/>
          <w:lang w:val="en-GB"/>
        </w:rPr>
        <w:t xml:space="preserve"> CCD camera boasting a 14-bit dynamic range (</w:t>
      </w:r>
      <w:proofErr w:type="spellStart"/>
      <w:r w:rsidRPr="00972C76">
        <w:rPr>
          <w:szCs w:val="20"/>
          <w:lang w:val="en-GB"/>
        </w:rPr>
        <w:t>20X</w:t>
      </w:r>
      <w:proofErr w:type="spellEnd"/>
      <w:r w:rsidRPr="00972C76">
        <w:rPr>
          <w:szCs w:val="20"/>
          <w:lang w:val="en-GB"/>
        </w:rPr>
        <w:t xml:space="preserve"> objective, LD Plan </w:t>
      </w:r>
      <w:proofErr w:type="spellStart"/>
      <w:r w:rsidRPr="00972C76">
        <w:rPr>
          <w:szCs w:val="20"/>
          <w:lang w:val="en-GB"/>
        </w:rPr>
        <w:t>Neofluar</w:t>
      </w:r>
      <w:proofErr w:type="spellEnd"/>
      <w:r w:rsidRPr="00972C76">
        <w:rPr>
          <w:szCs w:val="20"/>
          <w:lang w:val="en-GB"/>
        </w:rPr>
        <w:t xml:space="preserve"> 20</w:t>
      </w:r>
      <w:r w:rsidR="008A2947">
        <w:rPr>
          <w:szCs w:val="20"/>
          <w:lang w:val="en-GB"/>
        </w:rPr>
        <w:t>×</w:t>
      </w:r>
      <w:r w:rsidRPr="00972C76">
        <w:rPr>
          <w:szCs w:val="20"/>
          <w:lang w:val="en-GB"/>
        </w:rPr>
        <w:t xml:space="preserve">/0.4 </w:t>
      </w:r>
      <w:proofErr w:type="spellStart"/>
      <w:r w:rsidRPr="00783B96">
        <w:rPr>
          <w:szCs w:val="20"/>
          <w:lang w:val="en-GB"/>
        </w:rPr>
        <w:t>korr</w:t>
      </w:r>
      <w:proofErr w:type="spellEnd"/>
      <w:r w:rsidR="00354C59">
        <w:rPr>
          <w:szCs w:val="20"/>
          <w:lang w:val="en-GB"/>
        </w:rPr>
        <w:t>;</w:t>
      </w:r>
      <w:r w:rsidR="00783B96" w:rsidRPr="00783B96">
        <w:rPr>
          <w:szCs w:val="20"/>
          <w:lang w:val="en-GB"/>
        </w:rPr>
        <w:t xml:space="preserve"> </w:t>
      </w:r>
      <w:r w:rsidR="00783B96" w:rsidRPr="00354C59">
        <w:rPr>
          <w:szCs w:val="20"/>
        </w:rPr>
        <w:t>Carl Zeiss, Birmingham West Midlands, UK</w:t>
      </w:r>
      <w:r w:rsidRPr="00783B96">
        <w:rPr>
          <w:szCs w:val="20"/>
          <w:lang w:val="en-GB"/>
        </w:rPr>
        <w:t>).</w:t>
      </w:r>
      <w:r w:rsidRPr="00972C76">
        <w:rPr>
          <w:szCs w:val="20"/>
          <w:lang w:val="en-GB"/>
        </w:rPr>
        <w:t xml:space="preserve"> Image analysis of canaliculi fluorescence using HCS Studio Cell analysis software</w:t>
      </w:r>
      <w:r w:rsidR="00354C59">
        <w:rPr>
          <w:szCs w:val="20"/>
          <w:lang w:val="en-GB"/>
        </w:rPr>
        <w:t xml:space="preserve"> </w:t>
      </w:r>
      <w:proofErr w:type="spellStart"/>
      <w:r w:rsidR="00354C59">
        <w:rPr>
          <w:szCs w:val="20"/>
          <w:lang w:val="en-GB"/>
        </w:rPr>
        <w:t>v2.0</w:t>
      </w:r>
      <w:proofErr w:type="spellEnd"/>
      <w:r w:rsidRPr="00972C76">
        <w:rPr>
          <w:szCs w:val="20"/>
          <w:lang w:val="en-GB"/>
        </w:rPr>
        <w:t xml:space="preserve"> </w:t>
      </w:r>
      <w:r w:rsidR="00354C59">
        <w:rPr>
          <w:szCs w:val="20"/>
          <w:lang w:val="en-GB"/>
        </w:rPr>
        <w:t>(</w:t>
      </w:r>
      <w:proofErr w:type="spellStart"/>
      <w:r w:rsidR="00354C59">
        <w:t>ThermoFisher</w:t>
      </w:r>
      <w:proofErr w:type="spellEnd"/>
      <w:r w:rsidR="00354C59">
        <w:t xml:space="preserve"> Scientific, Rockford, IL, USA</w:t>
      </w:r>
      <w:r w:rsidR="00354C59" w:rsidRPr="00972C76">
        <w:rPr>
          <w:szCs w:val="20"/>
          <w:lang w:val="en-GB"/>
        </w:rPr>
        <w:t>)</w:t>
      </w:r>
      <w:r w:rsidR="00354C59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was optimized for spot analysis (background removal, object segmentation and detection). Hence, we estimated the area (pixel²) of 150 bile canaliculi per condition, and the total amount (intensity; arbitrary fluorescence units) and density (intensity per surface unit) of </w:t>
      </w:r>
      <w:proofErr w:type="spellStart"/>
      <w:r w:rsidRPr="00972C76">
        <w:rPr>
          <w:szCs w:val="20"/>
          <w:lang w:val="en-GB"/>
        </w:rPr>
        <w:t>UDC</w:t>
      </w:r>
      <w:proofErr w:type="spellEnd"/>
      <w:r w:rsidRPr="00972C76">
        <w:rPr>
          <w:szCs w:val="20"/>
          <w:lang w:val="en-GB"/>
        </w:rPr>
        <w:t>-</w:t>
      </w:r>
      <w:proofErr w:type="spellStart"/>
      <w:r w:rsidRPr="00972C76">
        <w:rPr>
          <w:szCs w:val="20"/>
          <w:lang w:val="en-GB"/>
        </w:rPr>
        <w:t>lys</w:t>
      </w:r>
      <w:proofErr w:type="spellEnd"/>
      <w:r w:rsidRPr="00972C76">
        <w:rPr>
          <w:szCs w:val="20"/>
          <w:lang w:val="en-GB"/>
        </w:rPr>
        <w:t>-NBD and CDF probes transported into these canaliculi.</w:t>
      </w:r>
    </w:p>
    <w:p w14:paraId="50E422EA" w14:textId="4E61436F" w:rsidR="0027160A" w:rsidRPr="00972C76" w:rsidRDefault="00972C76" w:rsidP="00972C76">
      <w:pPr>
        <w:pStyle w:val="MDPI21heading1"/>
      </w:pPr>
      <w:r>
        <w:t xml:space="preserve">5. </w:t>
      </w:r>
      <w:r w:rsidR="0027160A" w:rsidRPr="00972C76">
        <w:t xml:space="preserve">Evaluation of the </w:t>
      </w:r>
      <w:r w:rsidRPr="00972C76">
        <w:t xml:space="preserve">Response </w:t>
      </w:r>
      <w:r w:rsidR="0027160A" w:rsidRPr="00972C76">
        <w:t xml:space="preserve">of </w:t>
      </w:r>
      <w:proofErr w:type="spellStart"/>
      <w:r w:rsidR="0027160A" w:rsidRPr="00972C76">
        <w:t>HepaRG</w:t>
      </w:r>
      <w:proofErr w:type="spellEnd"/>
      <w:r w:rsidR="0027160A" w:rsidRPr="00972C76">
        <w:t xml:space="preserve"> </w:t>
      </w:r>
      <w:r w:rsidRPr="00972C76">
        <w:t xml:space="preserve">Cells </w:t>
      </w:r>
      <w:r w:rsidR="0027160A" w:rsidRPr="00972C76">
        <w:t xml:space="preserve">to </w:t>
      </w:r>
      <w:r w:rsidRPr="00972C76">
        <w:t>Insulin</w:t>
      </w:r>
    </w:p>
    <w:p w14:paraId="5B1C58B4" w14:textId="48CC73E0" w:rsidR="0027160A" w:rsidRPr="00972C76" w:rsidRDefault="0027160A" w:rsidP="0027160A">
      <w:pPr>
        <w:pStyle w:val="MDPI31text"/>
        <w:rPr>
          <w:szCs w:val="20"/>
          <w:lang w:val="en-GB"/>
        </w:rPr>
      </w:pPr>
      <w:proofErr w:type="spellStart"/>
      <w:r w:rsidRPr="00972C76">
        <w:rPr>
          <w:szCs w:val="20"/>
          <w:lang w:val="en-GB"/>
        </w:rPr>
        <w:t>HepaRG</w:t>
      </w:r>
      <w:proofErr w:type="spellEnd"/>
      <w:r w:rsidRPr="00972C76">
        <w:rPr>
          <w:szCs w:val="20"/>
          <w:lang w:val="en-GB"/>
        </w:rPr>
        <w:t xml:space="preserve"> cells (</w:t>
      </w:r>
      <w:proofErr w:type="spellStart"/>
      <w:r w:rsidRPr="00972C76">
        <w:rPr>
          <w:szCs w:val="20"/>
          <w:lang w:val="en-GB"/>
        </w:rPr>
        <w:t>HPR116</w:t>
      </w:r>
      <w:proofErr w:type="spellEnd"/>
      <w:r w:rsidRPr="00972C76">
        <w:rPr>
          <w:szCs w:val="20"/>
          <w:lang w:val="en-GB"/>
        </w:rPr>
        <w:t>) were cultivated as described above. At day 7 and day 14 of differentiation, cells were washed twice with PBS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and then incubated overnight in the culture medium without insulin. Afterwards, they were incubated in absence or presence of human recombinant insulin (Sigma</w:t>
      </w:r>
      <w:r w:rsidR="00354C59">
        <w:rPr>
          <w:szCs w:val="20"/>
          <w:lang w:val="en-GB"/>
        </w:rPr>
        <w:t xml:space="preserve"> </w:t>
      </w:r>
      <w:r w:rsidR="00354C59" w:rsidRPr="00FD7CD0">
        <w:t>Aldrich</w:t>
      </w:r>
      <w:r w:rsidR="00354C59">
        <w:t xml:space="preserve">, </w:t>
      </w:r>
      <w:r w:rsidR="00354C59" w:rsidRPr="00FD7CD0">
        <w:t>St. Louis, MO, USA</w:t>
      </w:r>
      <w:r w:rsidRPr="00972C76">
        <w:rPr>
          <w:szCs w:val="20"/>
          <w:lang w:val="en-GB"/>
        </w:rPr>
        <w:t>) at a final concentration of 100</w:t>
      </w:r>
      <w:r w:rsidR="001579AF" w:rsidRPr="00972C76">
        <w:rPr>
          <w:szCs w:val="20"/>
          <w:lang w:val="en-GB"/>
        </w:rPr>
        <w:t xml:space="preserve"> </w:t>
      </w:r>
      <w:proofErr w:type="spellStart"/>
      <w:r w:rsidRPr="00972C76">
        <w:rPr>
          <w:szCs w:val="20"/>
          <w:lang w:val="en-GB"/>
        </w:rPr>
        <w:t>nM</w:t>
      </w:r>
      <w:proofErr w:type="spellEnd"/>
      <w:r w:rsidRPr="00972C76">
        <w:rPr>
          <w:szCs w:val="20"/>
          <w:lang w:val="en-GB"/>
        </w:rPr>
        <w:t xml:space="preserve">, either for </w:t>
      </w:r>
      <w:r w:rsidR="001579AF" w:rsidRPr="00972C76">
        <w:rPr>
          <w:szCs w:val="20"/>
          <w:lang w:val="en-GB"/>
        </w:rPr>
        <w:t xml:space="preserve">six </w:t>
      </w:r>
      <w:r w:rsidRPr="00972C76">
        <w:rPr>
          <w:szCs w:val="20"/>
          <w:lang w:val="en-GB"/>
        </w:rPr>
        <w:t>hours prior to PCR assays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or for 15 minutes prior to Western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Blot analyses (N</w:t>
      </w:r>
      <w:r w:rsid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=</w:t>
      </w:r>
      <w:r w:rsid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3/condition).</w:t>
      </w:r>
    </w:p>
    <w:p w14:paraId="6983C83B" w14:textId="2B5E04E8" w:rsidR="00B945D0" w:rsidRPr="00972C76" w:rsidRDefault="0027160A" w:rsidP="0027160A">
      <w:pPr>
        <w:pStyle w:val="MDPI31text"/>
        <w:rPr>
          <w:color w:val="auto"/>
          <w:szCs w:val="20"/>
          <w:lang w:val="en-GB"/>
        </w:rPr>
      </w:pPr>
      <w:r w:rsidRPr="00972C76">
        <w:rPr>
          <w:szCs w:val="20"/>
          <w:lang w:val="en-GB"/>
        </w:rPr>
        <w:t xml:space="preserve">Total RNA was isolated by using the </w:t>
      </w:r>
      <w:proofErr w:type="spellStart"/>
      <w:r w:rsidRPr="00972C76">
        <w:rPr>
          <w:szCs w:val="20"/>
          <w:lang w:val="en-GB"/>
        </w:rPr>
        <w:t>TRIzol</w:t>
      </w:r>
      <w:proofErr w:type="spellEnd"/>
      <w:r w:rsidRPr="00972C76">
        <w:rPr>
          <w:szCs w:val="20"/>
          <w:lang w:val="en-GB"/>
        </w:rPr>
        <w:t xml:space="preserve"> reagent (Invitrogen, </w:t>
      </w:r>
      <w:proofErr w:type="spellStart"/>
      <w:r w:rsidRPr="00972C76">
        <w:rPr>
          <w:szCs w:val="20"/>
          <w:lang w:val="en-GB"/>
        </w:rPr>
        <w:t>Courtaboeuf</w:t>
      </w:r>
      <w:proofErr w:type="spellEnd"/>
      <w:r w:rsidRPr="00972C76">
        <w:rPr>
          <w:szCs w:val="20"/>
          <w:lang w:val="en-GB"/>
        </w:rPr>
        <w:t xml:space="preserve">, France) according to the manufacturer’s instructions. First-strand cDNAs were synthesized from 1 µg of total </w:t>
      </w:r>
      <w:proofErr w:type="spellStart"/>
      <w:r w:rsidRPr="00972C76">
        <w:rPr>
          <w:szCs w:val="20"/>
          <w:lang w:val="en-GB"/>
        </w:rPr>
        <w:t>RNAs</w:t>
      </w:r>
      <w:proofErr w:type="spellEnd"/>
      <w:r w:rsidRPr="00972C76">
        <w:rPr>
          <w:szCs w:val="20"/>
          <w:lang w:val="en-GB"/>
        </w:rPr>
        <w:t xml:space="preserve"> using </w:t>
      </w:r>
      <w:proofErr w:type="spellStart"/>
      <w:r w:rsidRPr="00972C76">
        <w:rPr>
          <w:szCs w:val="20"/>
          <w:lang w:val="en-GB"/>
        </w:rPr>
        <w:t>PrimeScript</w:t>
      </w:r>
      <w:proofErr w:type="spellEnd"/>
      <w:r w:rsidRPr="00972C76">
        <w:rPr>
          <w:szCs w:val="20"/>
          <w:lang w:val="en-GB"/>
        </w:rPr>
        <w:t xml:space="preserve"> RT kit (</w:t>
      </w:r>
      <w:proofErr w:type="spellStart"/>
      <w:r w:rsidRPr="00972C76">
        <w:rPr>
          <w:szCs w:val="20"/>
          <w:lang w:val="en-GB"/>
        </w:rPr>
        <w:t>Ozyme</w:t>
      </w:r>
      <w:proofErr w:type="spellEnd"/>
      <w:r w:rsidRPr="00972C76">
        <w:rPr>
          <w:szCs w:val="20"/>
          <w:lang w:val="en-GB"/>
        </w:rPr>
        <w:t>, Saint-Quentin-</w:t>
      </w:r>
      <w:proofErr w:type="spellStart"/>
      <w:r w:rsidRPr="00972C76">
        <w:rPr>
          <w:szCs w:val="20"/>
          <w:lang w:val="en-GB"/>
        </w:rPr>
        <w:t>en</w:t>
      </w:r>
      <w:proofErr w:type="spellEnd"/>
      <w:r w:rsidRPr="00972C76">
        <w:rPr>
          <w:szCs w:val="20"/>
          <w:lang w:val="en-GB"/>
        </w:rPr>
        <w:t>-Yvelines, France) with a mixture of random hexamers and oligo(dT) primers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and treated with 60 units of </w:t>
      </w:r>
      <w:proofErr w:type="spellStart"/>
      <w:r w:rsidRPr="00972C76">
        <w:rPr>
          <w:szCs w:val="20"/>
          <w:lang w:val="en-GB"/>
        </w:rPr>
        <w:t>RnaseH</w:t>
      </w:r>
      <w:proofErr w:type="spellEnd"/>
      <w:r w:rsidRPr="00972C76">
        <w:rPr>
          <w:szCs w:val="20"/>
          <w:lang w:val="en-GB"/>
        </w:rPr>
        <w:t xml:space="preserve"> (</w:t>
      </w:r>
      <w:proofErr w:type="spellStart"/>
      <w:r w:rsidRPr="00972C76">
        <w:rPr>
          <w:szCs w:val="20"/>
          <w:lang w:val="en-GB"/>
        </w:rPr>
        <w:t>Ozyme</w:t>
      </w:r>
      <w:proofErr w:type="spellEnd"/>
      <w:r w:rsidR="00354C59">
        <w:rPr>
          <w:szCs w:val="20"/>
          <w:lang w:val="en-GB"/>
        </w:rPr>
        <w:t>, St-Quentin-</w:t>
      </w:r>
      <w:proofErr w:type="spellStart"/>
      <w:r w:rsidR="00354C59">
        <w:rPr>
          <w:szCs w:val="20"/>
          <w:lang w:val="en-GB"/>
        </w:rPr>
        <w:t>en</w:t>
      </w:r>
      <w:proofErr w:type="spellEnd"/>
      <w:r w:rsidR="00354C59">
        <w:rPr>
          <w:szCs w:val="20"/>
          <w:lang w:val="en-GB"/>
        </w:rPr>
        <w:t>-Yvelines, France</w:t>
      </w:r>
      <w:r w:rsidRPr="00972C76">
        <w:rPr>
          <w:szCs w:val="20"/>
          <w:lang w:val="en-GB"/>
        </w:rPr>
        <w:t xml:space="preserve">) Real-time PCR assays were performed with </w:t>
      </w:r>
      <w:r w:rsidR="001579AF" w:rsidRPr="00972C76">
        <w:rPr>
          <w:szCs w:val="20"/>
          <w:lang w:val="en-GB"/>
        </w:rPr>
        <w:t xml:space="preserve">a </w:t>
      </w:r>
      <w:r w:rsidRPr="00972C76">
        <w:rPr>
          <w:szCs w:val="20"/>
          <w:lang w:val="en-GB"/>
        </w:rPr>
        <w:t xml:space="preserve">Rotor-Gene 6000 (Qiagen, </w:t>
      </w:r>
      <w:proofErr w:type="spellStart"/>
      <w:r w:rsidRPr="00972C76">
        <w:rPr>
          <w:szCs w:val="20"/>
          <w:lang w:val="en-GB"/>
        </w:rPr>
        <w:t>Courtaboeuf</w:t>
      </w:r>
      <w:proofErr w:type="spellEnd"/>
      <w:r w:rsidRPr="00972C76">
        <w:rPr>
          <w:szCs w:val="20"/>
          <w:lang w:val="en-GB"/>
        </w:rPr>
        <w:t xml:space="preserve">, France). </w:t>
      </w:r>
      <w:r w:rsidR="00797661" w:rsidRPr="00972C76">
        <w:rPr>
          <w:color w:val="auto"/>
          <w:szCs w:val="20"/>
          <w:lang w:val="en-GB"/>
        </w:rPr>
        <w:t>Different primers were used for SREBP1c and PEPCK (see Table S</w:t>
      </w:r>
      <w:r w:rsidR="0091046D" w:rsidRPr="00972C76">
        <w:rPr>
          <w:color w:val="auto"/>
          <w:szCs w:val="20"/>
          <w:lang w:val="en-GB"/>
        </w:rPr>
        <w:t>1</w:t>
      </w:r>
      <w:r w:rsidR="00797661" w:rsidRPr="00972C76">
        <w:rPr>
          <w:color w:val="auto"/>
          <w:szCs w:val="20"/>
          <w:lang w:val="en-GB"/>
        </w:rPr>
        <w:t>), and the results were normalized by using TBP (TATA box binding protein) mRNA concentration</w:t>
      </w:r>
      <w:r w:rsidR="001579AF" w:rsidRPr="00972C76">
        <w:rPr>
          <w:color w:val="auto"/>
          <w:szCs w:val="20"/>
          <w:lang w:val="en-GB"/>
        </w:rPr>
        <w:t>s</w:t>
      </w:r>
      <w:r w:rsidR="00797661" w:rsidRPr="00972C76">
        <w:rPr>
          <w:color w:val="auto"/>
          <w:szCs w:val="20"/>
          <w:lang w:val="en-GB"/>
        </w:rPr>
        <w:t xml:space="preserve">, measured as </w:t>
      </w:r>
      <w:r w:rsidR="001579AF" w:rsidRPr="00972C76">
        <w:rPr>
          <w:color w:val="auto"/>
          <w:szCs w:val="20"/>
          <w:lang w:val="en-GB"/>
        </w:rPr>
        <w:t xml:space="preserve">a </w:t>
      </w:r>
      <w:r w:rsidR="00797661" w:rsidRPr="00972C76">
        <w:rPr>
          <w:color w:val="auto"/>
          <w:szCs w:val="20"/>
          <w:lang w:val="en-GB"/>
        </w:rPr>
        <w:t>reference gene in each sample.</w:t>
      </w:r>
    </w:p>
    <w:p w14:paraId="63ABFBB9" w14:textId="396A5012" w:rsidR="00972C76" w:rsidRDefault="0027160A" w:rsidP="00F50A8D">
      <w:pPr>
        <w:pStyle w:val="MDPI31text"/>
        <w:rPr>
          <w:b/>
        </w:rPr>
      </w:pPr>
      <w:r w:rsidRPr="00972C76">
        <w:rPr>
          <w:szCs w:val="20"/>
          <w:lang w:val="en-GB"/>
        </w:rPr>
        <w:t xml:space="preserve">For protein extraction, cells were then scraped into 500 </w:t>
      </w:r>
      <w:proofErr w:type="spellStart"/>
      <w:r w:rsidR="001579AF" w:rsidRPr="00972C76">
        <w:rPr>
          <w:szCs w:val="20"/>
          <w:lang w:val="en-GB"/>
        </w:rPr>
        <w:t>μL</w:t>
      </w:r>
      <w:proofErr w:type="spellEnd"/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of ice-cold lysis buffer (</w:t>
      </w:r>
      <w:r w:rsidR="001579AF" w:rsidRPr="00972C76">
        <w:rPr>
          <w:szCs w:val="20"/>
          <w:lang w:val="en-GB"/>
        </w:rPr>
        <w:t>Tris</w:t>
      </w:r>
      <w:r w:rsidRPr="00972C76">
        <w:rPr>
          <w:szCs w:val="20"/>
          <w:lang w:val="en-GB"/>
        </w:rPr>
        <w:t>-HCl 20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mM, NaCl 138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mM, </w:t>
      </w:r>
      <w:proofErr w:type="spellStart"/>
      <w:r w:rsidR="001579AF" w:rsidRPr="00972C76">
        <w:rPr>
          <w:szCs w:val="20"/>
          <w:lang w:val="en-GB"/>
        </w:rPr>
        <w:t>KCl</w:t>
      </w:r>
      <w:proofErr w:type="spellEnd"/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2.7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mM, </w:t>
      </w:r>
      <w:proofErr w:type="spellStart"/>
      <w:r w:rsidRPr="00972C76">
        <w:rPr>
          <w:szCs w:val="20"/>
          <w:lang w:val="en-GB"/>
        </w:rPr>
        <w:t>MgCl</w:t>
      </w:r>
      <w:r w:rsidRPr="00972C76">
        <w:rPr>
          <w:szCs w:val="20"/>
          <w:vertAlign w:val="subscript"/>
          <w:lang w:val="en-GB"/>
        </w:rPr>
        <w:t>2</w:t>
      </w:r>
      <w:proofErr w:type="spellEnd"/>
      <w:r w:rsidRPr="00972C76">
        <w:rPr>
          <w:szCs w:val="20"/>
          <w:lang w:val="en-GB"/>
        </w:rPr>
        <w:t xml:space="preserve"> 1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mM, </w:t>
      </w:r>
      <w:r w:rsidR="001579AF" w:rsidRPr="00972C76">
        <w:rPr>
          <w:szCs w:val="20"/>
          <w:lang w:val="en-GB"/>
        </w:rPr>
        <w:t xml:space="preserve">glycerol </w:t>
      </w:r>
      <w:r w:rsidRPr="00972C76">
        <w:rPr>
          <w:szCs w:val="20"/>
          <w:lang w:val="en-GB"/>
        </w:rPr>
        <w:t xml:space="preserve">5%, NP 40 1%, </w:t>
      </w:r>
      <w:proofErr w:type="spellStart"/>
      <w:r w:rsidRPr="00972C76">
        <w:rPr>
          <w:szCs w:val="20"/>
          <w:lang w:val="en-GB"/>
        </w:rPr>
        <w:t>EDTA</w:t>
      </w:r>
      <w:proofErr w:type="spellEnd"/>
      <w:r w:rsidRPr="00972C76">
        <w:rPr>
          <w:szCs w:val="20"/>
          <w:lang w:val="en-GB"/>
        </w:rPr>
        <w:t xml:space="preserve"> </w:t>
      </w:r>
      <w:proofErr w:type="spellStart"/>
      <w:r w:rsidRPr="00972C76">
        <w:rPr>
          <w:szCs w:val="20"/>
          <w:lang w:val="en-GB"/>
        </w:rPr>
        <w:t>5mM</w:t>
      </w:r>
      <w:proofErr w:type="spellEnd"/>
      <w:r w:rsidRPr="00972C76">
        <w:rPr>
          <w:szCs w:val="20"/>
          <w:lang w:val="en-GB"/>
        </w:rPr>
        <w:t xml:space="preserve">, </w:t>
      </w:r>
      <w:proofErr w:type="spellStart"/>
      <w:r w:rsidRPr="00972C76">
        <w:rPr>
          <w:szCs w:val="20"/>
          <w:lang w:val="en-GB"/>
        </w:rPr>
        <w:t>Na</w:t>
      </w:r>
      <w:r w:rsidRPr="00972C76">
        <w:rPr>
          <w:szCs w:val="20"/>
          <w:vertAlign w:val="subscript"/>
          <w:lang w:val="en-GB"/>
        </w:rPr>
        <w:t>3</w:t>
      </w:r>
      <w:r w:rsidRPr="00972C76">
        <w:rPr>
          <w:szCs w:val="20"/>
          <w:lang w:val="en-GB"/>
        </w:rPr>
        <w:t>VO</w:t>
      </w:r>
      <w:r w:rsidRPr="00972C76">
        <w:rPr>
          <w:szCs w:val="20"/>
          <w:vertAlign w:val="subscript"/>
          <w:lang w:val="en-GB"/>
        </w:rPr>
        <w:t>4</w:t>
      </w:r>
      <w:proofErr w:type="spellEnd"/>
      <w:r w:rsidRPr="00972C76">
        <w:rPr>
          <w:szCs w:val="20"/>
          <w:lang w:val="en-GB"/>
        </w:rPr>
        <w:t xml:space="preserve"> 1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mM, </w:t>
      </w:r>
      <w:proofErr w:type="spellStart"/>
      <w:r w:rsidRPr="00972C76">
        <w:rPr>
          <w:szCs w:val="20"/>
          <w:lang w:val="en-GB"/>
        </w:rPr>
        <w:t>NaF</w:t>
      </w:r>
      <w:proofErr w:type="spellEnd"/>
      <w:r w:rsidRPr="00972C76">
        <w:rPr>
          <w:szCs w:val="20"/>
          <w:lang w:val="en-GB"/>
        </w:rPr>
        <w:t xml:space="preserve"> 20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>mM</w:t>
      </w:r>
      <w:r w:rsidR="001579AF" w:rsidRPr="00972C76">
        <w:rPr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and </w:t>
      </w:r>
      <w:proofErr w:type="spellStart"/>
      <w:r w:rsidRPr="00972C76">
        <w:rPr>
          <w:szCs w:val="20"/>
          <w:lang w:val="en-GB"/>
        </w:rPr>
        <w:t>DTT</w:t>
      </w:r>
      <w:proofErr w:type="spellEnd"/>
      <w:r w:rsidRPr="00972C76">
        <w:rPr>
          <w:szCs w:val="20"/>
          <w:lang w:val="en-GB"/>
        </w:rPr>
        <w:t xml:space="preserve"> 1</w:t>
      </w:r>
      <w:r w:rsidR="001579AF" w:rsidRPr="00972C76">
        <w:rPr>
          <w:szCs w:val="20"/>
          <w:lang w:val="en-GB"/>
        </w:rPr>
        <w:t xml:space="preserve"> </w:t>
      </w:r>
      <w:r w:rsidRPr="00972C76">
        <w:rPr>
          <w:szCs w:val="20"/>
          <w:lang w:val="en-GB"/>
        </w:rPr>
        <w:t xml:space="preserve">mM). Protease inhibitor cocktail (Sigma) was added extemporaneously. Protein concentration was determined by Bradford quantification. Western blotting was performed as previously described </w:t>
      </w:r>
      <w:r w:rsidR="00B24E45" w:rsidRPr="00972C76">
        <w:rPr>
          <w:szCs w:val="20"/>
          <w:lang w:val="en-GB"/>
        </w:rPr>
        <w:t>[</w:t>
      </w:r>
      <w:r w:rsidR="00B24E45" w:rsidRPr="00972C76">
        <w:rPr>
          <w:noProof/>
          <w:szCs w:val="20"/>
          <w:lang w:val="en-GB"/>
        </w:rPr>
        <w:t>3</w:t>
      </w:r>
      <w:r w:rsidRPr="00972C76">
        <w:rPr>
          <w:noProof/>
          <w:szCs w:val="20"/>
          <w:lang w:val="en-GB"/>
        </w:rPr>
        <w:t>]</w:t>
      </w:r>
      <w:r w:rsidR="001579AF" w:rsidRPr="00972C76">
        <w:rPr>
          <w:noProof/>
          <w:szCs w:val="20"/>
          <w:lang w:val="en-GB"/>
        </w:rPr>
        <w:t>,</w:t>
      </w:r>
      <w:r w:rsidRPr="00972C76">
        <w:rPr>
          <w:szCs w:val="20"/>
          <w:lang w:val="en-GB"/>
        </w:rPr>
        <w:t xml:space="preserve"> with 20 µg for protein loading. All membranes were blocked with 4% BSA (</w:t>
      </w:r>
      <w:r w:rsidR="001579AF" w:rsidRPr="00972C76">
        <w:rPr>
          <w:szCs w:val="20"/>
          <w:lang w:val="en-GB"/>
        </w:rPr>
        <w:t>bovine serum albumin</w:t>
      </w:r>
      <w:r w:rsidRPr="00972C76">
        <w:rPr>
          <w:szCs w:val="20"/>
          <w:lang w:val="en-GB"/>
        </w:rPr>
        <w:t xml:space="preserve">, </w:t>
      </w:r>
      <w:proofErr w:type="spellStart"/>
      <w:r w:rsidRPr="00972C76">
        <w:rPr>
          <w:szCs w:val="20"/>
          <w:lang w:val="en-GB"/>
        </w:rPr>
        <w:t>Euromedex</w:t>
      </w:r>
      <w:proofErr w:type="spellEnd"/>
      <w:r w:rsidRPr="00972C76">
        <w:rPr>
          <w:szCs w:val="20"/>
          <w:lang w:val="en-GB"/>
        </w:rPr>
        <w:t xml:space="preserve">, </w:t>
      </w:r>
      <w:proofErr w:type="spellStart"/>
      <w:r w:rsidRPr="00972C76">
        <w:rPr>
          <w:szCs w:val="20"/>
          <w:lang w:val="en-GB"/>
        </w:rPr>
        <w:t>Souffelweyersheim</w:t>
      </w:r>
      <w:proofErr w:type="spellEnd"/>
      <w:r w:rsidRPr="00972C76">
        <w:rPr>
          <w:szCs w:val="20"/>
          <w:lang w:val="en-GB"/>
        </w:rPr>
        <w:t>, France) and probed with primary then second</w:t>
      </w:r>
      <w:r w:rsidR="0066356B" w:rsidRPr="00972C76">
        <w:rPr>
          <w:szCs w:val="20"/>
          <w:lang w:val="en-GB"/>
        </w:rPr>
        <w:t>ary HRP antibodies (see Table S</w:t>
      </w:r>
      <w:r w:rsidR="0091046D" w:rsidRPr="00972C76">
        <w:rPr>
          <w:szCs w:val="20"/>
          <w:lang w:val="en-GB"/>
        </w:rPr>
        <w:t>1</w:t>
      </w:r>
      <w:r w:rsidRPr="00972C76">
        <w:rPr>
          <w:szCs w:val="20"/>
          <w:lang w:val="en-GB"/>
        </w:rPr>
        <w:t xml:space="preserve">). Chemiluminescence signals were recorded using a </w:t>
      </w:r>
      <w:proofErr w:type="spellStart"/>
      <w:r w:rsidRPr="00972C76">
        <w:rPr>
          <w:szCs w:val="20"/>
          <w:lang w:val="en-GB"/>
        </w:rPr>
        <w:t>Chemidoc</w:t>
      </w:r>
      <w:proofErr w:type="spellEnd"/>
      <w:r w:rsidRPr="00972C76">
        <w:rPr>
          <w:szCs w:val="20"/>
          <w:lang w:val="en-GB"/>
        </w:rPr>
        <w:t xml:space="preserve"> camera (Bio-Rad</w:t>
      </w:r>
      <w:r w:rsidR="00EF0AFA">
        <w:rPr>
          <w:szCs w:val="20"/>
          <w:lang w:val="en-GB"/>
        </w:rPr>
        <w:t>, Hercules, CA, USA</w:t>
      </w:r>
      <w:r w:rsidRPr="00972C76">
        <w:rPr>
          <w:szCs w:val="20"/>
          <w:lang w:val="en-GB"/>
        </w:rPr>
        <w:t>)</w:t>
      </w:r>
      <w:r w:rsidR="00B945D0" w:rsidRPr="00972C76">
        <w:rPr>
          <w:szCs w:val="20"/>
          <w:lang w:val="en-GB"/>
        </w:rPr>
        <w:t>.</w:t>
      </w:r>
      <w:r w:rsidR="00972C76" w:rsidRPr="00EF0AFA">
        <w:rPr>
          <w:lang w:val="en-GB"/>
        </w:rPr>
        <w:br w:type="page"/>
      </w:r>
    </w:p>
    <w:p w14:paraId="6F02921F" w14:textId="2D16EDC2" w:rsidR="00972C76" w:rsidRPr="00972C76" w:rsidRDefault="00972C76" w:rsidP="00972C76">
      <w:pPr>
        <w:pStyle w:val="MDPI21heading1"/>
      </w:pPr>
      <w:r w:rsidRPr="00972C76">
        <w:lastRenderedPageBreak/>
        <w:t>References</w:t>
      </w:r>
    </w:p>
    <w:p w14:paraId="1E3AC3B8" w14:textId="160566B1" w:rsidR="00B24E45" w:rsidRPr="00972C76" w:rsidRDefault="00B24E45" w:rsidP="00972C76">
      <w:pPr>
        <w:pStyle w:val="MDPI71References"/>
        <w:numPr>
          <w:ilvl w:val="0"/>
          <w:numId w:val="2"/>
        </w:numPr>
        <w:ind w:left="425" w:hanging="425"/>
        <w:contextualSpacing/>
        <w:rPr>
          <w:rFonts w:eastAsia="SimSun"/>
          <w:noProof/>
          <w:sz w:val="20"/>
          <w:lang w:val="en-GB"/>
        </w:rPr>
      </w:pPr>
      <w:bookmarkStart w:id="0" w:name="_ENREF_24"/>
      <w:r w:rsidRPr="00972C76">
        <w:rPr>
          <w:rFonts w:eastAsia="SimSun"/>
          <w:noProof/>
          <w:sz w:val="20"/>
          <w:lang w:val="en-GB"/>
        </w:rPr>
        <w:t xml:space="preserve">Pernelle, K.; Le Guevel, R.; Glaise, D.; Stasio, C. G.; Le Charpentier, T.; Bouaita, B.; Corlu, A.; Guguen-Guillouzo, C. Automated detection of hepatotoxic compounds in human hepatocytes using HepaRG cells and image-based analysis of mitochondrial dysfunction with JC-1 dye. </w:t>
      </w:r>
      <w:r w:rsidRPr="00972C76">
        <w:rPr>
          <w:rFonts w:eastAsia="SimSun"/>
          <w:i/>
          <w:noProof/>
          <w:sz w:val="20"/>
          <w:lang w:val="en-GB"/>
        </w:rPr>
        <w:t>Toxicol</w:t>
      </w:r>
      <w:r w:rsidR="00972C76" w:rsidRPr="00972C76">
        <w:rPr>
          <w:rFonts w:eastAsia="SimSun"/>
          <w:i/>
          <w:noProof/>
          <w:sz w:val="20"/>
          <w:lang w:val="en-GB"/>
        </w:rPr>
        <w:t>.</w:t>
      </w:r>
      <w:r w:rsidRPr="00972C76">
        <w:rPr>
          <w:rFonts w:eastAsia="SimSun"/>
          <w:i/>
          <w:noProof/>
          <w:sz w:val="20"/>
          <w:lang w:val="en-GB"/>
        </w:rPr>
        <w:t xml:space="preserve"> Appl</w:t>
      </w:r>
      <w:r w:rsidR="00972C76" w:rsidRPr="00972C76">
        <w:rPr>
          <w:rFonts w:eastAsia="SimSun"/>
          <w:i/>
          <w:noProof/>
          <w:sz w:val="20"/>
          <w:lang w:val="en-GB"/>
        </w:rPr>
        <w:t>.</w:t>
      </w:r>
      <w:r w:rsidRPr="00972C76">
        <w:rPr>
          <w:rFonts w:eastAsia="SimSun"/>
          <w:i/>
          <w:noProof/>
          <w:sz w:val="20"/>
          <w:lang w:val="en-GB"/>
        </w:rPr>
        <w:t xml:space="preserve"> Pharmacol</w:t>
      </w:r>
      <w:r w:rsidR="00972C76">
        <w:rPr>
          <w:rFonts w:eastAsia="SimSun"/>
          <w:noProof/>
          <w:sz w:val="20"/>
          <w:lang w:val="en-GB"/>
        </w:rPr>
        <w:t>.</w:t>
      </w:r>
      <w:r w:rsidRPr="00972C76">
        <w:rPr>
          <w:rFonts w:eastAsia="SimSun"/>
          <w:noProof/>
          <w:sz w:val="20"/>
          <w:lang w:val="en-GB"/>
        </w:rPr>
        <w:t xml:space="preserve"> </w:t>
      </w:r>
      <w:r w:rsidRPr="00972C76">
        <w:rPr>
          <w:rFonts w:eastAsia="SimSun"/>
          <w:b/>
          <w:noProof/>
          <w:sz w:val="20"/>
          <w:lang w:val="en-GB"/>
        </w:rPr>
        <w:t>2011</w:t>
      </w:r>
      <w:r w:rsidRPr="00972C76">
        <w:rPr>
          <w:rFonts w:eastAsia="SimSun"/>
          <w:noProof/>
          <w:sz w:val="20"/>
          <w:lang w:val="en-GB"/>
        </w:rPr>
        <w:t xml:space="preserve">, </w:t>
      </w:r>
      <w:r w:rsidRPr="00972C76">
        <w:rPr>
          <w:rFonts w:eastAsia="SimSun"/>
          <w:i/>
          <w:noProof/>
          <w:sz w:val="20"/>
          <w:lang w:val="en-GB"/>
        </w:rPr>
        <w:t>254</w:t>
      </w:r>
      <w:r w:rsidRPr="00972C76">
        <w:rPr>
          <w:rFonts w:eastAsia="SimSun"/>
          <w:noProof/>
          <w:sz w:val="20"/>
          <w:lang w:val="en-GB"/>
        </w:rPr>
        <w:t>, 256</w:t>
      </w:r>
      <w:r w:rsidR="00972C76">
        <w:rPr>
          <w:rFonts w:eastAsia="SimSun"/>
          <w:noProof/>
          <w:sz w:val="20"/>
          <w:lang w:val="en-GB"/>
        </w:rPr>
        <w:t>–</w:t>
      </w:r>
      <w:r w:rsidRPr="00972C76">
        <w:rPr>
          <w:rFonts w:eastAsia="SimSun"/>
          <w:noProof/>
          <w:sz w:val="20"/>
          <w:lang w:val="en-GB"/>
        </w:rPr>
        <w:t>66.</w:t>
      </w:r>
      <w:bookmarkEnd w:id="0"/>
    </w:p>
    <w:p w14:paraId="4F732FFA" w14:textId="08F3E4B2" w:rsidR="00B24E45" w:rsidRPr="00972C76" w:rsidRDefault="00B24E45" w:rsidP="00972C76">
      <w:pPr>
        <w:pStyle w:val="MDPI71References"/>
        <w:numPr>
          <w:ilvl w:val="0"/>
          <w:numId w:val="2"/>
        </w:numPr>
        <w:ind w:left="425" w:hanging="425"/>
        <w:contextualSpacing/>
        <w:rPr>
          <w:rFonts w:eastAsia="SimSun"/>
          <w:noProof/>
          <w:sz w:val="20"/>
          <w:lang w:val="en-GB"/>
        </w:rPr>
      </w:pPr>
      <w:bookmarkStart w:id="1" w:name="_ENREF_25"/>
      <w:bookmarkStart w:id="2" w:name="_Hlk1639938"/>
      <w:r w:rsidRPr="00972C76">
        <w:rPr>
          <w:rFonts w:eastAsia="SimSun"/>
          <w:noProof/>
          <w:sz w:val="20"/>
          <w:lang w:val="en-GB"/>
        </w:rPr>
        <w:t xml:space="preserve">Madec, S.; Cerec, V.; Plee-Gautier, E.; Antoun, J.; Glaise, D.; Salaun, J.P.; Guguen-Guillouzo, C.; Corlu, A. CYP4F3B expression is associated with differentiation of HepaRG human hepatocytes and unaffected by fatty acid overload. </w:t>
      </w:r>
      <w:r w:rsidRPr="00972C76">
        <w:rPr>
          <w:rFonts w:eastAsia="SimSun"/>
          <w:i/>
          <w:noProof/>
          <w:sz w:val="20"/>
          <w:lang w:val="en-GB"/>
        </w:rPr>
        <w:t>Drug Metab</w:t>
      </w:r>
      <w:r w:rsidR="00972C76">
        <w:rPr>
          <w:rFonts w:eastAsia="SimSun"/>
          <w:i/>
          <w:noProof/>
          <w:sz w:val="20"/>
          <w:lang w:val="en-GB"/>
        </w:rPr>
        <w:t>.</w:t>
      </w:r>
      <w:r w:rsidRPr="00972C76">
        <w:rPr>
          <w:rFonts w:eastAsia="SimSun"/>
          <w:i/>
          <w:noProof/>
          <w:sz w:val="20"/>
          <w:lang w:val="en-GB"/>
        </w:rPr>
        <w:t xml:space="preserve"> Dispos</w:t>
      </w:r>
      <w:r w:rsidR="00972C76">
        <w:rPr>
          <w:rFonts w:eastAsia="SimSun"/>
          <w:i/>
          <w:noProof/>
          <w:sz w:val="20"/>
          <w:lang w:val="en-GB"/>
        </w:rPr>
        <w:t>.</w:t>
      </w:r>
      <w:r w:rsidRPr="00972C76">
        <w:rPr>
          <w:rFonts w:eastAsia="SimSun"/>
          <w:noProof/>
          <w:sz w:val="20"/>
          <w:lang w:val="en-GB"/>
        </w:rPr>
        <w:t xml:space="preserve"> </w:t>
      </w:r>
      <w:r w:rsidRPr="00972C76">
        <w:rPr>
          <w:rFonts w:eastAsia="SimSun"/>
          <w:b/>
          <w:noProof/>
          <w:sz w:val="20"/>
          <w:lang w:val="en-GB"/>
        </w:rPr>
        <w:t>2011</w:t>
      </w:r>
      <w:r w:rsidRPr="00972C76">
        <w:rPr>
          <w:rFonts w:eastAsia="SimSun"/>
          <w:noProof/>
          <w:sz w:val="20"/>
          <w:lang w:val="en-GB"/>
        </w:rPr>
        <w:t xml:space="preserve">, </w:t>
      </w:r>
      <w:r w:rsidRPr="00972C76">
        <w:rPr>
          <w:rFonts w:eastAsia="SimSun"/>
          <w:i/>
          <w:noProof/>
          <w:sz w:val="20"/>
          <w:lang w:val="en-GB"/>
        </w:rPr>
        <w:t>39</w:t>
      </w:r>
      <w:r w:rsidRPr="00972C76">
        <w:rPr>
          <w:rFonts w:eastAsia="SimSun"/>
          <w:noProof/>
          <w:sz w:val="20"/>
          <w:lang w:val="en-GB"/>
        </w:rPr>
        <w:t>, 1987</w:t>
      </w:r>
      <w:r w:rsidR="00972C76">
        <w:rPr>
          <w:rFonts w:eastAsia="SimSun"/>
          <w:noProof/>
          <w:sz w:val="20"/>
          <w:lang w:val="en-GB"/>
        </w:rPr>
        <w:t>–</w:t>
      </w:r>
      <w:r w:rsidRPr="00972C76">
        <w:rPr>
          <w:rFonts w:eastAsia="SimSun"/>
          <w:noProof/>
          <w:sz w:val="20"/>
          <w:lang w:val="en-GB"/>
        </w:rPr>
        <w:t>96.</w:t>
      </w:r>
      <w:bookmarkEnd w:id="1"/>
    </w:p>
    <w:p w14:paraId="70871B07" w14:textId="7CC479C4" w:rsidR="00B24E45" w:rsidRPr="00F50A8D" w:rsidRDefault="00B24E45" w:rsidP="00F50A8D">
      <w:pPr>
        <w:pStyle w:val="MDPI71References"/>
        <w:numPr>
          <w:ilvl w:val="0"/>
          <w:numId w:val="2"/>
        </w:numPr>
        <w:ind w:left="425" w:hanging="425"/>
        <w:contextualSpacing/>
        <w:rPr>
          <w:rFonts w:eastAsia="SimSun"/>
          <w:noProof/>
          <w:sz w:val="20"/>
          <w:lang w:val="en-GB"/>
        </w:rPr>
      </w:pPr>
      <w:bookmarkStart w:id="3" w:name="_ENREF_26"/>
      <w:r w:rsidRPr="00972C76">
        <w:rPr>
          <w:rFonts w:eastAsia="SimSun"/>
          <w:noProof/>
          <w:sz w:val="20"/>
          <w:lang w:val="en-GB"/>
        </w:rPr>
        <w:t>Dessalle, K.; Euthine, V.; Chanon, S.; Delarichaudy, J.; Fujii, I.; Rome, S.; Vidal, H.; Nemoz, G.; Simon, C.; Lefai, E. SREBP-1 t</w:t>
      </w:r>
      <w:bookmarkStart w:id="4" w:name="_GoBack"/>
      <w:bookmarkEnd w:id="4"/>
      <w:r w:rsidRPr="00972C76">
        <w:rPr>
          <w:rFonts w:eastAsia="SimSun"/>
          <w:noProof/>
          <w:sz w:val="20"/>
          <w:lang w:val="en-GB"/>
        </w:rPr>
        <w:t xml:space="preserve">ranscription factors regulate skeletal muscle cell size by controlling protein synthesis through myogenic regulatory factors. </w:t>
      </w:r>
      <w:r w:rsidRPr="00972C76">
        <w:rPr>
          <w:rFonts w:eastAsia="SimSun"/>
          <w:i/>
          <w:noProof/>
          <w:sz w:val="20"/>
          <w:lang w:val="en-GB"/>
        </w:rPr>
        <w:t>PLoS One</w:t>
      </w:r>
      <w:r w:rsidRPr="00972C76">
        <w:rPr>
          <w:rFonts w:eastAsia="SimSun"/>
          <w:noProof/>
          <w:sz w:val="20"/>
          <w:lang w:val="en-GB"/>
        </w:rPr>
        <w:t xml:space="preserve"> </w:t>
      </w:r>
      <w:r w:rsidRPr="00972C76">
        <w:rPr>
          <w:rFonts w:eastAsia="SimSun"/>
          <w:b/>
          <w:noProof/>
          <w:sz w:val="20"/>
          <w:lang w:val="en-GB"/>
        </w:rPr>
        <w:t>2012</w:t>
      </w:r>
      <w:r w:rsidRPr="00972C76">
        <w:rPr>
          <w:rFonts w:eastAsia="SimSun"/>
          <w:noProof/>
          <w:sz w:val="20"/>
          <w:lang w:val="en-GB"/>
        </w:rPr>
        <w:t xml:space="preserve">, </w:t>
      </w:r>
      <w:r w:rsidRPr="00972C76">
        <w:rPr>
          <w:rFonts w:eastAsia="SimSun"/>
          <w:i/>
          <w:noProof/>
          <w:sz w:val="20"/>
          <w:lang w:val="en-GB"/>
        </w:rPr>
        <w:t>7</w:t>
      </w:r>
      <w:r w:rsidRPr="00972C76">
        <w:rPr>
          <w:rFonts w:eastAsia="SimSun"/>
          <w:noProof/>
          <w:sz w:val="20"/>
          <w:lang w:val="en-GB"/>
        </w:rPr>
        <w:t>, e50878.</w:t>
      </w:r>
      <w:bookmarkEnd w:id="2"/>
      <w:bookmarkEnd w:id="3"/>
    </w:p>
    <w:sectPr w:rsidR="00B24E45" w:rsidRPr="00F50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2122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02ACD"/>
    <w:multiLevelType w:val="hybridMultilevel"/>
    <w:tmpl w:val="18E452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0A"/>
    <w:rsid w:val="00020A4C"/>
    <w:rsid w:val="000809D1"/>
    <w:rsid w:val="001107C9"/>
    <w:rsid w:val="001579AF"/>
    <w:rsid w:val="002079ED"/>
    <w:rsid w:val="0027160A"/>
    <w:rsid w:val="002A49E2"/>
    <w:rsid w:val="00354C59"/>
    <w:rsid w:val="00470D1E"/>
    <w:rsid w:val="005128AB"/>
    <w:rsid w:val="00547282"/>
    <w:rsid w:val="005F18BB"/>
    <w:rsid w:val="0066356B"/>
    <w:rsid w:val="00783B96"/>
    <w:rsid w:val="00797661"/>
    <w:rsid w:val="007A3D1C"/>
    <w:rsid w:val="008739AE"/>
    <w:rsid w:val="008A2947"/>
    <w:rsid w:val="0091046D"/>
    <w:rsid w:val="00972C76"/>
    <w:rsid w:val="00B24E45"/>
    <w:rsid w:val="00B945D0"/>
    <w:rsid w:val="00BD0E1A"/>
    <w:rsid w:val="00C05438"/>
    <w:rsid w:val="00C60F7D"/>
    <w:rsid w:val="00D53A16"/>
    <w:rsid w:val="00E21FFA"/>
    <w:rsid w:val="00EF0AFA"/>
    <w:rsid w:val="00F5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96530"/>
  <w15:chartTrackingRefBased/>
  <w15:docId w15:val="{9E698FB3-C9C0-42DE-99BE-CF203C6C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27160A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basedOn w:val="Normal"/>
    <w:qFormat/>
    <w:rsid w:val="0027160A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7160A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Normal"/>
    <w:next w:val="Normal"/>
    <w:qFormat/>
    <w:rsid w:val="0027160A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27160A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Hyperlink">
    <w:name w:val="Hyperlink"/>
    <w:uiPriority w:val="99"/>
    <w:unhideWhenUsed/>
    <w:rsid w:val="0027160A"/>
    <w:rPr>
      <w:color w:val="0563C1"/>
      <w:u w:val="single"/>
    </w:rPr>
  </w:style>
  <w:style w:type="paragraph" w:customStyle="1" w:styleId="MDPI21heading1">
    <w:name w:val="MDPI_2.1_heading1"/>
    <w:basedOn w:val="Normal"/>
    <w:qFormat/>
    <w:rsid w:val="0027160A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table" w:styleId="TableGrid">
    <w:name w:val="Table Grid"/>
    <w:basedOn w:val="TableNormal"/>
    <w:uiPriority w:val="39"/>
    <w:rsid w:val="00B94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71References">
    <w:name w:val="MDPI_7.1_References"/>
    <w:basedOn w:val="Normal"/>
    <w:qFormat/>
    <w:rsid w:val="00B24E45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579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9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9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9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9AF"/>
    <w:rPr>
      <w:rFonts w:ascii="Segoe UI" w:hAnsi="Segoe UI" w:cs="Segoe UI"/>
      <w:sz w:val="18"/>
      <w:szCs w:val="18"/>
    </w:rPr>
  </w:style>
  <w:style w:type="paragraph" w:customStyle="1" w:styleId="MDPI11articletype">
    <w:name w:val="MDPI_1.1_article_type"/>
    <w:basedOn w:val="MDPI31text"/>
    <w:next w:val="Normal"/>
    <w:qFormat/>
    <w:rsid w:val="00972C76"/>
    <w:pPr>
      <w:spacing w:before="240" w:line="240" w:lineRule="auto"/>
      <w:ind w:firstLine="0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7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1307</Words>
  <Characters>7455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Bertile</dc:creator>
  <cp:keywords/>
  <dc:description/>
  <cp:lastModifiedBy>MDPI-36</cp:lastModifiedBy>
  <cp:revision>8</cp:revision>
  <dcterms:created xsi:type="dcterms:W3CDTF">2019-02-21T05:41:00Z</dcterms:created>
  <dcterms:modified xsi:type="dcterms:W3CDTF">2019-02-21T10:26:00Z</dcterms:modified>
</cp:coreProperties>
</file>