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2E6" w:rsidRPr="00554042" w:rsidRDefault="007A72E6" w:rsidP="007A72E6">
      <w:pPr>
        <w:adjustRightInd w:val="0"/>
        <w:snapToGrid w:val="0"/>
        <w:spacing w:line="360" w:lineRule="auto"/>
        <w:rPr>
          <w:rFonts w:ascii="Palatino Linotype" w:hAnsi="Palatino Linotype" w:cs="Arial"/>
          <w:b/>
          <w:sz w:val="22"/>
          <w:szCs w:val="22"/>
          <w:lang w:val="en-US"/>
        </w:rPr>
      </w:pPr>
      <w:r w:rsidRPr="00554042">
        <w:rPr>
          <w:rFonts w:ascii="Palatino Linotype" w:hAnsi="Palatino Linotype" w:cs="Arial"/>
          <w:b/>
          <w:sz w:val="22"/>
          <w:szCs w:val="22"/>
          <w:lang w:val="en-US"/>
        </w:rPr>
        <w:t>Supplementary Materials</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rPr>
          <w:rFonts w:ascii="Palatino Linotype" w:hAnsi="Palatino Linotype" w:cs="Arial"/>
          <w:b/>
          <w:sz w:val="22"/>
          <w:szCs w:val="22"/>
          <w:u w:val="single"/>
          <w:lang w:val="en-US"/>
        </w:rPr>
      </w:pPr>
      <w:r w:rsidRPr="00554042">
        <w:rPr>
          <w:rFonts w:ascii="Palatino Linotype" w:hAnsi="Palatino Linotype" w:cs="Arial"/>
          <w:b/>
          <w:sz w:val="22"/>
          <w:szCs w:val="22"/>
          <w:u w:val="single"/>
          <w:lang w:val="en-US"/>
        </w:rPr>
        <w:t>Figures</w:t>
      </w:r>
    </w:p>
    <w:p w:rsidR="009467B4" w:rsidRPr="00131533" w:rsidRDefault="009467B4" w:rsidP="009467B4">
      <w:pPr>
        <w:pStyle w:val="Legenda"/>
        <w:adjustRightInd w:val="0"/>
        <w:snapToGrid w:val="0"/>
        <w:spacing w:after="0" w:line="360" w:lineRule="auto"/>
        <w:jc w:val="both"/>
        <w:rPr>
          <w:rFonts w:ascii="Palatino Linotype" w:hAnsi="Palatino Linotype" w:cs="Arial"/>
          <w:sz w:val="22"/>
          <w:szCs w:val="22"/>
        </w:rPr>
      </w:pPr>
      <w:r w:rsidRPr="00131533">
        <w:rPr>
          <w:rFonts w:ascii="Palatino Linotype" w:hAnsi="Palatino Linotype" w:cs="Arial"/>
          <w:b/>
          <w:sz w:val="22"/>
          <w:szCs w:val="22"/>
        </w:rPr>
        <w:t>Fig.S1 - CFTR expression in CFBE cells stably expressing DD/AA-CFTR</w:t>
      </w:r>
      <w:r w:rsidRPr="00131533">
        <w:rPr>
          <w:rFonts w:ascii="Palatino Linotype" w:hAnsi="Palatino Linotype" w:cs="Arial"/>
          <w:sz w:val="22"/>
          <w:szCs w:val="22"/>
        </w:rPr>
        <w:t xml:space="preserve">. CFBE cells expressing DD/AA-CFTR (lane 1-6), wt-CFTR (lane 7) and F508del-CFTR (lane 8) were grown at 37ºC or 26ºC and in some cases incubated with VX-809 (3µM) for 24h or DMSO (vehicle compound). NT, non-treated. </w:t>
      </w:r>
      <w:r w:rsidRPr="00131533">
        <w:rPr>
          <w:rFonts w:ascii="Palatino Linotype" w:hAnsi="Palatino Linotype" w:cs="Arial"/>
          <w:b/>
          <w:sz w:val="22"/>
          <w:szCs w:val="22"/>
        </w:rPr>
        <w:t>A)</w:t>
      </w:r>
      <w:r w:rsidRPr="00131533">
        <w:rPr>
          <w:rFonts w:ascii="Palatino Linotype" w:hAnsi="Palatino Linotype" w:cs="Arial"/>
          <w:sz w:val="22"/>
          <w:szCs w:val="22"/>
        </w:rPr>
        <w:t xml:space="preserve"> Western blot (top) showing both mature form band C (~170kDa) and immature form band B (~140kDa) of CFTR protein. Calnexin (90kDa) was used as a loading control (bottom).</w:t>
      </w:r>
      <w:r w:rsidRPr="00131533">
        <w:rPr>
          <w:rFonts w:ascii="Palatino Linotype" w:hAnsi="Palatino Linotype" w:cs="Arial"/>
          <w:b/>
          <w:sz w:val="22"/>
          <w:szCs w:val="22"/>
        </w:rPr>
        <w:t xml:space="preserve"> B)</w:t>
      </w:r>
      <w:r w:rsidRPr="00131533">
        <w:rPr>
          <w:rFonts w:ascii="Palatino Linotype" w:hAnsi="Palatino Linotype" w:cs="Arial"/>
          <w:sz w:val="22"/>
          <w:szCs w:val="22"/>
        </w:rPr>
        <w:t xml:space="preserve"> Amount of immature form of CFTR in cells expressing DD/AA-CFTR, normalized to the loading control and wt-CFTR. Data plotted as the mean ± SEM, n=4, * p&lt;0.05. Statistical analysis was performed using two-tailed unpaired students t-test. </w:t>
      </w:r>
      <w:r w:rsidRPr="00B51C44">
        <w:rPr>
          <w:rFonts w:ascii="Palatino Linotype" w:hAnsi="Palatino Linotype" w:cs="Arial"/>
          <w:b/>
          <w:sz w:val="22"/>
          <w:szCs w:val="22"/>
        </w:rPr>
        <w:t>(C)</w:t>
      </w:r>
      <w:r>
        <w:rPr>
          <w:rFonts w:ascii="Palatino Linotype" w:hAnsi="Palatino Linotype" w:cs="Arial"/>
          <w:sz w:val="22"/>
          <w:szCs w:val="22"/>
        </w:rPr>
        <w:t xml:space="preserve"> </w:t>
      </w:r>
      <w:r w:rsidRPr="00B51C44">
        <w:rPr>
          <w:rFonts w:ascii="Palatino Linotype" w:hAnsi="Palatino Linotype" w:cs="Arial"/>
          <w:sz w:val="22"/>
          <w:szCs w:val="22"/>
        </w:rPr>
        <w:t xml:space="preserve">Expression of the CFTR traffic reporter in the wt-, F508del- and DD/AA-CFTR variants. Representative widefield fluorescence microscopy images of CFBE cells expressing the several variants of the CFTR traffic reporter. The three pannels for each variant show hoechst-stained nuclei, the mCherry fluorescence originating from all CFTR molecules, and the immunofluorescence of PM-located CFTR in unpermeabilized cells (Flag tag). No siRNA was added to cells. Scale bar: 50 µm. </w:t>
      </w:r>
      <w:r w:rsidRPr="00B51C44">
        <w:rPr>
          <w:rFonts w:ascii="Palatino Linotype" w:hAnsi="Palatino Linotype" w:cs="Arial"/>
          <w:b/>
          <w:sz w:val="22"/>
          <w:szCs w:val="22"/>
        </w:rPr>
        <w:t>(D)</w:t>
      </w:r>
      <w:r w:rsidRPr="00B51C44">
        <w:rPr>
          <w:rFonts w:ascii="Palatino Linotype" w:hAnsi="Palatino Linotype" w:cs="Arial"/>
          <w:sz w:val="22"/>
          <w:szCs w:val="22"/>
        </w:rPr>
        <w:t xml:space="preserve"> Quantification of the mCherry fluorescence for the experiment described in the pannel A. The box plots show the integrated fluorescence signal for single cells. The number of measured cells is shown between brackets. Stars: p &lt; 0.05, Welch two sample t-test.</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jc w:val="both"/>
        <w:rPr>
          <w:rFonts w:ascii="Palatino Linotype" w:hAnsi="Palatino Linotype" w:cs="Arial"/>
          <w:sz w:val="22"/>
          <w:szCs w:val="22"/>
          <w:lang w:val="en-US"/>
        </w:rPr>
      </w:pPr>
      <w:r w:rsidRPr="00554042">
        <w:rPr>
          <w:rFonts w:ascii="Palatino Linotype" w:hAnsi="Palatino Linotype" w:cs="Arial"/>
          <w:b/>
          <w:sz w:val="22"/>
          <w:szCs w:val="22"/>
          <w:lang w:val="en-US"/>
        </w:rPr>
        <w:t xml:space="preserve">Fig.S2 – Bioinformatics analysis for proteins present in at least two replicates. </w:t>
      </w:r>
      <w:bookmarkStart w:id="0" w:name="_Toc513648980"/>
      <w:r w:rsidRPr="00554042">
        <w:rPr>
          <w:rFonts w:ascii="Palatino Linotype" w:hAnsi="Palatino Linotype" w:cs="Arial"/>
          <w:b/>
          <w:sz w:val="22"/>
          <w:szCs w:val="22"/>
          <w:lang w:val="en-US"/>
        </w:rPr>
        <w:t>Functional enrichment analysis of the genes found in total WT, DF, 4RK and DD/AA group in the current study.</w:t>
      </w:r>
      <w:r w:rsidRPr="00554042">
        <w:rPr>
          <w:rFonts w:ascii="Palatino Linotype" w:hAnsi="Palatino Linotype" w:cs="Arial"/>
          <w:color w:val="000000" w:themeColor="text1"/>
          <w:sz w:val="22"/>
          <w:szCs w:val="22"/>
          <w:lang w:val="en-US"/>
        </w:rPr>
        <w:t xml:space="preserve"> The genes for wt-CFTR, for F508del-CFTR, for F508del-4RK-CFTR, for DD/AA-CFTR and their combinations were used to find the GO terms – Biological process (BP) / cellular compartment (CC) enriched in all subsets. p-value&lt;0.05</w:t>
      </w:r>
      <w:r w:rsidRPr="00554042">
        <w:rPr>
          <w:rFonts w:ascii="Palatino Linotype" w:hAnsi="Palatino Linotype" w:cs="Arial"/>
          <w:sz w:val="22"/>
          <w:szCs w:val="22"/>
          <w:lang w:val="en-US"/>
        </w:rPr>
        <w:t>.</w:t>
      </w:r>
      <w:bookmarkEnd w:id="0"/>
    </w:p>
    <w:p w:rsidR="007A72E6" w:rsidRPr="00554042" w:rsidRDefault="007A72E6" w:rsidP="007A72E6">
      <w:pPr>
        <w:adjustRightInd w:val="0"/>
        <w:snapToGrid w:val="0"/>
        <w:spacing w:line="360" w:lineRule="auto"/>
        <w:jc w:val="both"/>
        <w:rPr>
          <w:rFonts w:ascii="Palatino Linotype" w:hAnsi="Palatino Linotype" w:cs="Arial"/>
          <w:sz w:val="22"/>
          <w:szCs w:val="22"/>
          <w:lang w:val="en-US"/>
        </w:rPr>
      </w:pPr>
    </w:p>
    <w:p w:rsidR="007A72E6" w:rsidRPr="00554042" w:rsidRDefault="007A72E6" w:rsidP="007A72E6">
      <w:pPr>
        <w:pStyle w:val="textosc"/>
        <w:adjustRightInd w:val="0"/>
        <w:snapToGrid w:val="0"/>
        <w:ind w:firstLine="0"/>
        <w:rPr>
          <w:rFonts w:ascii="Palatino Linotype" w:hAnsi="Palatino Linotype"/>
          <w:noProof w:val="0"/>
          <w:szCs w:val="22"/>
        </w:rPr>
      </w:pPr>
      <w:bookmarkStart w:id="1" w:name="_Toc513648981"/>
      <w:r w:rsidRPr="00554042">
        <w:rPr>
          <w:rFonts w:ascii="Palatino Linotype" w:hAnsi="Palatino Linotype"/>
          <w:b/>
          <w:noProof w:val="0"/>
          <w:szCs w:val="22"/>
        </w:rPr>
        <w:t xml:space="preserve">Figure S3 - Analysis of F508del-, DD/AA- and wt-CFTR groups. </w:t>
      </w:r>
      <w:r w:rsidRPr="00554042">
        <w:rPr>
          <w:rFonts w:ascii="Palatino Linotype" w:hAnsi="Palatino Linotype"/>
          <w:noProof w:val="0"/>
          <w:szCs w:val="22"/>
        </w:rPr>
        <w:t xml:space="preserve">Venn diagram </w:t>
      </w:r>
      <w:r w:rsidRPr="00554042">
        <w:rPr>
          <w:rFonts w:ascii="Palatino Linotype" w:hAnsi="Palatino Linotype"/>
          <w:b/>
          <w:noProof w:val="0"/>
          <w:szCs w:val="22"/>
        </w:rPr>
        <w:t xml:space="preserve">A) </w:t>
      </w:r>
      <w:r w:rsidRPr="00554042">
        <w:rPr>
          <w:rFonts w:ascii="Palatino Linotype" w:hAnsi="Palatino Linotype"/>
          <w:noProof w:val="0"/>
          <w:szCs w:val="22"/>
        </w:rPr>
        <w:t xml:space="preserve">showing the proteins overlap in F508del-, DD/AA- and wt-CFTR groups and </w:t>
      </w:r>
      <w:r w:rsidRPr="00554042">
        <w:rPr>
          <w:rFonts w:ascii="Palatino Linotype" w:hAnsi="Palatino Linotype"/>
          <w:b/>
          <w:noProof w:val="0"/>
          <w:szCs w:val="22"/>
        </w:rPr>
        <w:t xml:space="preserve">B) </w:t>
      </w:r>
      <w:r w:rsidRPr="00554042">
        <w:rPr>
          <w:rFonts w:ascii="Palatino Linotype" w:hAnsi="Palatino Linotype"/>
          <w:noProof w:val="0"/>
          <w:szCs w:val="22"/>
        </w:rPr>
        <w:t>ER membrane proteins identified in these groups as observed in the ER membrane proteome map study</w:t>
      </w:r>
      <w:r w:rsidRPr="00554042">
        <w:rPr>
          <w:rFonts w:ascii="Palatino Linotype" w:hAnsi="Palatino Linotype"/>
          <w:noProof w:val="0"/>
          <w:szCs w:val="22"/>
          <w:vertAlign w:val="superscript"/>
        </w:rPr>
        <w:t xml:space="preserve"> </w:t>
      </w:r>
      <w:r w:rsidRPr="00554042">
        <w:rPr>
          <w:rFonts w:ascii="Palatino Linotype" w:hAnsi="Palatino Linotype"/>
          <w:noProof w:val="0"/>
          <w:szCs w:val="22"/>
        </w:rPr>
        <w:t>Hung et al., 2017.</w:t>
      </w:r>
      <w:bookmarkEnd w:id="1"/>
    </w:p>
    <w:p w:rsidR="007A72E6" w:rsidRPr="00554042" w:rsidRDefault="007A72E6" w:rsidP="007A72E6">
      <w:pPr>
        <w:pStyle w:val="textosc"/>
        <w:adjustRightInd w:val="0"/>
        <w:snapToGrid w:val="0"/>
        <w:ind w:firstLine="0"/>
        <w:rPr>
          <w:rFonts w:ascii="Palatino Linotype" w:hAnsi="Palatino Linotype"/>
          <w:b/>
          <w:noProof w:val="0"/>
          <w:szCs w:val="22"/>
        </w:rPr>
      </w:pPr>
    </w:p>
    <w:p w:rsidR="007A72E6" w:rsidRPr="00554042" w:rsidRDefault="007A72E6" w:rsidP="007A72E6">
      <w:pPr>
        <w:adjustRightInd w:val="0"/>
        <w:snapToGrid w:val="0"/>
        <w:spacing w:line="360" w:lineRule="auto"/>
        <w:jc w:val="both"/>
        <w:rPr>
          <w:rFonts w:ascii="Palatino Linotype" w:hAnsi="Palatino Linotype" w:cs="Arial"/>
          <w:sz w:val="22"/>
          <w:szCs w:val="22"/>
          <w:lang w:val="en-US"/>
        </w:rPr>
      </w:pPr>
      <w:bookmarkStart w:id="2" w:name="_Toc513648982"/>
      <w:r w:rsidRPr="00554042">
        <w:rPr>
          <w:rFonts w:ascii="Palatino Linotype" w:hAnsi="Palatino Linotype" w:cs="Arial"/>
          <w:b/>
          <w:sz w:val="22"/>
          <w:szCs w:val="22"/>
          <w:lang w:val="en-US"/>
        </w:rPr>
        <w:t>Figure S4 - Functional enrichment analysis of the genes found just in DF, WT and DD/AA group in the current study.</w:t>
      </w:r>
      <w:r w:rsidRPr="00554042">
        <w:rPr>
          <w:rFonts w:ascii="Palatino Linotype" w:hAnsi="Palatino Linotype" w:cs="Arial"/>
          <w:color w:val="000000" w:themeColor="text1"/>
          <w:sz w:val="22"/>
          <w:szCs w:val="22"/>
          <w:lang w:val="en-US"/>
        </w:rPr>
        <w:t xml:space="preserve"> The 243 genes for F508del-CFTR, 77 for wt-CFTR and 66 for DD/AA-CFTR were used to find the GO terms – Biological process (BP) / cellular compartment (CC) enriched in all subsets. p-value&lt;0.05</w:t>
      </w:r>
      <w:r w:rsidRPr="00554042">
        <w:rPr>
          <w:rFonts w:ascii="Palatino Linotype" w:hAnsi="Palatino Linotype" w:cs="Arial"/>
          <w:sz w:val="22"/>
          <w:szCs w:val="22"/>
          <w:lang w:val="en-US"/>
        </w:rPr>
        <w:t>.</w:t>
      </w:r>
      <w:bookmarkEnd w:id="2"/>
    </w:p>
    <w:p w:rsidR="007A72E6" w:rsidRPr="00554042" w:rsidRDefault="007A72E6" w:rsidP="007A72E6">
      <w:pPr>
        <w:adjustRightInd w:val="0"/>
        <w:snapToGrid w:val="0"/>
        <w:spacing w:line="360" w:lineRule="auto"/>
        <w:jc w:val="both"/>
        <w:rPr>
          <w:rFonts w:ascii="Palatino Linotype" w:hAnsi="Palatino Linotype" w:cs="Arial"/>
          <w:b/>
          <w:sz w:val="22"/>
          <w:szCs w:val="22"/>
          <w:lang w:val="en-US"/>
        </w:rPr>
      </w:pPr>
    </w:p>
    <w:p w:rsidR="007A72E6" w:rsidRPr="00554042" w:rsidRDefault="007A72E6" w:rsidP="007A72E6">
      <w:pPr>
        <w:adjustRightInd w:val="0"/>
        <w:snapToGrid w:val="0"/>
        <w:spacing w:line="360" w:lineRule="auto"/>
        <w:jc w:val="both"/>
        <w:rPr>
          <w:rFonts w:ascii="Palatino Linotype" w:hAnsi="Palatino Linotype" w:cs="Arial"/>
          <w:sz w:val="22"/>
          <w:szCs w:val="22"/>
          <w:lang w:val="en-US"/>
        </w:rPr>
      </w:pPr>
      <w:r w:rsidRPr="00554042">
        <w:rPr>
          <w:rFonts w:ascii="Palatino Linotype" w:hAnsi="Palatino Linotype" w:cs="Arial"/>
          <w:b/>
          <w:sz w:val="22"/>
          <w:szCs w:val="22"/>
          <w:lang w:val="en-US"/>
        </w:rPr>
        <w:t xml:space="preserve">Figure S5 – Protein interaction networks for clusters detected in PCA for CFTR variants. </w:t>
      </w:r>
      <w:r w:rsidRPr="00554042">
        <w:rPr>
          <w:rFonts w:ascii="Palatino Linotype" w:hAnsi="Palatino Linotype" w:cs="Arial"/>
          <w:sz w:val="22"/>
          <w:szCs w:val="22"/>
          <w:lang w:val="en-US"/>
        </w:rPr>
        <w:t>Protein-protein interactions were analyzed using APID and Cytoscape was used for visualization of the networks.</w:t>
      </w:r>
      <w:r w:rsidRPr="00554042">
        <w:rPr>
          <w:rFonts w:ascii="Palatino Linotype" w:hAnsi="Palatino Linotype" w:cs="Arial"/>
          <w:color w:val="212121"/>
          <w:sz w:val="22"/>
          <w:szCs w:val="22"/>
          <w:shd w:val="clear" w:color="auto" w:fill="FFFFFF"/>
          <w:lang w:val="en-US"/>
        </w:rPr>
        <w:t>A – black cluster; B – green cluster; C – blue cluster; D – cyan cluster; E – purple cluster.</w:t>
      </w:r>
    </w:p>
    <w:p w:rsidR="007A72E6" w:rsidRPr="00554042" w:rsidRDefault="007A72E6" w:rsidP="007A72E6">
      <w:pPr>
        <w:adjustRightInd w:val="0"/>
        <w:snapToGrid w:val="0"/>
        <w:spacing w:line="360" w:lineRule="auto"/>
        <w:jc w:val="both"/>
        <w:rPr>
          <w:rFonts w:ascii="Palatino Linotype" w:hAnsi="Palatino Linotype" w:cs="Arial"/>
          <w:b/>
          <w:sz w:val="22"/>
          <w:szCs w:val="22"/>
          <w:lang w:val="en-US"/>
        </w:rPr>
      </w:pPr>
    </w:p>
    <w:p w:rsidR="007A72E6" w:rsidRDefault="007A72E6" w:rsidP="007A72E6">
      <w:pPr>
        <w:adjustRightInd w:val="0"/>
        <w:snapToGrid w:val="0"/>
        <w:spacing w:line="360" w:lineRule="auto"/>
        <w:jc w:val="both"/>
        <w:rPr>
          <w:rFonts w:ascii="Palatino Linotype" w:hAnsi="Palatino Linotype" w:cs="Arial"/>
          <w:color w:val="212121"/>
          <w:sz w:val="22"/>
          <w:szCs w:val="22"/>
          <w:shd w:val="clear" w:color="auto" w:fill="FFFFFF"/>
          <w:lang w:val="en-US"/>
        </w:rPr>
      </w:pPr>
      <w:r w:rsidRPr="00554042">
        <w:rPr>
          <w:rFonts w:ascii="Palatino Linotype" w:hAnsi="Palatino Linotype" w:cs="Arial"/>
          <w:b/>
          <w:sz w:val="22"/>
          <w:szCs w:val="22"/>
          <w:lang w:val="en-US"/>
        </w:rPr>
        <w:t xml:space="preserve">Figure S6 – Protein interaction networks for clusters detected in PCA for peptide interactors. </w:t>
      </w:r>
      <w:r w:rsidRPr="00554042">
        <w:rPr>
          <w:rFonts w:ascii="Palatino Linotype" w:hAnsi="Palatino Linotype" w:cs="Arial"/>
          <w:sz w:val="22"/>
          <w:szCs w:val="22"/>
          <w:lang w:val="en-US"/>
        </w:rPr>
        <w:t>Protein-protein interactions were analyzed using APID and Cytoscape was used for visualization of the networks.</w:t>
      </w:r>
      <w:r>
        <w:rPr>
          <w:rFonts w:ascii="Palatino Linotype" w:hAnsi="Palatino Linotype" w:cs="Arial"/>
          <w:sz w:val="22"/>
          <w:szCs w:val="22"/>
          <w:lang w:val="en-US"/>
        </w:rPr>
        <w:t xml:space="preserve"> </w:t>
      </w:r>
      <w:r w:rsidRPr="00554042">
        <w:rPr>
          <w:rFonts w:ascii="Palatino Linotype" w:hAnsi="Palatino Linotype" w:cs="Arial"/>
          <w:color w:val="212121"/>
          <w:sz w:val="22"/>
          <w:szCs w:val="22"/>
          <w:shd w:val="clear" w:color="auto" w:fill="FFFFFF"/>
          <w:lang w:val="en-US"/>
        </w:rPr>
        <w:t xml:space="preserve">A – black cluster; B – red cluster; C – green cluster; D – blue cluster; E – cyan cluster; F- yellow cluster; G – grey cluster. </w:t>
      </w:r>
    </w:p>
    <w:p w:rsidR="00DF659E" w:rsidRPr="00DF659E" w:rsidRDefault="00DF659E" w:rsidP="007A72E6">
      <w:pPr>
        <w:adjustRightInd w:val="0"/>
        <w:snapToGrid w:val="0"/>
        <w:spacing w:line="360" w:lineRule="auto"/>
        <w:jc w:val="both"/>
        <w:rPr>
          <w:rFonts w:ascii="Palatino Linotype" w:hAnsi="Palatino Linotype" w:cs="Arial"/>
          <w:b/>
          <w:sz w:val="22"/>
          <w:szCs w:val="22"/>
          <w:lang w:val="en-US"/>
        </w:rPr>
      </w:pPr>
      <w:bookmarkStart w:id="3" w:name="_GoBack"/>
      <w:bookmarkEnd w:id="3"/>
    </w:p>
    <w:p w:rsidR="007A72E6" w:rsidRPr="00554042" w:rsidRDefault="007A72E6" w:rsidP="007A72E6">
      <w:pPr>
        <w:adjustRightInd w:val="0"/>
        <w:snapToGrid w:val="0"/>
        <w:spacing w:line="360" w:lineRule="auto"/>
        <w:jc w:val="both"/>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b/>
          <w:sz w:val="22"/>
          <w:szCs w:val="22"/>
          <w:u w:val="single"/>
          <w:lang w:val="en-US"/>
        </w:rPr>
      </w:pPr>
      <w:r w:rsidRPr="00554042">
        <w:rPr>
          <w:rFonts w:ascii="Palatino Linotype" w:hAnsi="Palatino Linotype" w:cs="Arial"/>
          <w:b/>
          <w:sz w:val="22"/>
          <w:szCs w:val="22"/>
          <w:u w:val="single"/>
          <w:lang w:val="en-US"/>
        </w:rPr>
        <w:t>Tables</w:t>
      </w: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r w:rsidRPr="00554042">
        <w:rPr>
          <w:rFonts w:ascii="Palatino Linotype" w:hAnsi="Palatino Linotype" w:cs="Arial"/>
          <w:b/>
          <w:sz w:val="22"/>
          <w:szCs w:val="22"/>
          <w:lang w:val="en-US"/>
        </w:rPr>
        <w:t>Table S1 -</w:t>
      </w:r>
      <w:r w:rsidRPr="00554042">
        <w:rPr>
          <w:rFonts w:ascii="Palatino Linotype" w:hAnsi="Palatino Linotype" w:cs="Arial"/>
          <w:sz w:val="22"/>
          <w:szCs w:val="22"/>
          <w:lang w:val="en-US"/>
        </w:rPr>
        <w:t xml:space="preserve"> </w:t>
      </w:r>
      <w:r w:rsidRPr="00554042">
        <w:rPr>
          <w:rFonts w:ascii="Palatino Linotype" w:hAnsi="Palatino Linotype" w:cs="Arial"/>
          <w:b/>
          <w:color w:val="000000" w:themeColor="text1"/>
          <w:sz w:val="22"/>
          <w:szCs w:val="22"/>
          <w:lang w:val="en-US"/>
        </w:rPr>
        <w:t xml:space="preserve">GO analysis for differential interactors of full-length CFTR variants. </w:t>
      </w:r>
      <w:r w:rsidRPr="00554042">
        <w:rPr>
          <w:rFonts w:ascii="Palatino Linotype" w:hAnsi="Palatino Linotype" w:cs="Arial"/>
          <w:color w:val="000000" w:themeColor="text1"/>
          <w:sz w:val="22"/>
          <w:szCs w:val="22"/>
          <w:lang w:val="en-US"/>
        </w:rPr>
        <w:t xml:space="preserve">Biological process and cellular component are represented for each pair under comparison. </w:t>
      </w: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p>
    <w:p w:rsidR="007A72E6" w:rsidRPr="00554042" w:rsidRDefault="007A72E6" w:rsidP="007A72E6">
      <w:pPr>
        <w:adjustRightInd w:val="0"/>
        <w:snapToGrid w:val="0"/>
        <w:rPr>
          <w:rFonts w:ascii="Palatino Linotype" w:hAnsi="Palatino Linotype" w:cs="Arial"/>
          <w:sz w:val="22"/>
          <w:szCs w:val="22"/>
          <w:lang w:val="en-US"/>
        </w:rPr>
      </w:pPr>
      <w:r w:rsidRPr="00554042">
        <w:rPr>
          <w:rFonts w:ascii="Palatino Linotype" w:hAnsi="Palatino Linotype" w:cs="Arial"/>
          <w:b/>
          <w:sz w:val="22"/>
          <w:szCs w:val="22"/>
          <w:lang w:val="en-US"/>
        </w:rPr>
        <w:t>Table S2</w:t>
      </w:r>
      <w:r w:rsidRPr="00554042">
        <w:rPr>
          <w:rFonts w:ascii="Palatino Linotype" w:hAnsi="Palatino Linotype" w:cs="Arial"/>
          <w:sz w:val="22"/>
          <w:szCs w:val="22"/>
          <w:lang w:val="en-US"/>
        </w:rPr>
        <w:t xml:space="preserve"> – List of 24 ER membrane proteins present in the F508del-CFTR interactome</w:t>
      </w: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r w:rsidRPr="00554042">
        <w:rPr>
          <w:rFonts w:ascii="Palatino Linotype" w:hAnsi="Palatino Linotype" w:cs="Arial"/>
          <w:b/>
          <w:sz w:val="22"/>
          <w:szCs w:val="22"/>
          <w:lang w:val="en-US"/>
        </w:rPr>
        <w:t>Table S3 -</w:t>
      </w:r>
      <w:r w:rsidRPr="00554042">
        <w:rPr>
          <w:rFonts w:ascii="Palatino Linotype" w:hAnsi="Palatino Linotype" w:cs="Arial"/>
          <w:sz w:val="22"/>
          <w:szCs w:val="22"/>
          <w:lang w:val="en-US"/>
        </w:rPr>
        <w:t xml:space="preserve"> </w:t>
      </w:r>
      <w:r w:rsidRPr="00554042">
        <w:rPr>
          <w:rFonts w:ascii="Palatino Linotype" w:hAnsi="Palatino Linotype" w:cs="Arial"/>
          <w:b/>
          <w:color w:val="000000" w:themeColor="text1"/>
          <w:sz w:val="22"/>
          <w:szCs w:val="22"/>
          <w:lang w:val="en-US"/>
        </w:rPr>
        <w:t xml:space="preserve">GO analysis for differentially expressed proteins in the interactomes related to AFT recognition. </w:t>
      </w:r>
      <w:r w:rsidRPr="00554042">
        <w:rPr>
          <w:rFonts w:ascii="Palatino Linotype" w:hAnsi="Palatino Linotype" w:cs="Arial"/>
          <w:color w:val="000000" w:themeColor="text1"/>
          <w:sz w:val="22"/>
          <w:szCs w:val="22"/>
          <w:lang w:val="en-US"/>
        </w:rPr>
        <w:t xml:space="preserve">Biological process and cellular component are represented for each pair under comparison. </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r w:rsidRPr="00554042">
        <w:rPr>
          <w:rFonts w:ascii="Palatino Linotype" w:hAnsi="Palatino Linotype" w:cs="Arial"/>
          <w:b/>
          <w:sz w:val="22"/>
          <w:szCs w:val="22"/>
          <w:lang w:val="en-US"/>
        </w:rPr>
        <w:t xml:space="preserve">Table S4 - </w:t>
      </w:r>
      <w:r w:rsidRPr="00554042">
        <w:rPr>
          <w:rFonts w:ascii="Palatino Linotype" w:hAnsi="Palatino Linotype" w:cs="Arial"/>
          <w:b/>
          <w:color w:val="000000" w:themeColor="text1"/>
          <w:sz w:val="22"/>
          <w:szCs w:val="22"/>
          <w:lang w:val="en-US"/>
        </w:rPr>
        <w:t xml:space="preserve">GO analysis for protein clusters detected in PCA for full length CFTR variants. </w:t>
      </w:r>
      <w:r w:rsidRPr="00554042">
        <w:rPr>
          <w:rFonts w:ascii="Palatino Linotype" w:hAnsi="Palatino Linotype" w:cs="Arial"/>
          <w:color w:val="000000" w:themeColor="text1"/>
          <w:sz w:val="22"/>
          <w:szCs w:val="22"/>
          <w:lang w:val="en-US"/>
        </w:rPr>
        <w:t xml:space="preserve">Biological process terms are represented for each cluster detected. </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jc w:val="both"/>
        <w:rPr>
          <w:rFonts w:ascii="Palatino Linotype" w:hAnsi="Palatino Linotype" w:cs="Arial"/>
          <w:color w:val="000000" w:themeColor="text1"/>
          <w:sz w:val="22"/>
          <w:szCs w:val="22"/>
          <w:lang w:val="en-US"/>
        </w:rPr>
      </w:pPr>
      <w:r w:rsidRPr="00554042">
        <w:rPr>
          <w:rFonts w:ascii="Palatino Linotype" w:hAnsi="Palatino Linotype" w:cs="Arial"/>
          <w:b/>
          <w:sz w:val="22"/>
          <w:szCs w:val="22"/>
          <w:lang w:val="en-US"/>
        </w:rPr>
        <w:lastRenderedPageBreak/>
        <w:t xml:space="preserve">Table S5 - </w:t>
      </w:r>
      <w:r w:rsidRPr="00554042">
        <w:rPr>
          <w:rFonts w:ascii="Palatino Linotype" w:hAnsi="Palatino Linotype" w:cs="Arial"/>
          <w:b/>
          <w:color w:val="000000" w:themeColor="text1"/>
          <w:sz w:val="22"/>
          <w:szCs w:val="22"/>
          <w:lang w:val="en-US"/>
        </w:rPr>
        <w:t xml:space="preserve">GO analysis for protein clusters detected in PCA for </w:t>
      </w:r>
      <w:r w:rsidRPr="00554042">
        <w:rPr>
          <w:rFonts w:ascii="Palatino Linotype" w:hAnsi="Palatino Linotype" w:cs="Arial"/>
          <w:b/>
          <w:sz w:val="22"/>
          <w:szCs w:val="22"/>
          <w:lang w:val="en-US"/>
        </w:rPr>
        <w:t>the protein sets corresponding to the arginine-framed tripeptides related checkpoint</w:t>
      </w:r>
      <w:r w:rsidRPr="00554042">
        <w:rPr>
          <w:rFonts w:ascii="Palatino Linotype" w:hAnsi="Palatino Linotype" w:cs="Arial"/>
          <w:b/>
          <w:color w:val="000000" w:themeColor="text1"/>
          <w:sz w:val="22"/>
          <w:szCs w:val="22"/>
          <w:lang w:val="en-US"/>
        </w:rPr>
        <w:t xml:space="preserve">. </w:t>
      </w:r>
      <w:r w:rsidRPr="00554042">
        <w:rPr>
          <w:rFonts w:ascii="Palatino Linotype" w:hAnsi="Palatino Linotype" w:cs="Arial"/>
          <w:color w:val="000000" w:themeColor="text1"/>
          <w:sz w:val="22"/>
          <w:szCs w:val="22"/>
          <w:lang w:val="en-US"/>
        </w:rPr>
        <w:t xml:space="preserve">Biological process terms are represented for each cluster detected. </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u w:val="single"/>
          <w:lang w:val="en-US"/>
        </w:rPr>
        <w:t>Datasets</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r w:rsidRPr="00554042">
        <w:rPr>
          <w:rFonts w:ascii="Palatino Linotype" w:hAnsi="Palatino Linotype" w:cs="Arial"/>
          <w:b/>
          <w:sz w:val="22"/>
          <w:szCs w:val="22"/>
          <w:lang w:val="en-US"/>
        </w:rPr>
        <w:t>Dataset S1A</w:t>
      </w:r>
      <w:r w:rsidRPr="00554042">
        <w:rPr>
          <w:rFonts w:ascii="Palatino Linotype" w:hAnsi="Palatino Linotype" w:cs="Arial"/>
          <w:sz w:val="22"/>
          <w:szCs w:val="22"/>
          <w:lang w:val="en-US"/>
        </w:rPr>
        <w:t xml:space="preserve"> – Full list of interacting proteins for DD/AA-CFTR </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 xml:space="preserve">Dataset S1B </w:t>
      </w:r>
      <w:r w:rsidRPr="00554042">
        <w:rPr>
          <w:rFonts w:ascii="Palatino Linotype" w:hAnsi="Palatino Linotype" w:cs="Arial"/>
          <w:sz w:val="22"/>
          <w:szCs w:val="22"/>
          <w:lang w:val="en-US"/>
        </w:rPr>
        <w:t xml:space="preserve">– Full list of interacting proteins for WT-CFTR </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 xml:space="preserve">Dataset S2A </w:t>
      </w:r>
      <w:r w:rsidRPr="00554042">
        <w:rPr>
          <w:rFonts w:ascii="Palatino Linotype" w:hAnsi="Palatino Linotype" w:cs="Arial"/>
          <w:sz w:val="22"/>
          <w:szCs w:val="22"/>
          <w:lang w:val="en-US"/>
        </w:rPr>
        <w:t xml:space="preserve">– Proteins with higher affinity for DD/AA-CFTR </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Dataset S2B</w:t>
      </w:r>
      <w:r w:rsidRPr="00554042">
        <w:rPr>
          <w:rFonts w:ascii="Palatino Linotype" w:hAnsi="Palatino Linotype" w:cs="Arial"/>
          <w:sz w:val="22"/>
          <w:szCs w:val="22"/>
          <w:lang w:val="en-US"/>
        </w:rPr>
        <w:t xml:space="preserve"> – Proteins with higher affinity for WT-CFTR </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Dataset S3</w:t>
      </w:r>
      <w:r w:rsidRPr="00554042">
        <w:rPr>
          <w:rFonts w:ascii="Palatino Linotype" w:hAnsi="Palatino Linotype" w:cs="Arial"/>
          <w:sz w:val="22"/>
          <w:szCs w:val="22"/>
          <w:lang w:val="en-US"/>
        </w:rPr>
        <w:t xml:space="preserve"> – Proteins pulled down with peptides </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 xml:space="preserve">Dataset S4A </w:t>
      </w:r>
      <w:r w:rsidRPr="00554042">
        <w:rPr>
          <w:rFonts w:ascii="Palatino Linotype" w:hAnsi="Palatino Linotype" w:cs="Arial"/>
          <w:sz w:val="22"/>
          <w:szCs w:val="22"/>
          <w:lang w:val="en-US"/>
        </w:rPr>
        <w:t xml:space="preserve">– Proteins with higher association to peptides R </w:t>
      </w:r>
    </w:p>
    <w:p w:rsidR="007A72E6" w:rsidRPr="00554042" w:rsidRDefault="007A72E6" w:rsidP="007A72E6">
      <w:pPr>
        <w:adjustRightInd w:val="0"/>
        <w:snapToGrid w:val="0"/>
        <w:spacing w:line="360" w:lineRule="auto"/>
        <w:rPr>
          <w:rFonts w:ascii="Palatino Linotype" w:hAnsi="Palatino Linotype" w:cs="Arial"/>
          <w:b/>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 xml:space="preserve">Dataset S4B </w:t>
      </w:r>
      <w:r w:rsidRPr="00554042">
        <w:rPr>
          <w:rFonts w:ascii="Palatino Linotype" w:hAnsi="Palatino Linotype" w:cs="Arial"/>
          <w:sz w:val="22"/>
          <w:szCs w:val="22"/>
          <w:lang w:val="en-US"/>
        </w:rPr>
        <w:t xml:space="preserve">– Proteins with higher association to peptides K </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 xml:space="preserve">Dataset S5 </w:t>
      </w:r>
      <w:r w:rsidRPr="00554042">
        <w:rPr>
          <w:rFonts w:ascii="Palatino Linotype" w:hAnsi="Palatino Linotype" w:cs="Arial"/>
          <w:sz w:val="22"/>
          <w:szCs w:val="22"/>
          <w:lang w:val="en-US"/>
        </w:rPr>
        <w:t>– Lists of common proteins for Jaccard similarity test</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Dataset S6</w:t>
      </w:r>
      <w:r w:rsidRPr="00554042">
        <w:rPr>
          <w:rFonts w:ascii="Palatino Linotype" w:hAnsi="Palatino Linotype" w:cs="Arial"/>
          <w:sz w:val="22"/>
          <w:szCs w:val="22"/>
          <w:lang w:val="en-US"/>
        </w:rPr>
        <w:t xml:space="preserve"> – Lists of hits for volcano plots</w:t>
      </w:r>
    </w:p>
    <w:p w:rsidR="007A72E6" w:rsidRPr="00554042" w:rsidRDefault="007A72E6" w:rsidP="007A72E6">
      <w:pPr>
        <w:adjustRightInd w:val="0"/>
        <w:snapToGrid w:val="0"/>
        <w:spacing w:line="360" w:lineRule="auto"/>
        <w:rPr>
          <w:rFonts w:ascii="Palatino Linotype" w:hAnsi="Palatino Linotype" w:cs="Arial"/>
          <w:sz w:val="22"/>
          <w:szCs w:val="22"/>
          <w:lang w:val="en-US"/>
        </w:rPr>
      </w:pPr>
    </w:p>
    <w:p w:rsidR="007A72E6" w:rsidRPr="00554042" w:rsidRDefault="007A72E6" w:rsidP="007A72E6">
      <w:pPr>
        <w:adjustRightInd w:val="0"/>
        <w:snapToGrid w:val="0"/>
        <w:spacing w:line="360" w:lineRule="auto"/>
        <w:rPr>
          <w:rFonts w:ascii="Palatino Linotype" w:hAnsi="Palatino Linotype" w:cs="Arial"/>
          <w:sz w:val="22"/>
          <w:szCs w:val="22"/>
          <w:lang w:val="en-US"/>
        </w:rPr>
      </w:pPr>
      <w:r w:rsidRPr="00554042">
        <w:rPr>
          <w:rFonts w:ascii="Palatino Linotype" w:hAnsi="Palatino Linotype" w:cs="Arial"/>
          <w:b/>
          <w:sz w:val="22"/>
          <w:szCs w:val="22"/>
          <w:lang w:val="en-US"/>
        </w:rPr>
        <w:t>Dataset S7</w:t>
      </w:r>
      <w:r w:rsidRPr="00554042">
        <w:rPr>
          <w:rFonts w:ascii="Palatino Linotype" w:hAnsi="Palatino Linotype" w:cs="Arial"/>
          <w:sz w:val="22"/>
          <w:szCs w:val="22"/>
          <w:lang w:val="en-US"/>
        </w:rPr>
        <w:t xml:space="preserve"> – Proteins present in F508del-CFTR interactome but not WT- not DD/AA-CFTR </w:t>
      </w:r>
    </w:p>
    <w:p w:rsidR="007A72E6" w:rsidRPr="00554042" w:rsidRDefault="007A72E6" w:rsidP="007A72E6">
      <w:pPr>
        <w:pStyle w:val="textosc"/>
        <w:adjustRightInd w:val="0"/>
        <w:snapToGrid w:val="0"/>
        <w:ind w:firstLine="0"/>
        <w:rPr>
          <w:rFonts w:ascii="Palatino Linotype" w:hAnsi="Palatino Linotype"/>
          <w:noProof w:val="0"/>
          <w:szCs w:val="22"/>
        </w:rPr>
      </w:pPr>
    </w:p>
    <w:p w:rsidR="00CC6BB4" w:rsidRPr="007A72E6" w:rsidRDefault="00CC6BB4">
      <w:pPr>
        <w:rPr>
          <w:lang w:val="en-US"/>
        </w:rPr>
      </w:pPr>
    </w:p>
    <w:sectPr w:rsidR="00CC6BB4" w:rsidRPr="007A72E6" w:rsidSect="00C47E53">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2E6"/>
    <w:rsid w:val="00024D09"/>
    <w:rsid w:val="000375F5"/>
    <w:rsid w:val="00054F58"/>
    <w:rsid w:val="0006121E"/>
    <w:rsid w:val="00066E70"/>
    <w:rsid w:val="000710A4"/>
    <w:rsid w:val="00071E20"/>
    <w:rsid w:val="00074250"/>
    <w:rsid w:val="00092CB6"/>
    <w:rsid w:val="000B2CD8"/>
    <w:rsid w:val="000B6DB5"/>
    <w:rsid w:val="000D0A61"/>
    <w:rsid w:val="000E4927"/>
    <w:rsid w:val="000E49DB"/>
    <w:rsid w:val="00111CA2"/>
    <w:rsid w:val="00115191"/>
    <w:rsid w:val="001254D5"/>
    <w:rsid w:val="00132EEC"/>
    <w:rsid w:val="00135431"/>
    <w:rsid w:val="0019044D"/>
    <w:rsid w:val="001A0326"/>
    <w:rsid w:val="001A1A14"/>
    <w:rsid w:val="001C25DB"/>
    <w:rsid w:val="001D49D5"/>
    <w:rsid w:val="001E16D6"/>
    <w:rsid w:val="001E2748"/>
    <w:rsid w:val="001E5A71"/>
    <w:rsid w:val="001E635F"/>
    <w:rsid w:val="001E7976"/>
    <w:rsid w:val="001F2FB0"/>
    <w:rsid w:val="002231B8"/>
    <w:rsid w:val="00223CB3"/>
    <w:rsid w:val="00232AC5"/>
    <w:rsid w:val="00246FCA"/>
    <w:rsid w:val="00260F80"/>
    <w:rsid w:val="00271CB4"/>
    <w:rsid w:val="00280A82"/>
    <w:rsid w:val="00293CBA"/>
    <w:rsid w:val="002A2535"/>
    <w:rsid w:val="002A7D41"/>
    <w:rsid w:val="002B66FB"/>
    <w:rsid w:val="002C09BA"/>
    <w:rsid w:val="002C316B"/>
    <w:rsid w:val="002E3BE7"/>
    <w:rsid w:val="002F3CF0"/>
    <w:rsid w:val="00301901"/>
    <w:rsid w:val="003030CC"/>
    <w:rsid w:val="00307371"/>
    <w:rsid w:val="003270C3"/>
    <w:rsid w:val="00341F08"/>
    <w:rsid w:val="00347CAE"/>
    <w:rsid w:val="003556D2"/>
    <w:rsid w:val="00361200"/>
    <w:rsid w:val="00362DAA"/>
    <w:rsid w:val="00365A2F"/>
    <w:rsid w:val="00377628"/>
    <w:rsid w:val="003A707C"/>
    <w:rsid w:val="003A75DB"/>
    <w:rsid w:val="003B6A3C"/>
    <w:rsid w:val="003C31CF"/>
    <w:rsid w:val="003E0A5A"/>
    <w:rsid w:val="003F1FF3"/>
    <w:rsid w:val="003F62B9"/>
    <w:rsid w:val="00416E57"/>
    <w:rsid w:val="00421C60"/>
    <w:rsid w:val="0043406C"/>
    <w:rsid w:val="00435157"/>
    <w:rsid w:val="0044276B"/>
    <w:rsid w:val="0044449E"/>
    <w:rsid w:val="00453BE1"/>
    <w:rsid w:val="004548D0"/>
    <w:rsid w:val="00465625"/>
    <w:rsid w:val="00483363"/>
    <w:rsid w:val="004F2598"/>
    <w:rsid w:val="00502B83"/>
    <w:rsid w:val="00505FD5"/>
    <w:rsid w:val="005573C9"/>
    <w:rsid w:val="00565D19"/>
    <w:rsid w:val="005A0661"/>
    <w:rsid w:val="005B3778"/>
    <w:rsid w:val="005B7359"/>
    <w:rsid w:val="005E38B0"/>
    <w:rsid w:val="00601835"/>
    <w:rsid w:val="00615017"/>
    <w:rsid w:val="00616CE3"/>
    <w:rsid w:val="0063163B"/>
    <w:rsid w:val="00634519"/>
    <w:rsid w:val="00634891"/>
    <w:rsid w:val="006468B3"/>
    <w:rsid w:val="006602BC"/>
    <w:rsid w:val="006A3E06"/>
    <w:rsid w:val="006B08C6"/>
    <w:rsid w:val="006D6E6F"/>
    <w:rsid w:val="006E338E"/>
    <w:rsid w:val="006E741C"/>
    <w:rsid w:val="006E7755"/>
    <w:rsid w:val="0070772B"/>
    <w:rsid w:val="00720B55"/>
    <w:rsid w:val="00723857"/>
    <w:rsid w:val="00736802"/>
    <w:rsid w:val="00746DDA"/>
    <w:rsid w:val="00746DE3"/>
    <w:rsid w:val="00763298"/>
    <w:rsid w:val="00773C99"/>
    <w:rsid w:val="007A5D85"/>
    <w:rsid w:val="007A72E6"/>
    <w:rsid w:val="007B423C"/>
    <w:rsid w:val="007E2601"/>
    <w:rsid w:val="007F35D1"/>
    <w:rsid w:val="00811D3C"/>
    <w:rsid w:val="00813BF8"/>
    <w:rsid w:val="00830F52"/>
    <w:rsid w:val="0085339F"/>
    <w:rsid w:val="00865164"/>
    <w:rsid w:val="008760FC"/>
    <w:rsid w:val="00886BA4"/>
    <w:rsid w:val="00890E61"/>
    <w:rsid w:val="008C4AEC"/>
    <w:rsid w:val="008E7EEE"/>
    <w:rsid w:val="009279DE"/>
    <w:rsid w:val="00942C83"/>
    <w:rsid w:val="009467B4"/>
    <w:rsid w:val="00954ECB"/>
    <w:rsid w:val="0096569F"/>
    <w:rsid w:val="009838F1"/>
    <w:rsid w:val="00987387"/>
    <w:rsid w:val="00987899"/>
    <w:rsid w:val="009A07AA"/>
    <w:rsid w:val="009A573B"/>
    <w:rsid w:val="009D69BD"/>
    <w:rsid w:val="009D7175"/>
    <w:rsid w:val="00A03AE0"/>
    <w:rsid w:val="00A200A1"/>
    <w:rsid w:val="00A336EE"/>
    <w:rsid w:val="00A41633"/>
    <w:rsid w:val="00A4389D"/>
    <w:rsid w:val="00A46123"/>
    <w:rsid w:val="00A60176"/>
    <w:rsid w:val="00A80D58"/>
    <w:rsid w:val="00A86A45"/>
    <w:rsid w:val="00A96CA1"/>
    <w:rsid w:val="00AA56FB"/>
    <w:rsid w:val="00AC79AE"/>
    <w:rsid w:val="00AD6BC5"/>
    <w:rsid w:val="00AE079E"/>
    <w:rsid w:val="00AF1EA9"/>
    <w:rsid w:val="00AF3565"/>
    <w:rsid w:val="00B01670"/>
    <w:rsid w:val="00B06737"/>
    <w:rsid w:val="00B177A0"/>
    <w:rsid w:val="00B4030C"/>
    <w:rsid w:val="00B57878"/>
    <w:rsid w:val="00B71709"/>
    <w:rsid w:val="00B71DB5"/>
    <w:rsid w:val="00B95602"/>
    <w:rsid w:val="00B96953"/>
    <w:rsid w:val="00BB0805"/>
    <w:rsid w:val="00BD4F09"/>
    <w:rsid w:val="00BF008C"/>
    <w:rsid w:val="00C2197E"/>
    <w:rsid w:val="00C2383F"/>
    <w:rsid w:val="00C30D35"/>
    <w:rsid w:val="00C35C06"/>
    <w:rsid w:val="00C379AF"/>
    <w:rsid w:val="00C41C33"/>
    <w:rsid w:val="00C43862"/>
    <w:rsid w:val="00C47E53"/>
    <w:rsid w:val="00C52A03"/>
    <w:rsid w:val="00C5343D"/>
    <w:rsid w:val="00C56FD1"/>
    <w:rsid w:val="00C63167"/>
    <w:rsid w:val="00C64528"/>
    <w:rsid w:val="00C66DB5"/>
    <w:rsid w:val="00C730D1"/>
    <w:rsid w:val="00CA0C14"/>
    <w:rsid w:val="00CB32F9"/>
    <w:rsid w:val="00CB3CCF"/>
    <w:rsid w:val="00CC6BB4"/>
    <w:rsid w:val="00CD4988"/>
    <w:rsid w:val="00CD53E2"/>
    <w:rsid w:val="00CE265C"/>
    <w:rsid w:val="00D00689"/>
    <w:rsid w:val="00D018D2"/>
    <w:rsid w:val="00D2111D"/>
    <w:rsid w:val="00D324A0"/>
    <w:rsid w:val="00D468A8"/>
    <w:rsid w:val="00D46F89"/>
    <w:rsid w:val="00D67ED6"/>
    <w:rsid w:val="00D73E0C"/>
    <w:rsid w:val="00D91BA7"/>
    <w:rsid w:val="00DA2FEE"/>
    <w:rsid w:val="00DB41CD"/>
    <w:rsid w:val="00DE03C7"/>
    <w:rsid w:val="00DF659E"/>
    <w:rsid w:val="00E05598"/>
    <w:rsid w:val="00E20A2B"/>
    <w:rsid w:val="00E31BA1"/>
    <w:rsid w:val="00E31D3A"/>
    <w:rsid w:val="00E340BE"/>
    <w:rsid w:val="00E34602"/>
    <w:rsid w:val="00E40194"/>
    <w:rsid w:val="00E41840"/>
    <w:rsid w:val="00E42EDC"/>
    <w:rsid w:val="00E449CD"/>
    <w:rsid w:val="00E63026"/>
    <w:rsid w:val="00E80CFF"/>
    <w:rsid w:val="00EB4E9E"/>
    <w:rsid w:val="00EE74B1"/>
    <w:rsid w:val="00EF54BA"/>
    <w:rsid w:val="00F00EB0"/>
    <w:rsid w:val="00F04558"/>
    <w:rsid w:val="00F214C1"/>
    <w:rsid w:val="00F3020F"/>
    <w:rsid w:val="00F37B7F"/>
    <w:rsid w:val="00F550C0"/>
    <w:rsid w:val="00F67509"/>
    <w:rsid w:val="00F73897"/>
    <w:rsid w:val="00F92F49"/>
    <w:rsid w:val="00FB7498"/>
    <w:rsid w:val="00FC1EAF"/>
    <w:rsid w:val="00FF088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1DD8E076"/>
  <w14:defaultImageDpi w14:val="32767"/>
  <w15:chartTrackingRefBased/>
  <w15:docId w15:val="{0240834F-8920-D64D-89B7-783D4684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A72E6"/>
    <w:rPr>
      <w:rFonts w:ascii="Times New Roman" w:eastAsia="Times New Roman" w:hAnsi="Times New Roman"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semiHidden/>
    <w:unhideWhenUsed/>
    <w:rsid w:val="00CC6BB4"/>
    <w:rPr>
      <w:color w:val="0000FF"/>
      <w:u w:val="single"/>
    </w:rPr>
  </w:style>
  <w:style w:type="character" w:customStyle="1" w:styleId="apple-converted-space">
    <w:name w:val="apple-converted-space"/>
    <w:basedOn w:val="Tipodeletrapredefinidodopargrafo"/>
    <w:rsid w:val="00CC6BB4"/>
  </w:style>
  <w:style w:type="paragraph" w:customStyle="1" w:styleId="textosc">
    <w:name w:val="texto_sc"/>
    <w:basedOn w:val="Normal"/>
    <w:link w:val="textoscCarter"/>
    <w:qFormat/>
    <w:rsid w:val="007A72E6"/>
    <w:pPr>
      <w:spacing w:line="360" w:lineRule="auto"/>
      <w:ind w:firstLine="567"/>
      <w:jc w:val="both"/>
    </w:pPr>
    <w:rPr>
      <w:rFonts w:ascii="Arial" w:hAnsi="Arial" w:cs="Arial"/>
      <w:noProof/>
      <w:sz w:val="22"/>
      <w:lang w:val="en-US"/>
    </w:rPr>
  </w:style>
  <w:style w:type="character" w:customStyle="1" w:styleId="textoscCarter">
    <w:name w:val="texto_sc Caráter"/>
    <w:basedOn w:val="Tipodeletrapredefinidodopargrafo"/>
    <w:link w:val="textosc"/>
    <w:rsid w:val="007A72E6"/>
    <w:rPr>
      <w:rFonts w:ascii="Arial" w:eastAsia="Times New Roman" w:hAnsi="Arial" w:cs="Arial"/>
      <w:noProof/>
      <w:sz w:val="22"/>
      <w:lang w:val="en-US" w:eastAsia="pt-PT"/>
    </w:rPr>
  </w:style>
  <w:style w:type="paragraph" w:styleId="Legenda">
    <w:name w:val="caption"/>
    <w:basedOn w:val="Normal"/>
    <w:next w:val="Normal"/>
    <w:uiPriority w:val="35"/>
    <w:unhideWhenUsed/>
    <w:qFormat/>
    <w:rsid w:val="007A72E6"/>
    <w:pPr>
      <w:spacing w:after="200"/>
    </w:pPr>
    <w:rPr>
      <w:rFonts w:ascii="Arial" w:hAnsi="Arial"/>
      <w:bCs/>
      <w:sz w:val="18"/>
      <w:szCs w:val="18"/>
      <w:lang w:val="en-US"/>
    </w:rPr>
  </w:style>
  <w:style w:type="paragraph" w:customStyle="1" w:styleId="MDPI31text">
    <w:name w:val="MDPI_3.1_text"/>
    <w:qFormat/>
    <w:rsid w:val="00746DDA"/>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37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945</TotalTime>
  <Pages>3</Pages>
  <Words>715</Words>
  <Characters>3863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Miguel Ribeiro da Silva Farinha</dc:creator>
  <cp:keywords/>
  <dc:description/>
  <cp:lastModifiedBy>Carlos Miguel Ribeiro da Silva Farinha</cp:lastModifiedBy>
  <cp:revision>4</cp:revision>
  <dcterms:created xsi:type="dcterms:W3CDTF">2019-02-06T10:38:00Z</dcterms:created>
  <dcterms:modified xsi:type="dcterms:W3CDTF">2019-04-09T13:45:00Z</dcterms:modified>
</cp:coreProperties>
</file>