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EE" w:rsidRPr="00C7520D" w:rsidRDefault="002869EE" w:rsidP="002869EE">
      <w:pPr>
        <w:pStyle w:val="a3"/>
        <w:shd w:val="clear" w:color="auto" w:fill="FFFFFF"/>
        <w:spacing w:before="166" w:after="166"/>
        <w:rPr>
          <w:color w:val="000000" w:themeColor="text1"/>
          <w:shd w:val="clear" w:color="auto" w:fill="FFFFFF"/>
        </w:rPr>
      </w:pPr>
      <w:r w:rsidRPr="00C7520D">
        <w:rPr>
          <w:b/>
          <w:color w:val="000000" w:themeColor="text1"/>
          <w:shd w:val="clear" w:color="auto" w:fill="FFFFFF"/>
        </w:rPr>
        <w:t xml:space="preserve">Supplementary Figure </w:t>
      </w:r>
      <w:r w:rsidR="00CB1700">
        <w:rPr>
          <w:b/>
          <w:color w:val="000000" w:themeColor="text1"/>
          <w:shd w:val="clear" w:color="auto" w:fill="FFFFFF"/>
        </w:rPr>
        <w:t>S</w:t>
      </w:r>
      <w:r w:rsidRPr="00C7520D">
        <w:rPr>
          <w:b/>
          <w:color w:val="000000" w:themeColor="text1"/>
          <w:shd w:val="clear" w:color="auto" w:fill="FFFFFF"/>
        </w:rPr>
        <w:t>1.</w:t>
      </w:r>
      <w:r w:rsidRPr="00C7520D">
        <w:rPr>
          <w:color w:val="000000" w:themeColor="text1"/>
          <w:shd w:val="clear" w:color="auto" w:fill="FFFFFF"/>
        </w:rPr>
        <w:t xml:space="preserve"> </w:t>
      </w:r>
      <w:r w:rsidRPr="00C7520D">
        <w:rPr>
          <w:b/>
          <w:color w:val="000000" w:themeColor="text1"/>
          <w:shd w:val="clear" w:color="auto" w:fill="FFFFFF"/>
        </w:rPr>
        <w:t>Physicochemical characterization of liposome-</w:t>
      </w:r>
      <w:proofErr w:type="spellStart"/>
      <w:r w:rsidRPr="00C7520D">
        <w:rPr>
          <w:b/>
          <w:color w:val="000000" w:themeColor="text1"/>
          <w:shd w:val="clear" w:color="auto" w:fill="FFFFFF"/>
        </w:rPr>
        <w:t>pheophorbide</w:t>
      </w:r>
      <w:proofErr w:type="spellEnd"/>
      <w:r w:rsidRPr="00C7520D">
        <w:rPr>
          <w:b/>
          <w:color w:val="000000" w:themeColor="text1"/>
          <w:shd w:val="clear" w:color="auto" w:fill="FFFFFF"/>
        </w:rPr>
        <w:t xml:space="preserve"> A (</w:t>
      </w:r>
      <w:proofErr w:type="spellStart"/>
      <w:r w:rsidRPr="00C7520D">
        <w:rPr>
          <w:b/>
          <w:color w:val="000000" w:themeColor="text1"/>
          <w:shd w:val="clear" w:color="auto" w:fill="FFFFFF"/>
        </w:rPr>
        <w:t>Lipo-PhA</w:t>
      </w:r>
      <w:proofErr w:type="spellEnd"/>
      <w:r w:rsidRPr="00C7520D">
        <w:rPr>
          <w:b/>
          <w:color w:val="000000" w:themeColor="text1"/>
          <w:shd w:val="clear" w:color="auto" w:fill="FFFFFF"/>
        </w:rPr>
        <w:t>) for photodynamic therapy (PDT).</w:t>
      </w:r>
      <w:r w:rsidRPr="00C7520D">
        <w:rPr>
          <w:rFonts w:hint="eastAsia"/>
          <w:color w:val="000000" w:themeColor="text1"/>
          <w:shd w:val="clear" w:color="auto" w:fill="FFFFFF"/>
        </w:rPr>
        <w:t xml:space="preserve"> </w:t>
      </w:r>
      <w:r w:rsidRPr="00C7520D">
        <w:rPr>
          <w:rFonts w:hint="eastAsia"/>
          <w:b/>
          <w:color w:val="000000" w:themeColor="text1"/>
          <w:shd w:val="clear" w:color="auto" w:fill="FFFFFF"/>
        </w:rPr>
        <w:t>(A)</w:t>
      </w:r>
      <w:r w:rsidRPr="00C7520D">
        <w:rPr>
          <w:rFonts w:hint="eastAsia"/>
          <w:color w:val="000000" w:themeColor="text1"/>
          <w:shd w:val="clear" w:color="auto" w:fill="FFFFFF"/>
        </w:rPr>
        <w:t xml:space="preserve"> Field </w:t>
      </w:r>
      <w:r w:rsidRPr="00C7520D">
        <w:rPr>
          <w:color w:val="000000" w:themeColor="text1"/>
        </w:rPr>
        <w:t>emission transmission electron microscopy</w:t>
      </w:r>
      <w:r w:rsidRPr="00C7520D">
        <w:rPr>
          <w:rFonts w:hint="eastAsia"/>
          <w:color w:val="000000" w:themeColor="text1"/>
          <w:shd w:val="clear" w:color="auto" w:fill="FFFFFF"/>
        </w:rPr>
        <w:t xml:space="preserve"> (FE-TEM)</w:t>
      </w:r>
      <w:r w:rsidRPr="00C7520D">
        <w:rPr>
          <w:color w:val="000000" w:themeColor="text1"/>
          <w:shd w:val="clear" w:color="auto" w:fill="FFFFFF"/>
        </w:rPr>
        <w:t xml:space="preserve"> images of liposome and </w:t>
      </w:r>
      <w:proofErr w:type="spellStart"/>
      <w:r w:rsidRPr="00C7520D">
        <w:rPr>
          <w:color w:val="000000" w:themeColor="text1"/>
          <w:shd w:val="clear" w:color="auto" w:fill="FFFFFF"/>
        </w:rPr>
        <w:t>Lipo-PhA</w:t>
      </w:r>
      <w:proofErr w:type="spellEnd"/>
      <w:r w:rsidRPr="00C7520D">
        <w:rPr>
          <w:color w:val="000000" w:themeColor="text1"/>
          <w:shd w:val="clear" w:color="auto" w:fill="FFFFFF"/>
        </w:rPr>
        <w:t xml:space="preserve">. Dynamic light scattering analysis determining hydrodynamic size </w:t>
      </w:r>
      <w:r w:rsidRPr="00C7520D">
        <w:rPr>
          <w:b/>
          <w:color w:val="000000" w:themeColor="text1"/>
          <w:shd w:val="clear" w:color="auto" w:fill="FFFFFF"/>
        </w:rPr>
        <w:t>(B)</w:t>
      </w:r>
      <w:r w:rsidRPr="00C7520D">
        <w:rPr>
          <w:color w:val="000000" w:themeColor="text1"/>
          <w:shd w:val="clear" w:color="auto" w:fill="FFFFFF"/>
        </w:rPr>
        <w:t xml:space="preserve"> and zeta potential </w:t>
      </w:r>
      <w:r w:rsidRPr="00C7520D">
        <w:rPr>
          <w:b/>
          <w:color w:val="000000" w:themeColor="text1"/>
          <w:shd w:val="clear" w:color="auto" w:fill="FFFFFF"/>
        </w:rPr>
        <w:t>(C)</w:t>
      </w:r>
      <w:r w:rsidRPr="00C7520D">
        <w:rPr>
          <w:color w:val="000000" w:themeColor="text1"/>
          <w:shd w:val="clear" w:color="auto" w:fill="FFFFFF"/>
        </w:rPr>
        <w:t xml:space="preserve"> of </w:t>
      </w:r>
      <w:proofErr w:type="spellStart"/>
      <w:r w:rsidRPr="00C7520D">
        <w:rPr>
          <w:color w:val="000000" w:themeColor="text1"/>
          <w:shd w:val="clear" w:color="auto" w:fill="FFFFFF"/>
        </w:rPr>
        <w:t>Lipo-PhA</w:t>
      </w:r>
      <w:proofErr w:type="spellEnd"/>
      <w:r w:rsidRPr="00C7520D">
        <w:rPr>
          <w:color w:val="000000" w:themeColor="text1"/>
          <w:shd w:val="clear" w:color="auto" w:fill="FFFFFF"/>
        </w:rPr>
        <w:t xml:space="preserve">. </w:t>
      </w:r>
      <w:r w:rsidRPr="00C7520D">
        <w:rPr>
          <w:b/>
          <w:color w:val="000000" w:themeColor="text1"/>
          <w:shd w:val="clear" w:color="auto" w:fill="FFFFFF"/>
        </w:rPr>
        <w:t>(D)</w:t>
      </w:r>
      <w:r w:rsidRPr="00C7520D">
        <w:rPr>
          <w:color w:val="000000" w:themeColor="text1"/>
          <w:shd w:val="clear" w:color="auto" w:fill="FFFFFF"/>
        </w:rPr>
        <w:t xml:space="preserve"> UV-Vis spectrum of </w:t>
      </w:r>
      <w:proofErr w:type="spellStart"/>
      <w:r w:rsidRPr="00C7520D">
        <w:rPr>
          <w:color w:val="000000" w:themeColor="text1"/>
          <w:shd w:val="clear" w:color="auto" w:fill="FFFFFF"/>
        </w:rPr>
        <w:t>Lipo-PhA</w:t>
      </w:r>
      <w:proofErr w:type="spellEnd"/>
      <w:r w:rsidRPr="00C7520D">
        <w:rPr>
          <w:color w:val="000000" w:themeColor="text1"/>
          <w:shd w:val="clear" w:color="auto" w:fill="FFFFFF"/>
        </w:rPr>
        <w:t xml:space="preserve"> demonstrating a characteristic peak at 674 nm.</w:t>
      </w:r>
      <w:r w:rsidRPr="00C7520D">
        <w:rPr>
          <w:rFonts w:hint="eastAsia"/>
          <w:color w:val="000000" w:themeColor="text1"/>
          <w:shd w:val="clear" w:color="auto" w:fill="FFFFFF"/>
        </w:rPr>
        <w:t xml:space="preserve"> </w:t>
      </w:r>
    </w:p>
    <w:p w:rsidR="002869EE" w:rsidRPr="00C7520D" w:rsidRDefault="002869EE" w:rsidP="002869EE">
      <w:pPr>
        <w:pStyle w:val="a3"/>
        <w:shd w:val="clear" w:color="auto" w:fill="FFFFFF"/>
        <w:rPr>
          <w:b/>
          <w:color w:val="000000" w:themeColor="text1"/>
          <w:shd w:val="clear" w:color="auto" w:fill="FFFFFF"/>
        </w:rPr>
      </w:pPr>
    </w:p>
    <w:p w:rsidR="002869EE" w:rsidRPr="00C7520D" w:rsidRDefault="002869EE" w:rsidP="002869EE">
      <w:pPr>
        <w:pStyle w:val="a3"/>
        <w:shd w:val="clear" w:color="auto" w:fill="FFFFFF"/>
        <w:rPr>
          <w:color w:val="000000" w:themeColor="text1"/>
          <w:shd w:val="clear" w:color="auto" w:fill="FFFFFF"/>
        </w:rPr>
      </w:pPr>
      <w:r w:rsidRPr="00C7520D">
        <w:rPr>
          <w:b/>
          <w:color w:val="000000" w:themeColor="text1"/>
          <w:shd w:val="clear" w:color="auto" w:fill="FFFFFF"/>
        </w:rPr>
        <w:t xml:space="preserve">Supplementary Figure </w:t>
      </w:r>
      <w:r w:rsidR="00CB1700">
        <w:rPr>
          <w:b/>
          <w:color w:val="000000" w:themeColor="text1"/>
          <w:shd w:val="clear" w:color="auto" w:fill="FFFFFF"/>
        </w:rPr>
        <w:t>S</w:t>
      </w:r>
      <w:r w:rsidRPr="00C7520D">
        <w:rPr>
          <w:b/>
          <w:color w:val="000000" w:themeColor="text1"/>
          <w:shd w:val="clear" w:color="auto" w:fill="FFFFFF"/>
        </w:rPr>
        <w:t>2</w:t>
      </w:r>
      <w:r w:rsidRPr="00CB1700">
        <w:rPr>
          <w:color w:val="000000" w:themeColor="text1"/>
          <w:shd w:val="clear" w:color="auto" w:fill="FFFFFF"/>
        </w:rPr>
        <w:t xml:space="preserve">. </w:t>
      </w:r>
      <w:r w:rsidRPr="00CB1700">
        <w:rPr>
          <w:b/>
          <w:color w:val="000000" w:themeColor="text1"/>
          <w:shd w:val="clear" w:color="auto" w:fill="FFFFFF"/>
        </w:rPr>
        <w:t>Combination therapy induced CXCL10</w:t>
      </w:r>
      <w:r w:rsidRPr="00CB1700">
        <w:rPr>
          <w:b/>
          <w:color w:val="000000" w:themeColor="text1"/>
          <w:shd w:val="clear" w:color="auto" w:fill="FFFFFF"/>
          <w:vertAlign w:val="superscript"/>
        </w:rPr>
        <w:t>+</w:t>
      </w:r>
      <w:r w:rsidRPr="00CB1700">
        <w:rPr>
          <w:b/>
          <w:color w:val="000000" w:themeColor="text1"/>
          <w:shd w:val="clear" w:color="auto" w:fill="FFFFFF"/>
        </w:rPr>
        <w:t>CD103</w:t>
      </w:r>
      <w:r w:rsidRPr="00CB1700">
        <w:rPr>
          <w:b/>
          <w:color w:val="000000" w:themeColor="text1"/>
          <w:shd w:val="clear" w:color="auto" w:fill="FFFFFF"/>
          <w:vertAlign w:val="superscript"/>
        </w:rPr>
        <w:t>+</w:t>
      </w:r>
      <w:r w:rsidRPr="00CB1700">
        <w:rPr>
          <w:b/>
          <w:color w:val="000000" w:themeColor="text1"/>
          <w:shd w:val="clear" w:color="auto" w:fill="FFFFFF"/>
        </w:rPr>
        <w:t xml:space="preserve"> DCs in tumor draining lymph nodes (TDLNs).</w:t>
      </w:r>
      <w:r w:rsidRPr="00C7520D">
        <w:rPr>
          <w:color w:val="000000" w:themeColor="text1"/>
          <w:shd w:val="clear" w:color="auto" w:fill="FFFFFF"/>
        </w:rPr>
        <w:t xml:space="preserve"> Percentage of CXCL10</w:t>
      </w:r>
      <w:r w:rsidRPr="00C7520D">
        <w:rPr>
          <w:color w:val="000000" w:themeColor="text1"/>
          <w:shd w:val="clear" w:color="auto" w:fill="FFFFFF"/>
          <w:vertAlign w:val="superscript"/>
        </w:rPr>
        <w:t>+</w:t>
      </w:r>
      <w:r w:rsidRPr="00C7520D">
        <w:rPr>
          <w:color w:val="000000" w:themeColor="text1"/>
          <w:shd w:val="clear" w:color="auto" w:fill="FFFFFF"/>
        </w:rPr>
        <w:t xml:space="preserve"> cells gated from CD103</w:t>
      </w:r>
      <w:r w:rsidRPr="00C7520D">
        <w:rPr>
          <w:color w:val="000000" w:themeColor="text1"/>
          <w:shd w:val="clear" w:color="auto" w:fill="FFFFFF"/>
          <w:vertAlign w:val="superscript"/>
        </w:rPr>
        <w:t>+</w:t>
      </w:r>
      <w:r w:rsidRPr="00C7520D">
        <w:rPr>
          <w:color w:val="000000" w:themeColor="text1"/>
          <w:shd w:val="clear" w:color="auto" w:fill="FFFFFF"/>
        </w:rPr>
        <w:t>CD11c</w:t>
      </w:r>
      <w:r w:rsidRPr="00C7520D">
        <w:rPr>
          <w:color w:val="000000" w:themeColor="text1"/>
          <w:shd w:val="clear" w:color="auto" w:fill="FFFFFF"/>
          <w:vertAlign w:val="superscript"/>
        </w:rPr>
        <w:t>+</w:t>
      </w:r>
      <w:r w:rsidRPr="00C7520D">
        <w:rPr>
          <w:color w:val="000000" w:themeColor="text1"/>
          <w:shd w:val="clear" w:color="auto" w:fill="FFFFFF"/>
        </w:rPr>
        <w:t xml:space="preserve"> cells in TDLNs at 7 days </w:t>
      </w:r>
      <w:proofErr w:type="spellStart"/>
      <w:r w:rsidRPr="00C7520D">
        <w:rPr>
          <w:color w:val="000000" w:themeColor="text1"/>
          <w:shd w:val="clear" w:color="auto" w:fill="FFFFFF"/>
        </w:rPr>
        <w:t>post</w:t>
      </w:r>
      <w:r w:rsidRPr="00C7520D">
        <w:rPr>
          <w:color w:val="000000" w:themeColor="text1"/>
        </w:rPr>
        <w:t>treatment</w:t>
      </w:r>
      <w:proofErr w:type="spellEnd"/>
      <w:r w:rsidRPr="00C7520D">
        <w:rPr>
          <w:color w:val="000000" w:themeColor="text1"/>
          <w:shd w:val="clear" w:color="auto" w:fill="FFFFFF"/>
        </w:rPr>
        <w:t>. The results are presented as</w:t>
      </w:r>
      <w:r w:rsidRPr="00C7520D">
        <w:rPr>
          <w:color w:val="000000" w:themeColor="text1"/>
        </w:rPr>
        <w:t xml:space="preserve"> the</w:t>
      </w:r>
      <w:r w:rsidRPr="00C7520D">
        <w:rPr>
          <w:color w:val="000000" w:themeColor="text1"/>
          <w:shd w:val="clear" w:color="auto" w:fill="FFFFFF"/>
        </w:rPr>
        <w:t xml:space="preserve"> means ± the SEM, and statistical analysis was performed by the one-way ANOVA using the </w:t>
      </w:r>
      <w:proofErr w:type="spellStart"/>
      <w:r w:rsidRPr="00C7520D">
        <w:rPr>
          <w:color w:val="000000" w:themeColor="text1"/>
          <w:shd w:val="clear" w:color="auto" w:fill="FFFFFF"/>
        </w:rPr>
        <w:t>GraphPad</w:t>
      </w:r>
      <w:proofErr w:type="spellEnd"/>
      <w:r w:rsidRPr="00C7520D">
        <w:rPr>
          <w:color w:val="000000" w:themeColor="text1"/>
          <w:shd w:val="clear" w:color="auto" w:fill="FFFFFF"/>
        </w:rPr>
        <w:t xml:space="preserve"> Prism software. *, </w:t>
      </w:r>
      <w:r w:rsidRPr="00C7520D">
        <w:rPr>
          <w:i/>
          <w:color w:val="000000" w:themeColor="text1"/>
          <w:shd w:val="clear" w:color="auto" w:fill="FFFFFF"/>
        </w:rPr>
        <w:t>P</w:t>
      </w:r>
      <w:r w:rsidRPr="00C7520D">
        <w:rPr>
          <w:color w:val="000000" w:themeColor="text1"/>
          <w:shd w:val="clear" w:color="auto" w:fill="FFFFFF"/>
        </w:rPr>
        <w:t xml:space="preserve"> &lt; 0.05; **, </w:t>
      </w:r>
      <w:r w:rsidRPr="00C7520D">
        <w:rPr>
          <w:i/>
          <w:color w:val="000000" w:themeColor="text1"/>
          <w:shd w:val="clear" w:color="auto" w:fill="FFFFFF"/>
        </w:rPr>
        <w:t>P</w:t>
      </w:r>
      <w:r w:rsidRPr="00C7520D">
        <w:rPr>
          <w:color w:val="000000" w:themeColor="text1"/>
          <w:shd w:val="clear" w:color="auto" w:fill="FFFFFF"/>
        </w:rPr>
        <w:t xml:space="preserve"> &lt; 0.01; and ***, </w:t>
      </w:r>
      <w:r w:rsidRPr="00C7520D">
        <w:rPr>
          <w:i/>
          <w:color w:val="000000" w:themeColor="text1"/>
          <w:shd w:val="clear" w:color="auto" w:fill="FFFFFF"/>
        </w:rPr>
        <w:t>P</w:t>
      </w:r>
      <w:r w:rsidRPr="00C7520D">
        <w:rPr>
          <w:color w:val="000000" w:themeColor="text1"/>
          <w:shd w:val="clear" w:color="auto" w:fill="FFFFFF"/>
        </w:rPr>
        <w:t xml:space="preserve"> &lt; 0.001.</w:t>
      </w:r>
    </w:p>
    <w:p w:rsidR="00E0533D" w:rsidRDefault="00CB1700">
      <w:bookmarkStart w:id="0" w:name="_GoBack"/>
      <w:bookmarkEnd w:id="0"/>
    </w:p>
    <w:sectPr w:rsidR="00E053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EE"/>
    <w:rsid w:val="001B237A"/>
    <w:rsid w:val="002869EE"/>
    <w:rsid w:val="00CB1700"/>
    <w:rsid w:val="00C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12B74"/>
  <w15:chartTrackingRefBased/>
  <w15:docId w15:val="{B97D0885-E838-4504-A2A2-9EBC0867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69E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2020-10-13T03:29:00Z</dcterms:created>
  <dcterms:modified xsi:type="dcterms:W3CDTF">2020-11-07T02:18:00Z</dcterms:modified>
</cp:coreProperties>
</file>