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9FB9D" w14:textId="650336A4" w:rsidR="00AC0F7C" w:rsidRDefault="00AC0F7C" w:rsidP="00AC0F7C">
      <w:pPr>
        <w:pStyle w:val="Nagwek1"/>
        <w:jc w:val="both"/>
        <w:rPr>
          <w:rFonts w:asciiTheme="minorHAnsi" w:hAnsiTheme="minorHAnsi" w:cstheme="minorHAnsi"/>
          <w:lang w:val="en-US"/>
        </w:rPr>
      </w:pPr>
      <w:r>
        <w:rPr>
          <w:rFonts w:asciiTheme="minorHAnsi" w:hAnsiTheme="minorHAnsi" w:cstheme="minorHAnsi"/>
          <w:lang w:val="en-US"/>
        </w:rPr>
        <w:t>SUPPLEMENTARY MATERIALS</w:t>
      </w:r>
    </w:p>
    <w:p w14:paraId="47541130" w14:textId="77777777" w:rsidR="00A603CE" w:rsidRPr="00A603CE" w:rsidRDefault="00A603CE" w:rsidP="00A603CE">
      <w:pPr>
        <w:rPr>
          <w:lang w:val="en-US"/>
        </w:rPr>
      </w:pPr>
    </w:p>
    <w:p w14:paraId="0A89D6D4" w14:textId="77777777" w:rsidR="00A603CE" w:rsidRDefault="00A603CE" w:rsidP="00A603CE">
      <w:pPr>
        <w:pStyle w:val="MDPI13authornames"/>
        <w:rPr>
          <w:snapToGrid w:val="0"/>
          <w:sz w:val="36"/>
          <w:szCs w:val="20"/>
        </w:rPr>
      </w:pPr>
      <w:r>
        <w:rPr>
          <w:snapToGrid w:val="0"/>
          <w:sz w:val="36"/>
          <w:szCs w:val="20"/>
        </w:rPr>
        <w:t xml:space="preserve">hsa-miR-20b-5p and hsa-miR-363-3p affect expression of </w:t>
      </w:r>
      <w:r>
        <w:rPr>
          <w:i/>
          <w:snapToGrid w:val="0"/>
          <w:sz w:val="36"/>
          <w:szCs w:val="20"/>
        </w:rPr>
        <w:t>PTEN</w:t>
      </w:r>
      <w:r>
        <w:rPr>
          <w:snapToGrid w:val="0"/>
          <w:sz w:val="36"/>
          <w:szCs w:val="20"/>
        </w:rPr>
        <w:t xml:space="preserve"> and </w:t>
      </w:r>
      <w:r>
        <w:rPr>
          <w:i/>
          <w:snapToGrid w:val="0"/>
          <w:sz w:val="36"/>
          <w:szCs w:val="20"/>
        </w:rPr>
        <w:t>BIM</w:t>
      </w:r>
      <w:r>
        <w:rPr>
          <w:snapToGrid w:val="0"/>
          <w:sz w:val="36"/>
          <w:szCs w:val="20"/>
        </w:rPr>
        <w:t xml:space="preserve"> tumor suppressor genes and modulate survival of T-ALL cells </w:t>
      </w:r>
      <w:bookmarkStart w:id="0" w:name="_GoBack"/>
      <w:r w:rsidRPr="000B7C86">
        <w:rPr>
          <w:i/>
          <w:snapToGrid w:val="0"/>
          <w:sz w:val="36"/>
          <w:szCs w:val="20"/>
        </w:rPr>
        <w:t>in vitro</w:t>
      </w:r>
      <w:r>
        <w:rPr>
          <w:snapToGrid w:val="0"/>
          <w:sz w:val="36"/>
          <w:szCs w:val="20"/>
        </w:rPr>
        <w:t xml:space="preserve"> </w:t>
      </w:r>
      <w:bookmarkEnd w:id="0"/>
    </w:p>
    <w:p w14:paraId="77D40802" w14:textId="77777777" w:rsidR="00AC0F7C" w:rsidRPr="00AE4787" w:rsidRDefault="00AC0F7C" w:rsidP="00AC0F7C">
      <w:pPr>
        <w:rPr>
          <w:rFonts w:cstheme="minorHAnsi"/>
          <w:lang w:val="en-US"/>
        </w:rPr>
      </w:pPr>
    </w:p>
    <w:p w14:paraId="2ABC81FF" w14:textId="77777777" w:rsidR="00A603CE" w:rsidRPr="00947A52" w:rsidRDefault="00A603CE" w:rsidP="00A603CE">
      <w:pPr>
        <w:spacing w:before="60" w:after="60"/>
        <w:jc w:val="both"/>
        <w:rPr>
          <w:rFonts w:ascii="Arial" w:hAnsi="Arial" w:cs="Arial"/>
          <w:lang w:val="en-US"/>
        </w:rPr>
      </w:pPr>
      <w:r w:rsidRPr="00947A52">
        <w:rPr>
          <w:rFonts w:cstheme="minorHAnsi"/>
          <w:lang w:val="en-US"/>
        </w:rPr>
        <w:t>Monika Drobna, Bronisława Szarzyńska, Roman Jaksik, Łukasz Sędek, Anna Kuchmiy, Tom Taghon, Pieter Van Vlierberghe</w:t>
      </w:r>
      <w:r w:rsidRPr="00947A52">
        <w:rPr>
          <w:rFonts w:ascii="Arial" w:hAnsi="Arial" w:cs="Arial"/>
          <w:lang w:val="en-US"/>
        </w:rPr>
        <w:t xml:space="preserve">, </w:t>
      </w:r>
      <w:r w:rsidRPr="00947A52">
        <w:rPr>
          <w:rFonts w:cstheme="minorHAnsi"/>
          <w:lang w:val="en-US"/>
        </w:rPr>
        <w:t>Tomasz Szczepański, Michał Witt, Małgorzata Dawidowska</w:t>
      </w:r>
    </w:p>
    <w:p w14:paraId="11EFC372" w14:textId="77777777" w:rsidR="00637D8E" w:rsidRDefault="000B7C86">
      <w:pPr>
        <w:rPr>
          <w:lang w:val="en-US"/>
        </w:rPr>
      </w:pPr>
    </w:p>
    <w:p w14:paraId="3629B1CC" w14:textId="77777777" w:rsidR="00AC0F7C" w:rsidRPr="00AC0F7C" w:rsidRDefault="00AC0F7C" w:rsidP="00AC0F7C">
      <w:pPr>
        <w:pStyle w:val="Nagwek2"/>
        <w:spacing w:after="120"/>
        <w:jc w:val="both"/>
        <w:rPr>
          <w:rFonts w:ascii="Cambria" w:hAnsi="Cambria"/>
          <w:lang w:val="en-US"/>
        </w:rPr>
      </w:pPr>
      <w:r w:rsidRPr="00AC0F7C">
        <w:rPr>
          <w:rFonts w:ascii="Cambria" w:hAnsi="Cambria"/>
          <w:lang w:val="en-US"/>
        </w:rPr>
        <w:t>Validation of predicted miRNA-mRNA interactions by luciferase reporter assays</w:t>
      </w:r>
    </w:p>
    <w:p w14:paraId="1968DE6D" w14:textId="252596B8" w:rsidR="009400A9" w:rsidRDefault="00AC0F7C" w:rsidP="00AC0F7C">
      <w:pPr>
        <w:jc w:val="both"/>
        <w:rPr>
          <w:lang w:val="en-US"/>
        </w:rPr>
      </w:pPr>
      <w:r>
        <w:rPr>
          <w:lang w:val="en-US"/>
        </w:rPr>
        <w:t>miRNA-mRNA interactions were selected from our previous miRNA-seq study and bioinformatic target gene prediction and pathway enrichment analysis</w:t>
      </w:r>
      <w:r>
        <w:rPr>
          <w:lang w:val="en-US"/>
        </w:rPr>
        <w:fldChar w:fldCharType="begin"/>
      </w:r>
      <w:r>
        <w:rPr>
          <w:lang w:val="en-US"/>
        </w:rPr>
        <w:instrText xml:space="preserve"> ADDIN ZOTERO_ITEM CSL_CITATION {"citationID":"a22fggbi03c","properties":{"formattedCitation":"[17]","plainCitation":"[17]","dontUpdate":true,"noteIndex":0},"citationItems":[{"id":335,"uris":["http://zotero.org/users/local/GkDbUS6Q/items/TC5UR5KU"],"uri":["http://zotero.org/users/local/GkDbUS6Q/items/TC5UR5KU"],"itemData":{"id":335,"type":"article-journal","abstract":"T-cell acute lymphoblastic leukemia (T-ALL) is an aggressive malignancy originating from T-cell precursors. The genetic landscape of T-ALL has been largely characterized by next-generation sequencing. Yet, the transcriptome of miRNAs (miRNome) of T-ALL has been less extensively studied. Using small RNA sequencing, we characterized the miRNome of 34 pediatric T-ALL samples, including the expression of isomiRs and the identification of candidate novel miRNAs (not previously annotated in miRBase). For the first time, we show that immunophenotypic subtypes of T-ALL present different miRNA expression profiles. To extend miRNome characteristics in T-ALL (to 82 T-ALL cases), we combined our small RNA-seq results with data available in Gene Expression Omnibus. We report on miRNAs most abundantly expressed in pediatric T-ALL and miRNAs differentially expressed in T-ALL versus normal mature T-lymphocytes and thymocytes, representing candidate oncogenic and tumor suppressor miRNAs. Using eight target prediction algorithms and pathway enrichment analysis, we identified differentially expressed miRNAs and their predicted targets implicated in processes (defined in Gene Ontology and Kyoto Encyclopedia of Genes and Genomes) of potential importance in pathogenesis of T-ALL, including interleukin-6-mediated signaling, mTOR signaling, and regulation of apoptosis. We finally focused on hsa-mir-106a-363 cluster and functionally validated direct interactions of hsa-miR-20b-5p and hsa-miR-363-3p with 3' untranslated regions of their predicted targets (PTEN, SOS1, LATS2), overrepresented in regulation of apoptosis. hsa-mir-106a-363 is a paralogue of prototypic oncogenic hsa-mir-17-92 cluster with yet unestablished role in the pathogenesis of T-ALL. Our study provides a firm basis and data resource for functional analyses on the role of miRNA-mRNA interactions in T-ALL.","container-title":"Neoplasia (New York, N.Y.)","DOI":"10.1016/j.neo.2019.01.004","ISSN":"1476-5586","issue":"3","journalAbbreviation":"Neoplasia","language":"eng","note":"PMID: 30763910","page":"294-310","source":"PubMed","title":"Comprehensive Investigation of miRNome Identifies Novel Candidate miRNA-mRNA Interactions Implicated in T-Cell Acute Lymphoblastic Leukemia","volume":"21","author":[{"family":"Dawidowska","given":"Małgorzata"},{"family":"Jaksik","given":"Roman"},{"family":"Drobna","given":"Monika"},{"family":"Szarzyńska-Zawadzka","given":"Bronisława"},{"family":"Kosmalska","given":"Maria"},{"family":"Sędek","given":"Łukasz"},{"family":"Machowska","given":"Ludomiła"},{"family":"Lalik","given":"Anna"},{"family":"Lejman","given":"Monika"},{"family":"Ussowicz","given":"Marek"},{"family":"Kałwak","given":"Krzysztof"},{"family":"Kowalczyk","given":"Jerzy R."},{"family":"Szczepański","given":"Tomasz"},{"family":"Witt","given":"Michał"}],"issued":{"date-parts":[["2019",2,11]]}}}],"schema":"https://github.com/citation-style-language/schema/raw/master/csl-citation.json"} </w:instrText>
      </w:r>
      <w:r>
        <w:rPr>
          <w:lang w:val="en-US"/>
        </w:rPr>
        <w:fldChar w:fldCharType="end"/>
      </w:r>
      <w:r>
        <w:rPr>
          <w:lang w:val="en-US"/>
        </w:rPr>
        <w:t>. G</w:t>
      </w:r>
      <w:r w:rsidRPr="00F93514">
        <w:rPr>
          <w:lang w:val="en-US"/>
        </w:rPr>
        <w:t xml:space="preserve">enes </w:t>
      </w:r>
      <w:r>
        <w:rPr>
          <w:lang w:val="en-US"/>
        </w:rPr>
        <w:t xml:space="preserve">predicted as targets for differentially expressed miRNAs by at least 5 algorithms and </w:t>
      </w:r>
      <w:r w:rsidRPr="00F93514">
        <w:rPr>
          <w:lang w:val="en-US"/>
        </w:rPr>
        <w:t>analyzed for enrichment in Gene Ontology (GO) and Kyoto Encyclopedia of Genes and Genomes (KEGG) terms and pathways</w:t>
      </w:r>
      <w:r>
        <w:rPr>
          <w:lang w:val="en-US"/>
        </w:rPr>
        <w:t xml:space="preserve"> indicated several processes of potential importance for T-ALL pathogenesis. One of the top 10 highly enriched GO terms was ‘Positive regulation of apoptosis’. Interestingly, many target genes enriched in this term were predicted to be targeted, and thus silenced, by hsa-miR-20b-5p and hsa-miR-363-3p [Supplementary Table </w:t>
      </w:r>
      <w:r w:rsidR="002C2B82">
        <w:rPr>
          <w:lang w:val="en-US"/>
        </w:rPr>
        <w:t>3</w:t>
      </w:r>
      <w:r>
        <w:rPr>
          <w:lang w:val="en-US"/>
        </w:rPr>
        <w:t>]. Some of them (</w:t>
      </w:r>
      <w:r w:rsidRPr="00890D04">
        <w:rPr>
          <w:i/>
          <w:lang w:val="en-US"/>
        </w:rPr>
        <w:t>PTEN</w:t>
      </w:r>
      <w:r>
        <w:rPr>
          <w:lang w:val="en-US"/>
        </w:rPr>
        <w:t xml:space="preserve"> and </w:t>
      </w:r>
      <w:r w:rsidRPr="00890D04">
        <w:rPr>
          <w:i/>
          <w:lang w:val="en-US"/>
        </w:rPr>
        <w:t>FBXW7</w:t>
      </w:r>
      <w:r>
        <w:rPr>
          <w:lang w:val="en-US"/>
        </w:rPr>
        <w:t>) are already known as tumor suppressors in T-ALL, yet not extensively studied in terms of their regulation by the miRNAs of interest</w:t>
      </w:r>
      <w:r>
        <w:rPr>
          <w:lang w:val="en-US"/>
        </w:rPr>
        <w:fldChar w:fldCharType="begin"/>
      </w:r>
      <w:r>
        <w:rPr>
          <w:lang w:val="en-US"/>
        </w:rPr>
        <w:instrText xml:space="preserve"> ADDIN ZOTERO_ITEM CSL_CITATION {"citationID":"HDb0aEyt","properties":{"formattedCitation":"[19,20]","plainCitation":"[19,20]","dontUpdate":true,"noteIndex":0},"citationItems":[{"id":403,"uris":["http://zotero.org/users/local/GkDbUS6Q/items/BCYHXNEW"],"uri":["http://zotero.org/users/local/GkDbUS6Q/items/BCYHXNEW"],"itemData":{"id":403,"type":"article-journal","abstract":"Activating mutations in NOTCH1 are the most prominent genetic abnormality in T-cell acute Lymphoblastic Leukemia (T-ALL) and inhibition of NOTCH1 signaling with gamma-secretase inhibitors (GSIs) has been proposed as targeted therapy in this disease. However, most T-ALL cell lines with mutations in NOTCH1 fail to respond to GSI therapy. Using gene expression profiling and mutation analysis we showed that mutational loss of PTEN is a common event in T-ALL and is associated with resistance to NOTCH inhibition. Furthermore, our studies revealed that NOTCH1 induces upregulation of the PI3K-AKT pathway via HES1, which negatively controls the expression of PTEN. This regulatory circuitry is evolutionary conserved from Drosophila to humans as demonstrated by the interaction of overexpression of Delta and Akt in a model of Notch-induced transformation in the fly eye. Loss of PTEN and constitutive activation of AKT in T-ALL induce increased glucose metabolism and bypass the requirement of NOTCH1 signaling to sustain cell growth. Importantly, PTEN-null/GSI resistant T-ALL cells switch their oncogene addiction from NOTCH1 to AKT and are highly sensitive to AKT inhibitors. These results should facilitate the development of molecular therapies targeting NOTCH1 and AKT for the treatment of T-ALL.","container-title":"Cell Cycle (Georgetown, Tex.)","DOI":"10.4161/cc.7.8.5753","ISSN":"1551-4005","issue":"8","journalAbbreviation":"Cell Cycle","language":"eng","note":"PMID: 18414037\nPMCID: PMC2600414","page":"965-970","source":"PubMed","title":"The role of the PTEN/AKT Pathway in NOTCH1-induced leukemia","volume":"7","author":[{"family":"Palomero","given":"Teresa"},{"family":"Dominguez","given":"Maria"},{"family":"Ferrando","given":"Adolfo A."}],"issued":{"date-parts":[["2008",4,15]]}}},{"id":420,"uris":["http://zotero.org/users/local/GkDbUS6Q/items/XE3NRXPA"],"uri":["http://zotero.org/users/local/GkDbUS6Q/items/XE3NRXPA"],"itemData":{"id":420,"type":"article-journal","abstract":"Sequencing efforts led to the identification of somatic mutations that could affect the self-renewal and differentiation of cancer-initiating cells. One such recurrent mutation targets the binding pocket of the ubiquitin ligase Fbxw7. Missense FBXW7 mutations are prevalent in various tumors, including T cell acute lymphoblastic leukemia (T-ALL). To study the effects of such lesions, we generated animals carrying regulatable Fbxw7 mutant alleles. Here, we show that these mutations specifically bolster cancer-initiating cell activity in collaboration with Notch1 oncogenes but spare normal hematopoietic stem cell function. We were also able to show that FBXW7 mutations specifically affect the ubiquitylation and half-life of c-Myc protein, a key T-ALL oncogene. Using animals carrying c-Myc fusion alleles, we connected Fbxw7 function to c-Myc abundance and correlated c-Myc expression to leukemia-initiating activity. Finally, we demonstrated that small-molecule-mediated suppression of MYC activity leads to T-ALL remission, suggesting an effective therapeutic strategy.","container-title":"Cell","DOI":"10.1016/j.cell.2013.05.041","ISSN":"1097-4172","issue":"7","journalAbbreviation":"Cell","language":"eng","note":"PMID: 23791182\nPMCID: PMC4146439","page":"1552-1566","source":"PubMed","title":"The ubiquitin ligase FBXW7 modulates leukemia-initiating cell activity by regulating MYC stability","volume":"153","author":[{"family":"King","given":"Bryan"},{"family":"Trimarchi","given":"Thomas"},{"family":"Reavie","given":"Linsey"},{"family":"Xu","given":"Luyao"},{"family":"Mullenders","given":"Jasper"},{"family":"Ntziachristos","given":"Panagiotis"},{"family":"Aranda-Orgilles","given":"Beatriz"},{"family":"Perez-Garcia","given":"Arianne"},{"family":"Shi","given":"Junwei"},{"family":"Vakoc","given":"Christopher"},{"family":"Sandy","given":"Peter"},{"family":"Shen","given":"Steven S."},{"family":"Ferrando","given":"Adolfo"},{"family":"Aifantis","given":"Iannis"}],"issued":{"date-parts":[["2013",6,20]]}},"locator":"7"}],"schema":"https://github.com/citation-style-language/schema/raw/master/csl-citation.json"} </w:instrText>
      </w:r>
      <w:r>
        <w:rPr>
          <w:lang w:val="en-US"/>
        </w:rPr>
        <w:fldChar w:fldCharType="end"/>
      </w:r>
      <w:r>
        <w:rPr>
          <w:lang w:val="en-US"/>
        </w:rPr>
        <w:t>. Several of miRNA-mRNA interactions from our list (miR-20b-</w:t>
      </w:r>
      <w:r>
        <w:rPr>
          <w:i/>
          <w:lang w:val="en-US"/>
        </w:rPr>
        <w:t>PTEN</w:t>
      </w:r>
      <w:r>
        <w:rPr>
          <w:lang w:val="en-US"/>
        </w:rPr>
        <w:t>, miR-20b-</w:t>
      </w:r>
      <w:r w:rsidRPr="007F2020">
        <w:rPr>
          <w:i/>
          <w:lang w:val="en-US"/>
        </w:rPr>
        <w:t>TXNIP</w:t>
      </w:r>
      <w:r>
        <w:rPr>
          <w:lang w:val="en-US"/>
        </w:rPr>
        <w:t>, miR-20b-</w:t>
      </w:r>
      <w:r w:rsidRPr="00330B96">
        <w:rPr>
          <w:i/>
          <w:lang w:val="en-US"/>
        </w:rPr>
        <w:t>UBC</w:t>
      </w:r>
      <w:r>
        <w:rPr>
          <w:lang w:val="en-US"/>
        </w:rPr>
        <w:t>, and hsa-miR-363-3p-</w:t>
      </w:r>
      <w:r w:rsidRPr="007F2020">
        <w:rPr>
          <w:i/>
          <w:lang w:val="en-US"/>
        </w:rPr>
        <w:t>FNIP1</w:t>
      </w:r>
      <w:r>
        <w:rPr>
          <w:lang w:val="en-US"/>
        </w:rPr>
        <w:t xml:space="preserve">) have already been experimentally confirmed, yet have not been studied for their potential involvement in T-ALL pathogenesis. Others have not been validated thus far, nor have been studied functionally in the context of T-ALL. </w:t>
      </w:r>
    </w:p>
    <w:p w14:paraId="7896C097" w14:textId="2E13E9C9" w:rsidR="00AC0F7C" w:rsidRDefault="00AC0F7C" w:rsidP="00AC0F7C">
      <w:pPr>
        <w:jc w:val="both"/>
        <w:rPr>
          <w:lang w:val="en-US"/>
        </w:rPr>
      </w:pPr>
      <w:r w:rsidRPr="00F4421C">
        <w:rPr>
          <w:lang w:val="en-US"/>
        </w:rPr>
        <w:t xml:space="preserve">Thus, we performed luciferase reporter assays in human embryo kidney HEK293T cell line to validate </w:t>
      </w:r>
      <w:r>
        <w:rPr>
          <w:lang w:val="en-US"/>
        </w:rPr>
        <w:t xml:space="preserve">selected </w:t>
      </w:r>
      <w:r w:rsidRPr="00F4421C">
        <w:rPr>
          <w:lang w:val="en-US"/>
        </w:rPr>
        <w:t>miRNA-mRNA interactions</w:t>
      </w:r>
      <w:r w:rsidR="009400A9">
        <w:rPr>
          <w:lang w:val="en-US"/>
        </w:rPr>
        <w:t xml:space="preserve">. </w:t>
      </w:r>
      <w:r w:rsidRPr="00F4421C">
        <w:rPr>
          <w:lang w:val="en-US"/>
        </w:rPr>
        <w:t xml:space="preserve">Cells were co-transfected with dual luciferase vectors containing fragments of 3’ untranslated region (3’UTR) of potential target genes, together with </w:t>
      </w:r>
      <w:r>
        <w:rPr>
          <w:lang w:val="en-US"/>
        </w:rPr>
        <w:t>hsa-miR-20b-5p mimic or hsa-miR-363-3p</w:t>
      </w:r>
      <w:r w:rsidRPr="00F4421C">
        <w:rPr>
          <w:lang w:val="en-US"/>
        </w:rPr>
        <w:t xml:space="preserve"> </w:t>
      </w:r>
      <w:r>
        <w:rPr>
          <w:lang w:val="en-US"/>
        </w:rPr>
        <w:t xml:space="preserve">mimic </w:t>
      </w:r>
      <w:r w:rsidRPr="00F4421C">
        <w:rPr>
          <w:lang w:val="en-US"/>
        </w:rPr>
        <w:t>or with negative control</w:t>
      </w:r>
      <w:r>
        <w:rPr>
          <w:lang w:val="en-US"/>
        </w:rPr>
        <w:t xml:space="preserve"> (‘scrambled’ miRNA)</w:t>
      </w:r>
      <w:r w:rsidRPr="00F4421C">
        <w:rPr>
          <w:lang w:val="en-US"/>
        </w:rPr>
        <w:t xml:space="preserve">. Significant downregulation of luciferase activity in the presence of miRNA mimic as compared to negative control was observed for the majority of </w:t>
      </w:r>
      <w:r>
        <w:rPr>
          <w:lang w:val="en-US"/>
        </w:rPr>
        <w:t xml:space="preserve">the analyzed </w:t>
      </w:r>
      <w:r w:rsidRPr="00F4421C">
        <w:rPr>
          <w:lang w:val="en-US"/>
        </w:rPr>
        <w:t>miRNA</w:t>
      </w:r>
      <w:r>
        <w:rPr>
          <w:lang w:val="en-US"/>
        </w:rPr>
        <w:t>s</w:t>
      </w:r>
      <w:r w:rsidRPr="00F4421C">
        <w:rPr>
          <w:lang w:val="en-US"/>
        </w:rPr>
        <w:t>-mRNA</w:t>
      </w:r>
      <w:r>
        <w:rPr>
          <w:lang w:val="en-US"/>
        </w:rPr>
        <w:t xml:space="preserve">s [Supplementary Fig. </w:t>
      </w:r>
      <w:r w:rsidR="002C2B82">
        <w:rPr>
          <w:lang w:val="en-US"/>
        </w:rPr>
        <w:t>2</w:t>
      </w:r>
      <w:r>
        <w:rPr>
          <w:lang w:val="en-US"/>
        </w:rPr>
        <w:t xml:space="preserve">], which was indicative of direct interaction of </w:t>
      </w:r>
      <w:r w:rsidRPr="00F4421C">
        <w:rPr>
          <w:lang w:val="en-US"/>
        </w:rPr>
        <w:t>miRNA</w:t>
      </w:r>
      <w:r>
        <w:rPr>
          <w:lang w:val="en-US"/>
        </w:rPr>
        <w:t xml:space="preserve">s and </w:t>
      </w:r>
      <w:r w:rsidRPr="00F4421C">
        <w:rPr>
          <w:lang w:val="en-US"/>
        </w:rPr>
        <w:t>3’UTR</w:t>
      </w:r>
      <w:r>
        <w:rPr>
          <w:lang w:val="en-US"/>
        </w:rPr>
        <w:t>s of their target genes</w:t>
      </w:r>
      <w:r w:rsidRPr="00F4421C">
        <w:rPr>
          <w:lang w:val="en-US"/>
        </w:rPr>
        <w:t>. Luciferase activity was restored by introduction of mutations in miRNA response element (MRE) region in 3’UTR fragments</w:t>
      </w:r>
      <w:r>
        <w:rPr>
          <w:lang w:val="en-US"/>
        </w:rPr>
        <w:t xml:space="preserve"> [Supplementary Fig. </w:t>
      </w:r>
      <w:r w:rsidR="002C2B82">
        <w:rPr>
          <w:lang w:val="en-US"/>
        </w:rPr>
        <w:t>2</w:t>
      </w:r>
      <w:r>
        <w:rPr>
          <w:lang w:val="en-US"/>
        </w:rPr>
        <w:t>]</w:t>
      </w:r>
      <w:r w:rsidRPr="00F4421C">
        <w:rPr>
          <w:lang w:val="en-US"/>
        </w:rPr>
        <w:t xml:space="preserve">. With this approach we confirmed </w:t>
      </w:r>
      <w:r w:rsidR="002C2B82">
        <w:rPr>
          <w:lang w:val="en-US"/>
        </w:rPr>
        <w:t>8</w:t>
      </w:r>
      <w:r>
        <w:rPr>
          <w:lang w:val="en-US"/>
        </w:rPr>
        <w:t>/</w:t>
      </w:r>
      <w:r w:rsidR="002C2B82">
        <w:rPr>
          <w:lang w:val="en-US"/>
        </w:rPr>
        <w:t>11</w:t>
      </w:r>
      <w:r w:rsidRPr="00F4421C">
        <w:rPr>
          <w:lang w:val="en-US"/>
        </w:rPr>
        <w:t xml:space="preserve"> of the predicted interactions, namely</w:t>
      </w:r>
      <w:r>
        <w:rPr>
          <w:lang w:val="en-US"/>
        </w:rPr>
        <w:t>:</w:t>
      </w:r>
      <w:r w:rsidRPr="00F4421C">
        <w:rPr>
          <w:lang w:val="en-US"/>
        </w:rPr>
        <w:t xml:space="preserve"> </w:t>
      </w:r>
      <w:r>
        <w:rPr>
          <w:lang w:val="en-US"/>
        </w:rPr>
        <w:t>hsa-miR-363-3p</w:t>
      </w:r>
      <w:r w:rsidRPr="00F4421C">
        <w:rPr>
          <w:lang w:val="en-US"/>
        </w:rPr>
        <w:t>-</w:t>
      </w:r>
      <w:r w:rsidRPr="00F4421C">
        <w:rPr>
          <w:i/>
          <w:lang w:val="en-US"/>
        </w:rPr>
        <w:t>LATS2</w:t>
      </w:r>
      <w:r w:rsidRPr="00F4421C">
        <w:rPr>
          <w:lang w:val="en-US"/>
        </w:rPr>
        <w:t xml:space="preserve">, </w:t>
      </w:r>
      <w:r>
        <w:rPr>
          <w:lang w:val="en-US"/>
        </w:rPr>
        <w:t>hsa-miR-363-3p</w:t>
      </w:r>
      <w:r w:rsidRPr="00F4421C">
        <w:rPr>
          <w:lang w:val="en-US"/>
        </w:rPr>
        <w:t>-</w:t>
      </w:r>
      <w:r w:rsidRPr="00F4421C">
        <w:rPr>
          <w:i/>
          <w:lang w:val="en-US"/>
        </w:rPr>
        <w:t>PTEN</w:t>
      </w:r>
      <w:r w:rsidRPr="00F4421C">
        <w:rPr>
          <w:lang w:val="en-US"/>
        </w:rPr>
        <w:t>, miR-20b-</w:t>
      </w:r>
      <w:r w:rsidRPr="00F4421C">
        <w:rPr>
          <w:i/>
          <w:lang w:val="en-US"/>
        </w:rPr>
        <w:t>PTEN</w:t>
      </w:r>
      <w:r>
        <w:rPr>
          <w:lang w:val="en-US"/>
        </w:rPr>
        <w:t xml:space="preserve">, </w:t>
      </w:r>
      <w:r w:rsidRPr="00F4421C">
        <w:rPr>
          <w:lang w:val="en-US"/>
        </w:rPr>
        <w:t>miR-20b-</w:t>
      </w:r>
      <w:r w:rsidRPr="00F4421C">
        <w:rPr>
          <w:i/>
          <w:lang w:val="en-US"/>
        </w:rPr>
        <w:t>SOS1</w:t>
      </w:r>
      <w:r>
        <w:rPr>
          <w:lang w:val="en-US"/>
        </w:rPr>
        <w:t>,</w:t>
      </w:r>
      <w:r w:rsidRPr="00F4421C">
        <w:rPr>
          <w:lang w:val="en-US"/>
        </w:rPr>
        <w:t xml:space="preserve"> </w:t>
      </w:r>
      <w:r>
        <w:rPr>
          <w:lang w:val="en-US"/>
        </w:rPr>
        <w:t>hsa-miR-363-3p</w:t>
      </w:r>
      <w:r w:rsidRPr="00F4421C">
        <w:rPr>
          <w:lang w:val="en-US"/>
        </w:rPr>
        <w:t>-</w:t>
      </w:r>
      <w:r w:rsidRPr="00F4421C">
        <w:rPr>
          <w:i/>
          <w:lang w:val="en-US"/>
        </w:rPr>
        <w:t>FBXW7</w:t>
      </w:r>
      <w:r w:rsidRPr="00F4421C">
        <w:rPr>
          <w:lang w:val="en-US"/>
        </w:rPr>
        <w:t xml:space="preserve">, </w:t>
      </w:r>
      <w:r>
        <w:rPr>
          <w:lang w:val="en-US"/>
        </w:rPr>
        <w:t>hsa-miR-363-3p</w:t>
      </w:r>
      <w:r w:rsidRPr="00F4421C">
        <w:rPr>
          <w:lang w:val="en-US"/>
        </w:rPr>
        <w:t>-</w:t>
      </w:r>
      <w:r w:rsidRPr="00F4421C">
        <w:rPr>
          <w:i/>
          <w:lang w:val="en-US"/>
        </w:rPr>
        <w:t>NOX4</w:t>
      </w:r>
      <w:r>
        <w:rPr>
          <w:lang w:val="en-US"/>
        </w:rPr>
        <w:t xml:space="preserve">, </w:t>
      </w:r>
      <w:r w:rsidRPr="00F4421C">
        <w:rPr>
          <w:lang w:val="en-US"/>
        </w:rPr>
        <w:t xml:space="preserve">and </w:t>
      </w:r>
      <w:r>
        <w:rPr>
          <w:lang w:val="en-US"/>
        </w:rPr>
        <w:t>hsa-miR-363-3p</w:t>
      </w:r>
      <w:r w:rsidRPr="00F4421C">
        <w:rPr>
          <w:lang w:val="en-US"/>
        </w:rPr>
        <w:t>-</w:t>
      </w:r>
      <w:r w:rsidRPr="00F4421C">
        <w:rPr>
          <w:i/>
          <w:lang w:val="en-US"/>
        </w:rPr>
        <w:t>NSMAF</w:t>
      </w:r>
      <w:r>
        <w:rPr>
          <w:i/>
          <w:lang w:val="en-US"/>
        </w:rPr>
        <w:t xml:space="preserve">. </w:t>
      </w:r>
      <w:r w:rsidRPr="00330B96">
        <w:rPr>
          <w:lang w:val="en-US"/>
        </w:rPr>
        <w:t xml:space="preserve">Most of </w:t>
      </w:r>
      <w:r>
        <w:rPr>
          <w:lang w:val="en-US"/>
        </w:rPr>
        <w:t xml:space="preserve">these </w:t>
      </w:r>
      <w:r w:rsidRPr="002F56BA">
        <w:rPr>
          <w:lang w:val="en-US"/>
        </w:rPr>
        <w:t>interactions</w:t>
      </w:r>
      <w:r>
        <w:rPr>
          <w:lang w:val="en-US"/>
        </w:rPr>
        <w:t>,</w:t>
      </w:r>
      <w:r w:rsidRPr="002F56BA">
        <w:rPr>
          <w:lang w:val="en-US"/>
        </w:rPr>
        <w:t xml:space="preserve"> which we </w:t>
      </w:r>
      <w:r>
        <w:rPr>
          <w:lang w:val="en-US"/>
        </w:rPr>
        <w:t xml:space="preserve">here </w:t>
      </w:r>
      <w:r w:rsidRPr="002F56BA">
        <w:rPr>
          <w:lang w:val="en-US"/>
        </w:rPr>
        <w:t>demonstrated</w:t>
      </w:r>
      <w:r>
        <w:rPr>
          <w:lang w:val="en-US"/>
        </w:rPr>
        <w:t>,</w:t>
      </w:r>
      <w:r w:rsidRPr="002F56BA">
        <w:rPr>
          <w:lang w:val="en-US"/>
        </w:rPr>
        <w:t xml:space="preserve"> have not been </w:t>
      </w:r>
      <w:r>
        <w:rPr>
          <w:lang w:val="en-US"/>
        </w:rPr>
        <w:t xml:space="preserve">annotated in databases of </w:t>
      </w:r>
      <w:r w:rsidRPr="002F56BA">
        <w:rPr>
          <w:lang w:val="en-US"/>
        </w:rPr>
        <w:t>validated</w:t>
      </w:r>
      <w:r>
        <w:rPr>
          <w:lang w:val="en-US"/>
        </w:rPr>
        <w:t xml:space="preserve"> interactions</w:t>
      </w:r>
      <w:r>
        <w:rPr>
          <w:i/>
          <w:lang w:val="en-US"/>
        </w:rPr>
        <w:t xml:space="preserve"> </w:t>
      </w:r>
      <w:r w:rsidRPr="00330B96">
        <w:rPr>
          <w:lang w:val="en-US"/>
        </w:rPr>
        <w:t>thus far</w:t>
      </w:r>
      <w:r>
        <w:rPr>
          <w:i/>
          <w:lang w:val="en-US"/>
        </w:rPr>
        <w:t xml:space="preserve"> </w:t>
      </w:r>
      <w:r>
        <w:rPr>
          <w:lang w:val="en-US"/>
        </w:rPr>
        <w:t xml:space="preserve">[Supplementary Table </w:t>
      </w:r>
      <w:r w:rsidR="002C2B82">
        <w:rPr>
          <w:lang w:val="en-US"/>
        </w:rPr>
        <w:t>4</w:t>
      </w:r>
      <w:r>
        <w:rPr>
          <w:lang w:val="en-US"/>
        </w:rPr>
        <w:t>]</w:t>
      </w:r>
      <w:r w:rsidRPr="00F4421C">
        <w:rPr>
          <w:lang w:val="en-US"/>
        </w:rPr>
        <w:t xml:space="preserve">. </w:t>
      </w:r>
    </w:p>
    <w:p w14:paraId="77125B83" w14:textId="77777777" w:rsidR="00AC0F7C" w:rsidRPr="002C2B82" w:rsidRDefault="00AC0F7C" w:rsidP="00AC0F7C">
      <w:pPr>
        <w:rPr>
          <w:lang w:val="en-US"/>
        </w:rPr>
      </w:pPr>
    </w:p>
    <w:sectPr w:rsidR="00AC0F7C" w:rsidRPr="002C2B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F7C"/>
    <w:rsid w:val="000B7C86"/>
    <w:rsid w:val="000E655C"/>
    <w:rsid w:val="00234BA6"/>
    <w:rsid w:val="002C2B82"/>
    <w:rsid w:val="004C727F"/>
    <w:rsid w:val="00753CF8"/>
    <w:rsid w:val="007D50FF"/>
    <w:rsid w:val="009400A9"/>
    <w:rsid w:val="00A603CE"/>
    <w:rsid w:val="00AC0F7C"/>
    <w:rsid w:val="00AC1BD5"/>
    <w:rsid w:val="00CF3D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C464C"/>
  <w15:docId w15:val="{155B32D6-A13A-4F91-BEBD-3C0B2BD1E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0F7C"/>
    <w:pPr>
      <w:spacing w:after="200" w:line="276" w:lineRule="auto"/>
    </w:pPr>
  </w:style>
  <w:style w:type="paragraph" w:styleId="Nagwek1">
    <w:name w:val="heading 1"/>
    <w:basedOn w:val="Normalny"/>
    <w:next w:val="Normalny"/>
    <w:link w:val="Nagwek1Znak"/>
    <w:uiPriority w:val="9"/>
    <w:qFormat/>
    <w:rsid w:val="00AC0F7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AC0F7C"/>
    <w:pPr>
      <w:keepNext/>
      <w:keepLines/>
      <w:spacing w:before="200" w:after="0"/>
      <w:outlineLvl w:val="1"/>
    </w:pPr>
    <w:rPr>
      <w:rFonts w:asciiTheme="majorHAnsi" w:eastAsiaTheme="majorEastAsia" w:hAnsiTheme="majorHAnsi" w:cstheme="majorBidi"/>
      <w:b/>
      <w:bCs/>
      <w:color w:val="5B9BD5" w:themeColor="accent1"/>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0F7C"/>
    <w:rPr>
      <w:rFonts w:asciiTheme="majorHAnsi" w:eastAsiaTheme="majorEastAsia" w:hAnsiTheme="majorHAnsi" w:cstheme="majorBidi"/>
      <w:b/>
      <w:bCs/>
      <w:color w:val="2E74B5" w:themeColor="accent1" w:themeShade="BF"/>
      <w:sz w:val="28"/>
      <w:szCs w:val="28"/>
    </w:rPr>
  </w:style>
  <w:style w:type="paragraph" w:styleId="Bezodstpw">
    <w:name w:val="No Spacing"/>
    <w:uiPriority w:val="1"/>
    <w:qFormat/>
    <w:rsid w:val="00AC0F7C"/>
    <w:pPr>
      <w:spacing w:after="0" w:line="240" w:lineRule="auto"/>
    </w:pPr>
  </w:style>
  <w:style w:type="character" w:customStyle="1" w:styleId="Nagwek2Znak">
    <w:name w:val="Nagłówek 2 Znak"/>
    <w:basedOn w:val="Domylnaczcionkaakapitu"/>
    <w:link w:val="Nagwek2"/>
    <w:uiPriority w:val="9"/>
    <w:rsid w:val="00AC0F7C"/>
    <w:rPr>
      <w:rFonts w:asciiTheme="majorHAnsi" w:eastAsiaTheme="majorEastAsia" w:hAnsiTheme="majorHAnsi" w:cstheme="majorBidi"/>
      <w:b/>
      <w:bCs/>
      <w:color w:val="5B9BD5" w:themeColor="accent1"/>
      <w:szCs w:val="26"/>
    </w:rPr>
  </w:style>
  <w:style w:type="character" w:styleId="Odwoaniedokomentarza">
    <w:name w:val="annotation reference"/>
    <w:basedOn w:val="Domylnaczcionkaakapitu"/>
    <w:uiPriority w:val="99"/>
    <w:semiHidden/>
    <w:unhideWhenUsed/>
    <w:rsid w:val="00AC0F7C"/>
    <w:rPr>
      <w:sz w:val="16"/>
      <w:szCs w:val="16"/>
    </w:rPr>
  </w:style>
  <w:style w:type="paragraph" w:styleId="Tekstkomentarza">
    <w:name w:val="annotation text"/>
    <w:basedOn w:val="Normalny"/>
    <w:link w:val="TekstkomentarzaZnak"/>
    <w:uiPriority w:val="99"/>
    <w:unhideWhenUsed/>
    <w:rsid w:val="00AC0F7C"/>
    <w:pPr>
      <w:spacing w:line="240" w:lineRule="auto"/>
    </w:pPr>
    <w:rPr>
      <w:sz w:val="20"/>
      <w:szCs w:val="20"/>
    </w:rPr>
  </w:style>
  <w:style w:type="character" w:customStyle="1" w:styleId="TekstkomentarzaZnak">
    <w:name w:val="Tekst komentarza Znak"/>
    <w:basedOn w:val="Domylnaczcionkaakapitu"/>
    <w:link w:val="Tekstkomentarza"/>
    <w:uiPriority w:val="99"/>
    <w:rsid w:val="00AC0F7C"/>
    <w:rPr>
      <w:sz w:val="20"/>
      <w:szCs w:val="20"/>
    </w:rPr>
  </w:style>
  <w:style w:type="paragraph" w:styleId="Tekstdymka">
    <w:name w:val="Balloon Text"/>
    <w:basedOn w:val="Normalny"/>
    <w:link w:val="TekstdymkaZnak"/>
    <w:uiPriority w:val="99"/>
    <w:semiHidden/>
    <w:unhideWhenUsed/>
    <w:rsid w:val="00AC0F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0F7C"/>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C727F"/>
    <w:rPr>
      <w:b/>
      <w:bCs/>
    </w:rPr>
  </w:style>
  <w:style w:type="character" w:customStyle="1" w:styleId="TematkomentarzaZnak">
    <w:name w:val="Temat komentarza Znak"/>
    <w:basedOn w:val="TekstkomentarzaZnak"/>
    <w:link w:val="Tematkomentarza"/>
    <w:uiPriority w:val="99"/>
    <w:semiHidden/>
    <w:rsid w:val="004C727F"/>
    <w:rPr>
      <w:b/>
      <w:bCs/>
      <w:sz w:val="20"/>
      <w:szCs w:val="20"/>
    </w:rPr>
  </w:style>
  <w:style w:type="paragraph" w:customStyle="1" w:styleId="MDPI13authornames">
    <w:name w:val="MDPI_1.3_authornames"/>
    <w:basedOn w:val="Normalny"/>
    <w:next w:val="Normalny"/>
    <w:qFormat/>
    <w:rsid w:val="00A603CE"/>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90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1516</Words>
  <Characters>9101</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Dawidowsk</dc:creator>
  <cp:keywords/>
  <dc:description/>
  <cp:lastModifiedBy>Małgorzata Dawidowsk</cp:lastModifiedBy>
  <cp:revision>7</cp:revision>
  <dcterms:created xsi:type="dcterms:W3CDTF">2020-02-19T09:57:00Z</dcterms:created>
  <dcterms:modified xsi:type="dcterms:W3CDTF">2020-03-14T21:51:00Z</dcterms:modified>
</cp:coreProperties>
</file>