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ClinicalTrials.gov Search Results 04/07/2020</w:t>
      </w:r>
    </w:p>
    <w:p>
      <w:pPr>
        <w:pStyle w:val="BodyText"/>
        <w:spacing w:before="1"/>
        <w:rPr>
          <w:b/>
          <w:sz w:val="21"/>
        </w:r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4068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735" w:firstLine="0"/>
              <w:rPr>
                <w:sz w:val="18"/>
              </w:rPr>
            </w:pPr>
            <w:hyperlink r:id="rId6">
              <w:r>
                <w:rPr>
                  <w:color w:val="0000FF"/>
                  <w:sz w:val="18"/>
                  <w:u w:val="single" w:color="0000FF"/>
                </w:rPr>
                <w:t>A Phase I/II Study of Oblimersen Plus Cisplatin and</w:t>
              </w:r>
            </w:hyperlink>
            <w:r>
              <w:rPr>
                <w:color w:val="0000FF"/>
                <w:sz w:val="18"/>
              </w:rPr>
              <w:t> </w:t>
            </w:r>
            <w:hyperlink r:id="rId6">
              <w:r>
                <w:rPr>
                  <w:color w:val="0000FF"/>
                  <w:sz w:val="18"/>
                  <w:u w:val="single" w:color="0000FF"/>
                </w:rPr>
                <w:t>Fluorouracil in Gastric &amp; Esophageal Junction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Adenocarcinoma of the Esophagus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9" w:lineRule="auto" w:before="124" w:after="0"/>
              <w:ind w:left="221" w:right="158" w:hanging="80"/>
              <w:jc w:val="left"/>
              <w:rPr>
                <w:sz w:val="18"/>
              </w:rPr>
            </w:pPr>
            <w:r>
              <w:rPr>
                <w:sz w:val="18"/>
              </w:rPr>
              <w:t>Adenocarcinoma of the Gastroesophageal Junction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Diffuse Adenocarcinoma of the Stomach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Intestinal Adenocarcinoma of the Stomach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Mixed Adenocarcinoma of the Stomach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Esophageal Cancer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Gastric Cancer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9" w:lineRule="auto" w:before="125" w:after="0"/>
              <w:ind w:left="221" w:right="889" w:hanging="80"/>
              <w:jc w:val="left"/>
              <w:rPr>
                <w:sz w:val="18"/>
              </w:rPr>
            </w:pPr>
            <w:r>
              <w:rPr>
                <w:sz w:val="18"/>
              </w:rPr>
              <w:t>Squamous Cell Carcinoma of </w:t>
            </w:r>
            <w:r>
              <w:rPr>
                <w:spacing w:val="-6"/>
                <w:sz w:val="18"/>
              </w:rPr>
              <w:t>the </w:t>
            </w:r>
            <w:r>
              <w:rPr>
                <w:sz w:val="18"/>
              </w:rPr>
              <w:t>Esophagus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 Esophageal Cancer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IIIA Gastric Cancer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4 more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cisplatin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fluorouracil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Montefiore Medical Center, Bronx, New York, United States</w:t>
            </w:r>
          </w:p>
        </w:tc>
      </w:tr>
      <w:tr>
        <w:trPr>
          <w:trHeight w:val="986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7"/>
              <w:ind w:left="143" w:right="195" w:firstLine="0"/>
              <w:rPr>
                <w:sz w:val="18"/>
              </w:rPr>
            </w:pPr>
            <w:hyperlink r:id="rId7">
              <w:r>
                <w:rPr>
                  <w:color w:val="0000FF"/>
                  <w:sz w:val="18"/>
                  <w:u w:val="single" w:color="0000FF"/>
                </w:rPr>
                <w:t>Pharmacokinetic Study of Genasense in Subjects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7">
              <w:r>
                <w:rPr>
                  <w:color w:val="0000FF"/>
                  <w:sz w:val="18"/>
                  <w:u w:val="single" w:color="0000FF"/>
                </w:rPr>
                <w:t>Normal Renal Function, Mildly Impaired Renal Function, and</w:t>
              </w:r>
            </w:hyperlink>
            <w:r>
              <w:rPr>
                <w:color w:val="0000FF"/>
                <w:sz w:val="18"/>
              </w:rPr>
              <w:t> </w:t>
            </w:r>
            <w:hyperlink r:id="rId7">
              <w:r>
                <w:rPr>
                  <w:color w:val="0000FF"/>
                  <w:sz w:val="18"/>
                  <w:u w:val="single" w:color="0000FF"/>
                </w:rPr>
                <w:t>Moderately Impaired Renal Function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Normal Renal Function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Mildly Impaired Renal Function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Moderately Impaired Renal Function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Genasense (oblimersen, G3139)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21" w:val="left" w:leader="none"/>
              </w:tabs>
              <w:spacing w:line="249" w:lineRule="auto" w:before="37" w:after="0"/>
              <w:ind w:left="220" w:right="587" w:hanging="80"/>
              <w:jc w:val="left"/>
              <w:rPr>
                <w:sz w:val="18"/>
              </w:rPr>
            </w:pPr>
            <w:r>
              <w:rPr>
                <w:sz w:val="18"/>
              </w:rPr>
              <w:t>DaVita Clinical Research, Minneapolis, Minnesota,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1985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55" w:firstLine="0"/>
              <w:rPr>
                <w:sz w:val="18"/>
              </w:rPr>
            </w:pPr>
            <w:hyperlink r:id="rId8">
              <w:r>
                <w:rPr>
                  <w:color w:val="0000FF"/>
                  <w:sz w:val="18"/>
                  <w:u w:val="single" w:color="0000FF"/>
                </w:rPr>
                <w:t>Rituximab and Oblimersen in Treating Patients With Stage II,</w:t>
              </w:r>
            </w:hyperlink>
            <w:r>
              <w:rPr>
                <w:color w:val="0000FF"/>
                <w:sz w:val="18"/>
              </w:rPr>
              <w:t> </w:t>
            </w:r>
            <w:hyperlink r:id="rId8">
              <w:r>
                <w:rPr>
                  <w:color w:val="0000FF"/>
                  <w:sz w:val="18"/>
                  <w:u w:val="single" w:color="0000FF"/>
                </w:rPr>
                <w:t>Stage III, or Stage IV Follicular Non-Hodgkin's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 Grade 1 Follicular Lymphoma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 Grade 2 Follicular Lymphoma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 Grade 3 Follicular Lymphoma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Grade 1 Follicular Lymphoma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Grade 2 Follicular Lymphoma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Grade 3 Follicular 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Cancer and Leukemia Group B, Chicago, Illinois, United States</w:t>
            </w:r>
          </w:p>
        </w:tc>
      </w:tr>
      <w:tr>
        <w:trPr>
          <w:trHeight w:val="876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355" w:firstLine="0"/>
              <w:rPr>
                <w:sz w:val="18"/>
              </w:rPr>
            </w:pPr>
            <w:hyperlink r:id="rId9">
              <w:r>
                <w:rPr>
                  <w:color w:val="0000FF"/>
                  <w:sz w:val="18"/>
                  <w:u w:val="single" w:color="0000FF"/>
                </w:rPr>
                <w:t>Pharmacokinetics of G3139 in Subjects With Advanced</w:t>
              </w:r>
            </w:hyperlink>
            <w:r>
              <w:rPr>
                <w:color w:val="0000FF"/>
                <w:sz w:val="18"/>
              </w:rPr>
              <w:t> </w:t>
            </w:r>
            <w:hyperlink r:id="rId9">
              <w:r>
                <w:rPr>
                  <w:color w:val="0000FF"/>
                  <w:sz w:val="18"/>
                  <w:u w:val="single" w:color="0000FF"/>
                </w:rPr>
                <w:t>Melanoma, Including Those With Normal Hepatic Function</w:t>
              </w:r>
            </w:hyperlink>
            <w:r>
              <w:rPr>
                <w:color w:val="0000FF"/>
                <w:sz w:val="18"/>
              </w:rPr>
              <w:t> </w:t>
            </w:r>
            <w:hyperlink r:id="rId9">
              <w:r>
                <w:rPr>
                  <w:color w:val="0000FF"/>
                  <w:sz w:val="18"/>
                  <w:u w:val="single" w:color="0000FF"/>
                </w:rPr>
                <w:t>and Those With Moderate Hepatic Impairment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22" w:val="left" w:leader="none"/>
              </w:tabs>
              <w:spacing w:line="249" w:lineRule="auto" w:before="42" w:after="0"/>
              <w:ind w:left="221" w:right="648" w:hanging="80"/>
              <w:jc w:val="left"/>
              <w:rPr>
                <w:sz w:val="18"/>
              </w:rPr>
            </w:pPr>
            <w:r>
              <w:rPr>
                <w:sz w:val="18"/>
              </w:rPr>
              <w:t>Advanced Melanoma and Normal </w:t>
            </w:r>
            <w:r>
              <w:rPr>
                <w:spacing w:val="-8"/>
                <w:sz w:val="18"/>
              </w:rPr>
              <w:t>or </w:t>
            </w:r>
            <w:r>
              <w:rPr>
                <w:sz w:val="18"/>
              </w:rPr>
              <w:t>Impaired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Hepatic Function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17" w:val="left" w:leader="none"/>
              </w:tabs>
              <w:spacing w:line="249" w:lineRule="auto" w:before="42" w:after="0"/>
              <w:ind w:left="216" w:right="361" w:hanging="80"/>
              <w:jc w:val="left"/>
              <w:rPr>
                <w:sz w:val="18"/>
              </w:rPr>
            </w:pPr>
            <w:r>
              <w:rPr>
                <w:sz w:val="18"/>
              </w:rPr>
              <w:t>Drug: Genasense® (G3139, oblimersen sodium)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</w:tr>
      <w:tr>
        <w:trPr>
          <w:trHeight w:val="3506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76" w:firstLine="0"/>
              <w:rPr>
                <w:sz w:val="18"/>
              </w:rPr>
            </w:pPr>
            <w:hyperlink r:id="rId10">
              <w:r>
                <w:rPr>
                  <w:color w:val="0000FF"/>
                  <w:sz w:val="18"/>
                  <w:u w:val="single" w:color="0000FF"/>
                </w:rPr>
                <w:t>Oblimersen in Treating Patients With Relapsed or Refractory</w:t>
              </w:r>
            </w:hyperlink>
            <w:r>
              <w:rPr>
                <w:color w:val="0000FF"/>
                <w:sz w:val="18"/>
              </w:rPr>
              <w:t> </w:t>
            </w:r>
            <w:hyperlink r:id="rId10">
              <w:r>
                <w:rPr>
                  <w:color w:val="0000FF"/>
                  <w:sz w:val="18"/>
                  <w:u w:val="single" w:color="0000FF"/>
                </w:rPr>
                <w:t>Waldenstrom's Macroglobulinemia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Waldenström Macroglobulinemia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 in Arizona, Scottsdale, Arizona,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9" w:lineRule="auto" w:before="124" w:after="0"/>
              <w:ind w:left="220" w:right="267" w:hanging="80"/>
              <w:jc w:val="left"/>
              <w:rPr>
                <w:sz w:val="18"/>
              </w:rPr>
            </w:pPr>
            <w:r>
              <w:rPr>
                <w:sz w:val="18"/>
              </w:rPr>
              <w:t>Howard University Hospital, Washington, District of Columbia,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 in Florida, Jacksonville, Florida,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9" w:lineRule="auto" w:before="125" w:after="0"/>
              <w:ind w:left="220" w:right="17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Maryland Greenebaum Cancer Center, Baltimore, Maryland,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Johns Hopkins University, Baltimore, Maryland,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9" w:lineRule="auto" w:before="125" w:after="0"/>
              <w:ind w:left="220" w:right="497" w:hanging="80"/>
              <w:jc w:val="left"/>
              <w:rPr>
                <w:sz w:val="18"/>
              </w:rPr>
            </w:pPr>
            <w:r>
              <w:rPr>
                <w:sz w:val="18"/>
              </w:rPr>
              <w:t>Barbara Ann Karmanos Cancer Institute, Detroit, Michigan,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Mayo Clinic, Rochester, Minnesota, United States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21" w:val="left" w:leader="none"/>
              </w:tabs>
              <w:spacing w:line="249" w:lineRule="auto" w:before="124" w:after="0"/>
              <w:ind w:left="220" w:right="86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Wisconsin Hospital and Clinics, Madison, Wisconsin, United States</w:t>
            </w:r>
          </w:p>
        </w:tc>
      </w:tr>
      <w:tr>
        <w:trPr>
          <w:trHeight w:val="540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7"/>
              <w:ind w:left="143" w:right="115" w:firstLine="0"/>
              <w:rPr>
                <w:sz w:val="18"/>
              </w:rPr>
            </w:pPr>
            <w:hyperlink r:id="rId11">
              <w:r>
                <w:rPr>
                  <w:color w:val="0000FF"/>
                  <w:sz w:val="18"/>
                  <w:u w:val="single" w:color="0000FF"/>
                </w:rPr>
                <w:t>Genasense as a 2-hour Intravenous Infusion in Subjects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11">
              <w:r>
                <w:rPr>
                  <w:color w:val="0000FF"/>
                  <w:sz w:val="18"/>
                  <w:u w:val="single" w:color="0000FF"/>
                </w:rPr>
                <w:t>Solid Tumors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Solid Tumors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Oblimersen (Genasense)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21" w:val="left" w:leader="none"/>
              </w:tabs>
              <w:spacing w:line="249" w:lineRule="auto" w:before="37" w:after="0"/>
              <w:ind w:left="220" w:right="136" w:hanging="80"/>
              <w:jc w:val="left"/>
              <w:rPr>
                <w:sz w:val="18"/>
              </w:rPr>
            </w:pPr>
            <w:r>
              <w:rPr>
                <w:sz w:val="18"/>
              </w:rPr>
              <w:t>South Texas Accelerated Research Therapeutics, San Antonio, Texas, United States</w:t>
            </w:r>
          </w:p>
        </w:tc>
      </w:tr>
    </w:tbl>
    <w:p>
      <w:pPr>
        <w:spacing w:after="0" w:line="249" w:lineRule="auto"/>
        <w:jc w:val="left"/>
        <w:rPr>
          <w:sz w:val="18"/>
        </w:rPr>
        <w:sectPr>
          <w:footerReference w:type="default" r:id="rId5"/>
          <w:type w:val="continuous"/>
          <w:pgSz w:w="24480" w:h="15840" w:orient="landscape"/>
          <w:pgMar w:footer="376" w:top="340" w:bottom="560" w:left="320" w:right="300"/>
          <w:pgNumType w:start="1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1654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65" w:firstLine="0"/>
              <w:rPr>
                <w:sz w:val="18"/>
              </w:rPr>
            </w:pPr>
            <w:hyperlink r:id="rId12">
              <w:r>
                <w:rPr>
                  <w:color w:val="0000FF"/>
                  <w:sz w:val="18"/>
                  <w:u w:val="single" w:color="0000FF"/>
                </w:rPr>
                <w:t>Combination Chemotherapy Plus Oblimersen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12">
              <w:r>
                <w:rPr>
                  <w:color w:val="0000FF"/>
                  <w:sz w:val="18"/>
                  <w:u w:val="single" w:color="0000FF"/>
                </w:rPr>
                <w:t>Patients With Previously Untreated Extensive-Stage Smal</w:t>
              </w:r>
              <w:r>
                <w:rPr>
                  <w:color w:val="0000FF"/>
                  <w:sz w:val="18"/>
                </w:rPr>
                <w:t>l</w:t>
              </w:r>
            </w:hyperlink>
            <w:r>
              <w:rPr>
                <w:color w:val="0000FF"/>
                <w:sz w:val="18"/>
              </w:rPr>
              <w:t> </w:t>
            </w:r>
            <w:hyperlink r:id="rId12">
              <w:r>
                <w:rPr>
                  <w:color w:val="0000FF"/>
                  <w:sz w:val="18"/>
                  <w:u w:val="single" w:color="0000FF"/>
                </w:rPr>
                <w:t>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Extensive Stage Small Cell Lung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etoposide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21" w:val="left" w:leader="none"/>
              </w:tabs>
              <w:spacing w:line="249" w:lineRule="auto" w:before="42" w:after="0"/>
              <w:ind w:left="220" w:right="14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Chicago Comprehensive Cancer Center, </w:t>
            </w:r>
            <w:r>
              <w:rPr>
                <w:spacing w:val="-3"/>
                <w:sz w:val="18"/>
              </w:rPr>
              <w:t>Chicago, </w:t>
            </w:r>
            <w:r>
              <w:rPr>
                <w:sz w:val="18"/>
              </w:rPr>
              <w:t>Illinois, United States</w:t>
            </w:r>
          </w:p>
        </w:tc>
      </w:tr>
      <w:tr>
        <w:trPr>
          <w:trHeight w:val="2734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hyperlink r:id="rId13">
              <w:r>
                <w:rPr>
                  <w:color w:val="0000FF"/>
                  <w:sz w:val="18"/>
                  <w:u w:val="single" w:color="0000FF"/>
                </w:rPr>
                <w:t>Oblimersen in Treating Patients With Merkel Cell Carcinoma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22" w:val="left" w:leader="none"/>
              </w:tabs>
              <w:spacing w:line="249" w:lineRule="auto" w:before="42" w:after="0"/>
              <w:ind w:left="221" w:right="288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Neuroendocrine Carcinoma </w:t>
            </w:r>
            <w:r>
              <w:rPr>
                <w:spacing w:val="-8"/>
                <w:sz w:val="18"/>
              </w:rPr>
              <w:t>of </w:t>
            </w:r>
            <w:r>
              <w:rPr>
                <w:sz w:val="18"/>
              </w:rPr>
              <w:t>the Skin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222" w:val="left" w:leader="none"/>
              </w:tabs>
              <w:spacing w:line="249" w:lineRule="auto" w:before="116" w:after="0"/>
              <w:ind w:left="221" w:right="208" w:hanging="80"/>
              <w:jc w:val="left"/>
              <w:rPr>
                <w:sz w:val="18"/>
              </w:rPr>
            </w:pPr>
            <w:r>
              <w:rPr>
                <w:sz w:val="18"/>
              </w:rPr>
              <w:t>Stage I Neuroendocrine Carcinoma of </w:t>
            </w:r>
            <w:r>
              <w:rPr>
                <w:spacing w:val="-6"/>
                <w:sz w:val="18"/>
              </w:rPr>
              <w:t>the </w:t>
            </w:r>
            <w:r>
              <w:rPr>
                <w:sz w:val="18"/>
              </w:rPr>
              <w:t>Skin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222" w:val="left" w:leader="none"/>
              </w:tabs>
              <w:spacing w:line="249" w:lineRule="auto" w:before="117" w:after="0"/>
              <w:ind w:left="221" w:right="158" w:hanging="80"/>
              <w:jc w:val="left"/>
              <w:rPr>
                <w:sz w:val="18"/>
              </w:rPr>
            </w:pPr>
            <w:r>
              <w:rPr>
                <w:sz w:val="18"/>
              </w:rPr>
              <w:t>Stage II Neuroendocrine Carcinoma of </w:t>
            </w:r>
            <w:r>
              <w:rPr>
                <w:spacing w:val="-6"/>
                <w:sz w:val="18"/>
              </w:rPr>
              <w:t>the </w:t>
            </w:r>
            <w:r>
              <w:rPr>
                <w:sz w:val="18"/>
              </w:rPr>
              <w:t>Skin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222" w:val="left" w:leader="none"/>
              </w:tabs>
              <w:spacing w:line="249" w:lineRule="auto" w:before="117" w:after="0"/>
              <w:ind w:left="221" w:right="108" w:hanging="80"/>
              <w:jc w:val="left"/>
              <w:rPr>
                <w:sz w:val="18"/>
              </w:rPr>
            </w:pPr>
            <w:r>
              <w:rPr>
                <w:sz w:val="18"/>
              </w:rPr>
              <w:t>Stage III Neuroendocrine Carcinoma of </w:t>
            </w:r>
            <w:r>
              <w:rPr>
                <w:spacing w:val="-6"/>
                <w:sz w:val="18"/>
              </w:rPr>
              <w:t>the </w:t>
            </w:r>
            <w:r>
              <w:rPr>
                <w:sz w:val="18"/>
              </w:rPr>
              <w:t>Skin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222" w:val="left" w:leader="none"/>
              </w:tabs>
              <w:spacing w:line="249" w:lineRule="auto" w:before="116" w:after="0"/>
              <w:ind w:left="221" w:right="88" w:hanging="80"/>
              <w:jc w:val="left"/>
              <w:rPr>
                <w:sz w:val="18"/>
              </w:rPr>
            </w:pPr>
            <w:r>
              <w:rPr>
                <w:sz w:val="18"/>
              </w:rPr>
              <w:t>Stage IV Neuroendocrine Carcinoma of </w:t>
            </w:r>
            <w:r>
              <w:rPr>
                <w:spacing w:val="-6"/>
                <w:sz w:val="18"/>
              </w:rPr>
              <w:t>the </w:t>
            </w:r>
            <w:r>
              <w:rPr>
                <w:sz w:val="18"/>
              </w:rPr>
              <w:t>Skin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21" w:val="left" w:leader="none"/>
              </w:tabs>
              <w:spacing w:line="249" w:lineRule="auto" w:before="42" w:after="0"/>
              <w:ind w:left="220" w:right="127" w:hanging="80"/>
              <w:jc w:val="left"/>
              <w:rPr>
                <w:sz w:val="18"/>
              </w:rPr>
            </w:pPr>
            <w:r>
              <w:rPr>
                <w:sz w:val="18"/>
              </w:rPr>
              <w:t>Memorial Sloan-Kettering Cancer Center, New York,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</w:tc>
      </w:tr>
      <w:tr>
        <w:trPr>
          <w:trHeight w:val="991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85" w:firstLine="0"/>
              <w:rPr>
                <w:sz w:val="18"/>
              </w:rPr>
            </w:pPr>
            <w:hyperlink r:id="rId14">
              <w:r>
                <w:rPr>
                  <w:color w:val="0000FF"/>
                  <w:sz w:val="18"/>
                  <w:u w:val="single" w:color="0000FF"/>
                </w:rPr>
                <w:t>Genasense, Carboplatin, Paclitaxel (GCP) Combination in</w:t>
              </w:r>
            </w:hyperlink>
            <w:r>
              <w:rPr>
                <w:color w:val="0000FF"/>
                <w:sz w:val="18"/>
              </w:rPr>
              <w:t> </w:t>
            </w:r>
            <w:hyperlink r:id="rId14">
              <w:r>
                <w:rPr>
                  <w:color w:val="0000FF"/>
                  <w:sz w:val="18"/>
                  <w:u w:val="single" w:color="0000FF"/>
                </w:rPr>
                <w:t>Uveal Melanoma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Melanoma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Genasense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Paclitaxel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21" w:val="left" w:leader="none"/>
              </w:tabs>
              <w:spacing w:line="249" w:lineRule="auto" w:before="42" w:after="0"/>
              <w:ind w:left="220" w:right="597" w:hanging="80"/>
              <w:jc w:val="left"/>
              <w:rPr>
                <w:sz w:val="18"/>
              </w:rPr>
            </w:pPr>
            <w:r>
              <w:rPr>
                <w:sz w:val="18"/>
              </w:rPr>
              <w:t>UT MD Anderson Cancer Center, Houston, Texas,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5153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666" w:firstLine="0"/>
              <w:rPr>
                <w:sz w:val="18"/>
              </w:rPr>
            </w:pPr>
            <w:hyperlink r:id="rId15">
              <w:r>
                <w:rPr>
                  <w:color w:val="0000FF"/>
                  <w:sz w:val="18"/>
                  <w:u w:val="single" w:color="0000FF"/>
                </w:rPr>
                <w:t>Oblimersen and Gemcitabine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15">
              <w:r>
                <w:rPr>
                  <w:color w:val="0000FF"/>
                  <w:sz w:val="18"/>
                  <w:u w:val="single" w:color="0000FF"/>
                </w:rPr>
                <w:t>Advanced Solid Tumor or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9" w:lineRule="auto" w:before="42" w:after="0"/>
              <w:ind w:left="221" w:right="839" w:hanging="80"/>
              <w:jc w:val="left"/>
              <w:rPr>
                <w:sz w:val="18"/>
              </w:rPr>
            </w:pPr>
            <w:r>
              <w:rPr>
                <w:sz w:val="18"/>
              </w:rPr>
              <w:t>Extranodal Marginal Zone B-cell Lymphoma of Mucosa-associated Lymphoid Tissue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Nodal Marginal Zone B-cell 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Adult Burkitt 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9" w:lineRule="auto" w:before="124" w:after="0"/>
              <w:ind w:left="221" w:right="79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9" w:lineRule="auto" w:before="117" w:after="0"/>
              <w:ind w:left="221" w:right="77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Mixed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9" w:lineRule="auto" w:before="117" w:after="0"/>
              <w:ind w:left="221" w:right="9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Small Cleaved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Adult Hodgkin 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9" w:lineRule="auto" w:before="125" w:after="0"/>
              <w:ind w:left="221" w:right="198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Immunoblastic Large </w:t>
            </w:r>
            <w:r>
              <w:rPr>
                <w:spacing w:val="-4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Adult Lymphoblastic 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9" w:lineRule="auto" w:before="125" w:after="0"/>
              <w:ind w:left="221" w:right="90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T-cell Leukemia/ Lymphoma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24 more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gemcitabine hydrochloride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Stanford University, Stanford, California, United States</w:t>
            </w:r>
          </w:p>
        </w:tc>
      </w:tr>
      <w:tr>
        <w:trPr>
          <w:trHeight w:val="991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83" w:firstLine="0"/>
              <w:jc w:val="both"/>
              <w:rPr>
                <w:sz w:val="18"/>
              </w:rPr>
            </w:pPr>
            <w:hyperlink r:id="rId16">
              <w:r>
                <w:rPr>
                  <w:color w:val="0000FF"/>
                  <w:sz w:val="18"/>
                  <w:u w:val="single" w:color="0000FF"/>
                </w:rPr>
                <w:t>Oblimersen and Imatinib Mesylate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16">
              <w:r>
                <w:rPr>
                  <w:color w:val="0000FF"/>
                  <w:sz w:val="18"/>
                  <w:u w:val="single" w:color="0000FF"/>
                </w:rPr>
                <w:t>Advanced Gastrointestinal Stromal Tumors That Cannot Be</w:t>
              </w:r>
            </w:hyperlink>
            <w:r>
              <w:rPr>
                <w:color w:val="0000FF"/>
                <w:sz w:val="18"/>
              </w:rPr>
              <w:t> </w:t>
            </w:r>
            <w:hyperlink r:id="rId16">
              <w:r>
                <w:rPr>
                  <w:color w:val="0000FF"/>
                  <w:sz w:val="18"/>
                  <w:u w:val="single" w:color="0000FF"/>
                </w:rPr>
                <w:t>Removed By Surgery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Gastrointestinal Stromal Tumor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imatinib mesylate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 D Anderson Cancer Center, Houston, Texas, United States</w:t>
            </w:r>
          </w:p>
        </w:tc>
      </w:tr>
      <w:tr>
        <w:trPr>
          <w:trHeight w:val="1423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75" w:firstLine="0"/>
              <w:rPr>
                <w:sz w:val="18"/>
              </w:rPr>
            </w:pPr>
            <w:hyperlink r:id="rId17">
              <w:r>
                <w:rPr>
                  <w:color w:val="0000FF"/>
                  <w:sz w:val="18"/>
                  <w:u w:val="single" w:color="0000FF"/>
                </w:rPr>
                <w:t>Oblimersen and Imatinib Mesylate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17">
              <w:r>
                <w:rPr>
                  <w:color w:val="0000FF"/>
                  <w:sz w:val="18"/>
                  <w:u w:val="single" w:color="0000FF"/>
                </w:rPr>
                <w:t>Chronic Myelogenous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222" w:val="left" w:leader="none"/>
              </w:tabs>
              <w:spacing w:line="249" w:lineRule="auto" w:before="42" w:after="0"/>
              <w:ind w:left="221" w:right="419" w:hanging="80"/>
              <w:jc w:val="left"/>
              <w:rPr>
                <w:sz w:val="18"/>
              </w:rPr>
            </w:pPr>
            <w:r>
              <w:rPr>
                <w:sz w:val="18"/>
              </w:rPr>
              <w:t>Chronic Myelogenous Leukemia, </w:t>
            </w:r>
            <w:r>
              <w:rPr>
                <w:spacing w:val="-5"/>
                <w:sz w:val="18"/>
              </w:rPr>
              <w:t>BCR- </w:t>
            </w:r>
            <w:r>
              <w:rPr>
                <w:sz w:val="18"/>
              </w:rPr>
              <w:t>ABL1 Positive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2" w:val="left" w:leader="none"/>
              </w:tabs>
              <w:spacing w:line="249" w:lineRule="auto" w:before="116" w:after="0"/>
              <w:ind w:left="221" w:right="558" w:hanging="80"/>
              <w:jc w:val="left"/>
              <w:rPr>
                <w:sz w:val="18"/>
              </w:rPr>
            </w:pPr>
            <w:r>
              <w:rPr>
                <w:sz w:val="18"/>
              </w:rPr>
              <w:t>Chronic Phase Chronic Myelogenous Leukemia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Relapsing Chronic Myelogenous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imatinib mesylate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Cancer and Leukemia Group B, Chicago, Illinois, United States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1322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495" w:firstLine="0"/>
              <w:rPr>
                <w:sz w:val="18"/>
              </w:rPr>
            </w:pPr>
            <w:hyperlink r:id="rId18">
              <w:r>
                <w:rPr>
                  <w:color w:val="0000FF"/>
                  <w:sz w:val="18"/>
                  <w:u w:val="single" w:color="0000FF"/>
                </w:rPr>
                <w:t>Combination Chemotherapy Plus Oblimersen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18">
              <w:r>
                <w:rPr>
                  <w:color w:val="0000FF"/>
                  <w:sz w:val="18"/>
                  <w:u w:val="single" w:color="0000FF"/>
                </w:rPr>
                <w:t>Patients With Advanced Solid Tumors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22" w:val="left" w:leader="none"/>
              </w:tabs>
              <w:spacing w:line="249" w:lineRule="auto" w:before="42" w:after="0"/>
              <w:ind w:left="221" w:right="348" w:hanging="80"/>
              <w:jc w:val="left"/>
              <w:rPr>
                <w:sz w:val="18"/>
              </w:rPr>
            </w:pPr>
            <w:r>
              <w:rPr>
                <w:sz w:val="18"/>
              </w:rPr>
              <w:t>Unspecified Adult Solid Tumor, Protocol Specific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paclitaxel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221" w:val="left" w:leader="none"/>
              </w:tabs>
              <w:spacing w:line="249" w:lineRule="auto" w:before="42" w:after="0"/>
              <w:ind w:left="220" w:right="86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Wisconsin Hospital and Clinics, Madison, Wisconsin, United States</w:t>
            </w:r>
          </w:p>
        </w:tc>
      </w:tr>
      <w:tr>
        <w:trPr>
          <w:trHeight w:val="991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75" w:firstLine="0"/>
              <w:rPr>
                <w:sz w:val="18"/>
              </w:rPr>
            </w:pPr>
            <w:hyperlink r:id="rId19">
              <w:r>
                <w:rPr>
                  <w:color w:val="0000FF"/>
                  <w:sz w:val="18"/>
                  <w:u w:val="single" w:color="0000FF"/>
                </w:rPr>
                <w:t>Carboplatin and Etoposide With or Without Oblimersen</w:t>
              </w:r>
            </w:hyperlink>
            <w:r>
              <w:rPr>
                <w:color w:val="0000FF"/>
                <w:sz w:val="18"/>
              </w:rPr>
              <w:t> </w:t>
            </w:r>
            <w:hyperlink r:id="rId19">
              <w:r>
                <w:rPr>
                  <w:color w:val="0000FF"/>
                  <w:sz w:val="18"/>
                  <w:u w:val="single" w:color="0000FF"/>
                </w:rPr>
                <w:t>Sodium in Treating Patients With Extensive Stage Small Cel</w:t>
              </w:r>
              <w:r>
                <w:rPr>
                  <w:color w:val="0000FF"/>
                  <w:sz w:val="18"/>
                </w:rPr>
                <w:t>l</w:t>
              </w:r>
            </w:hyperlink>
            <w:r>
              <w:rPr>
                <w:color w:val="0000FF"/>
                <w:sz w:val="18"/>
              </w:rPr>
              <w:t> </w:t>
            </w:r>
            <w:hyperlink r:id="rId19">
              <w:r>
                <w:rPr>
                  <w:color w:val="0000FF"/>
                  <w:sz w:val="18"/>
                  <w:u w:val="single" w:color="0000FF"/>
                </w:rPr>
                <w:t>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Extensive Stage Small Cell Lung Cancer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Small Cell Lung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etoposide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Cancer and Leukemia Group B, Chicago, Illinois, United States</w:t>
            </w:r>
          </w:p>
        </w:tc>
      </w:tr>
      <w:tr>
        <w:trPr>
          <w:trHeight w:val="1423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16" w:firstLine="0"/>
              <w:rPr>
                <w:sz w:val="18"/>
              </w:rPr>
            </w:pPr>
            <w:hyperlink r:id="rId20">
              <w:r>
                <w:rPr>
                  <w:color w:val="0000FF"/>
                  <w:sz w:val="18"/>
                  <w:u w:val="single" w:color="0000FF"/>
                </w:rPr>
                <w:t>Genasense® (Oblimersen Sodium), Fludarabine, and</w:t>
              </w:r>
            </w:hyperlink>
            <w:r>
              <w:rPr>
                <w:color w:val="0000FF"/>
                <w:sz w:val="18"/>
              </w:rPr>
              <w:t> </w:t>
            </w:r>
            <w:hyperlink r:id="rId20">
              <w:r>
                <w:rPr>
                  <w:color w:val="0000FF"/>
                  <w:sz w:val="18"/>
                  <w:u w:val="single" w:color="0000FF"/>
                </w:rPr>
                <w:t>Rituximab in Subjects With Chronic Lymphocytic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Chronic Lymphocytic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Oblimersen-rituximab-fludarabine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9" w:lineRule="auto" w:before="42" w:after="0"/>
              <w:ind w:left="220" w:right="677" w:hanging="80"/>
              <w:jc w:val="left"/>
              <w:rPr>
                <w:sz w:val="18"/>
              </w:rPr>
            </w:pPr>
            <w:r>
              <w:rPr>
                <w:sz w:val="18"/>
              </w:rPr>
              <w:t>Georgetown University Medical Center/Lombardi </w:t>
            </w:r>
            <w:r>
              <w:rPr>
                <w:spacing w:val="-3"/>
                <w:sz w:val="18"/>
              </w:rPr>
              <w:t>Cancer </w:t>
            </w:r>
            <w:r>
              <w:rPr>
                <w:sz w:val="18"/>
              </w:rPr>
              <w:t>Center, Washington, District of Columbia, United States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Roswell Park Cancer Institute, Buffalo, New York, United States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21" w:val="left" w:leader="none"/>
              </w:tabs>
              <w:spacing w:line="249" w:lineRule="auto" w:before="124" w:after="0"/>
              <w:ind w:left="220" w:right="117" w:hanging="80"/>
              <w:jc w:val="left"/>
              <w:rPr>
                <w:sz w:val="18"/>
              </w:rPr>
            </w:pPr>
            <w:r>
              <w:rPr>
                <w:sz w:val="18"/>
              </w:rPr>
              <w:t>Long Island Jewish Medical Center, New Hyde Park,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</w:tc>
      </w:tr>
      <w:tr>
        <w:trPr>
          <w:trHeight w:val="5153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15" w:firstLine="0"/>
              <w:rPr>
                <w:sz w:val="18"/>
              </w:rPr>
            </w:pPr>
            <w:hyperlink r:id="rId21">
              <w:r>
                <w:rPr>
                  <w:color w:val="0000FF"/>
                  <w:sz w:val="18"/>
                  <w:u w:val="single" w:color="0000FF"/>
                </w:rPr>
                <w:t>Oblimersen Sodium and Rituximab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21">
              <w:r>
                <w:rPr>
                  <w:color w:val="0000FF"/>
                  <w:sz w:val="18"/>
                  <w:u w:val="single" w:color="0000FF"/>
                </w:rPr>
                <w:t>Recurrent B-cell Non-Hodgkin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Cutaneous B-cell Non-Hodgkin 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9" w:lineRule="auto" w:before="124" w:after="0"/>
              <w:ind w:left="221" w:right="839" w:hanging="80"/>
              <w:jc w:val="left"/>
              <w:rPr>
                <w:sz w:val="18"/>
              </w:rPr>
            </w:pPr>
            <w:r>
              <w:rPr>
                <w:sz w:val="18"/>
              </w:rPr>
              <w:t>Extranodal Marginal Zone B-cell Lymphoma of Mucosa-associated Lymphoid Tissue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Intraocular 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Nodal Marginal Zone B-cell 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Adult Burkitt 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9" w:lineRule="auto" w:before="124" w:after="0"/>
              <w:ind w:left="221" w:right="79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9" w:lineRule="auto" w:before="116" w:after="0"/>
              <w:ind w:left="221" w:right="77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Mixed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9" w:lineRule="auto" w:before="117" w:after="0"/>
              <w:ind w:left="221" w:right="9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Small Cleaved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9" w:lineRule="auto" w:before="117" w:after="0"/>
              <w:ind w:left="221" w:right="298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Grade III </w:t>
            </w:r>
            <w:r>
              <w:rPr>
                <w:spacing w:val="-2"/>
                <w:sz w:val="18"/>
              </w:rPr>
              <w:t>Lymphomatoid </w:t>
            </w:r>
            <w:r>
              <w:rPr>
                <w:sz w:val="18"/>
              </w:rPr>
              <w:t>Granulomatosis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9" w:lineRule="auto" w:before="117" w:after="0"/>
              <w:ind w:left="221" w:right="198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Immunoblastic Large </w:t>
            </w:r>
            <w:r>
              <w:rPr>
                <w:spacing w:val="-4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11 more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 D Anderson Cancer Center, Houston, Texas, United States</w:t>
            </w:r>
          </w:p>
        </w:tc>
      </w:tr>
      <w:tr>
        <w:trPr>
          <w:trHeight w:val="991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545" w:firstLine="0"/>
              <w:rPr>
                <w:sz w:val="18"/>
              </w:rPr>
            </w:pPr>
            <w:hyperlink r:id="rId22">
              <w:r>
                <w:rPr>
                  <w:color w:val="0000FF"/>
                  <w:sz w:val="18"/>
                  <w:u w:val="single" w:color="0000FF"/>
                </w:rPr>
                <w:t>Oblimersen and Interferon Alfa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22">
              <w:r>
                <w:rPr>
                  <w:color w:val="0000FF"/>
                  <w:sz w:val="18"/>
                  <w:u w:val="single" w:color="0000FF"/>
                </w:rPr>
                <w:t>Metastatic Renal Cell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Renal Cell Cancer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Renal Cell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recombinant interferon alfa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City of Hope, Duarte, California, United States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6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5796" w:hRule="atLeast"/>
        </w:trPr>
        <w:tc>
          <w:tcPr>
            <w:tcW w:w="1181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05" w:firstLine="0"/>
              <w:rPr>
                <w:sz w:val="18"/>
              </w:rPr>
            </w:pPr>
            <w:hyperlink r:id="rId23">
              <w:r>
                <w:rPr>
                  <w:color w:val="0000FF"/>
                  <w:sz w:val="18"/>
                  <w:u w:val="single" w:color="0000FF"/>
                </w:rPr>
                <w:t>Trial of Dacarbazine With or Without Genasense in Advanced</w:t>
              </w:r>
            </w:hyperlink>
            <w:r>
              <w:rPr>
                <w:color w:val="0000FF"/>
                <w:sz w:val="18"/>
              </w:rPr>
              <w:t> </w:t>
            </w:r>
            <w:hyperlink r:id="rId23">
              <w:r>
                <w:rPr>
                  <w:color w:val="0000FF"/>
                  <w:sz w:val="18"/>
                  <w:u w:val="single" w:color="0000FF"/>
                </w:rPr>
                <w:t>Melanoma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Melanoma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dacarbazine plus Genasense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dacarbazine plus placebo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42" w:after="0"/>
              <w:ind w:left="220" w:right="14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South Alabama Hospital, Mitchell Cancer Institute, Mobile, Alabama,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6" w:after="0"/>
              <w:ind w:left="220" w:right="286" w:hanging="80"/>
              <w:jc w:val="left"/>
              <w:rPr>
                <w:sz w:val="18"/>
              </w:rPr>
            </w:pPr>
            <w:r>
              <w:rPr>
                <w:sz w:val="18"/>
              </w:rPr>
              <w:t>San Diego Pacific Oncology and Hematology Associates </w:t>
            </w:r>
            <w:r>
              <w:rPr>
                <w:spacing w:val="-4"/>
                <w:sz w:val="18"/>
              </w:rPr>
              <w:t>Inc., </w:t>
            </w:r>
            <w:r>
              <w:rPr>
                <w:sz w:val="18"/>
              </w:rPr>
              <w:t>Encinitas, California,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7" w:after="0"/>
              <w:ind w:left="220" w:right="106" w:hanging="80"/>
              <w:jc w:val="left"/>
              <w:rPr>
                <w:sz w:val="18"/>
              </w:rPr>
            </w:pPr>
            <w:r>
              <w:rPr>
                <w:sz w:val="18"/>
              </w:rPr>
              <w:t>Redwood Regional Medical Group, Inc., Santa Rosa, California,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7" w:after="0"/>
              <w:ind w:left="220" w:right="216" w:hanging="80"/>
              <w:jc w:val="left"/>
              <w:rPr>
                <w:sz w:val="18"/>
              </w:rPr>
            </w:pPr>
            <w:r>
              <w:rPr>
                <w:sz w:val="18"/>
              </w:rPr>
              <w:t>Siouxland Hematology Oncology Associates, Sioux City, </w:t>
            </w:r>
            <w:r>
              <w:rPr>
                <w:spacing w:val="-4"/>
                <w:sz w:val="18"/>
              </w:rPr>
              <w:t>Iowa,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6" w:after="0"/>
              <w:ind w:left="220" w:right="286" w:hanging="80"/>
              <w:jc w:val="left"/>
              <w:rPr>
                <w:sz w:val="18"/>
              </w:rPr>
            </w:pPr>
            <w:r>
              <w:rPr>
                <w:sz w:val="18"/>
              </w:rPr>
              <w:t>Dana Farber Cancer Institute, Boston, Massachusetts,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7" w:after="0"/>
              <w:ind w:left="220" w:right="76" w:hanging="80"/>
              <w:jc w:val="left"/>
              <w:rPr>
                <w:sz w:val="18"/>
              </w:rPr>
            </w:pPr>
            <w:r>
              <w:rPr>
                <w:sz w:val="18"/>
              </w:rPr>
              <w:t>Hematology Oncology Centers of the Northern Rockies, Billings, Montana,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7" w:after="0"/>
              <w:ind w:left="220" w:right="168" w:hanging="80"/>
              <w:jc w:val="left"/>
              <w:rPr>
                <w:sz w:val="18"/>
              </w:rPr>
            </w:pPr>
            <w:r>
              <w:rPr>
                <w:sz w:val="18"/>
              </w:rPr>
              <w:t>Morristown Memorial - Atlantic Healthcare System, Morristown, New Jersey, United 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6" w:after="0"/>
              <w:ind w:left="220" w:right="427" w:hanging="80"/>
              <w:jc w:val="left"/>
              <w:rPr>
                <w:sz w:val="18"/>
              </w:rPr>
            </w:pPr>
            <w:r>
              <w:rPr>
                <w:sz w:val="18"/>
              </w:rPr>
              <w:t>Cancer Care Associates, Oklahoma City, Oklahoma,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7" w:after="0"/>
              <w:ind w:left="220" w:right="607" w:hanging="80"/>
              <w:jc w:val="left"/>
              <w:rPr>
                <w:sz w:val="18"/>
              </w:rPr>
            </w:pPr>
            <w:r>
              <w:rPr>
                <w:sz w:val="18"/>
              </w:rPr>
              <w:t>Cancer Care Associates, Site 1, Tulsa, Oklahoma,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9" w:lineRule="auto" w:before="117" w:after="0"/>
              <w:ind w:left="220" w:right="432" w:hanging="80"/>
              <w:jc w:val="left"/>
              <w:rPr>
                <w:sz w:val="18"/>
              </w:rPr>
            </w:pPr>
            <w:r>
              <w:rPr>
                <w:sz w:val="18"/>
              </w:rPr>
              <w:t>St. Luke's Cancer Center, Bethlehem, Pennsylvania,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67 more</w:t>
            </w:r>
          </w:p>
        </w:tc>
      </w:tr>
      <w:tr>
        <w:trPr>
          <w:trHeight w:val="2858" w:hRule="atLeast"/>
        </w:trPr>
        <w:tc>
          <w:tcPr>
            <w:tcW w:w="1181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 w:before="37"/>
              <w:ind w:left="143" w:right="205" w:firstLine="0"/>
              <w:rPr>
                <w:sz w:val="18"/>
              </w:rPr>
            </w:pPr>
            <w:hyperlink r:id="rId24">
              <w:r>
                <w:rPr>
                  <w:color w:val="0000FF"/>
                  <w:sz w:val="18"/>
                  <w:u w:val="single" w:color="0000FF"/>
                </w:rPr>
                <w:t>Oblimersen Plus Doxorubicin and Docetaxel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24">
              <w:r>
                <w:rPr>
                  <w:color w:val="0000FF"/>
                  <w:sz w:val="18"/>
                  <w:u w:val="single" w:color="0000FF"/>
                </w:rPr>
                <w:t>Patients With Metastatic or Locally Advanced Breast Cancer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Male Breast Cancer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IIIA Breast Cancer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IIIB Breast Cancer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IIIC Breast Cancer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IV Breast Cancer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doxorubicin hydrochloride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docetaxel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filgrastim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pegfilgrastim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9" w:lineRule="auto" w:before="125" w:after="0"/>
              <w:ind w:left="216" w:right="654" w:hanging="80"/>
              <w:jc w:val="left"/>
              <w:rPr>
                <w:sz w:val="18"/>
              </w:rPr>
            </w:pPr>
            <w:r>
              <w:rPr>
                <w:sz w:val="18"/>
              </w:rPr>
              <w:t>Procedure: therapeutic </w:t>
            </w:r>
            <w:r>
              <w:rPr>
                <w:spacing w:val="-2"/>
                <w:sz w:val="18"/>
              </w:rPr>
              <w:t>conventional </w:t>
            </w:r>
            <w:r>
              <w:rPr>
                <w:sz w:val="18"/>
              </w:rPr>
              <w:t>surgery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16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tcBorders>
              <w:top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221" w:val="left" w:leader="none"/>
              </w:tabs>
              <w:spacing w:line="240" w:lineRule="auto" w:before="3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 D Anderson Cancer Center, Houston, Texas, United States</w:t>
            </w:r>
          </w:p>
        </w:tc>
      </w:tr>
      <w:tr>
        <w:trPr>
          <w:trHeight w:val="2849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15" w:firstLine="0"/>
              <w:rPr>
                <w:sz w:val="18"/>
              </w:rPr>
            </w:pPr>
            <w:hyperlink r:id="rId25">
              <w:r>
                <w:rPr>
                  <w:color w:val="0000FF"/>
                  <w:sz w:val="18"/>
                  <w:u w:val="single" w:color="0000FF"/>
                </w:rPr>
                <w:t>Oblimersen, Cytarabine, and Daunorubicin in Treating Older</w:t>
              </w:r>
            </w:hyperlink>
            <w:r>
              <w:rPr>
                <w:color w:val="0000FF"/>
                <w:sz w:val="18"/>
              </w:rPr>
              <w:t> </w:t>
            </w:r>
            <w:hyperlink r:id="rId25">
              <w:r>
                <w:rPr>
                  <w:color w:val="0000FF"/>
                  <w:sz w:val="18"/>
                  <w:u w:val="single" w:color="0000FF"/>
                </w:rPr>
                <w:t>Patients With Acute Myeloid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9" w:lineRule="auto" w:before="42" w:after="0"/>
              <w:ind w:left="221" w:right="148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With </w:t>
            </w:r>
            <w:r>
              <w:rPr>
                <w:spacing w:val="-4"/>
                <w:sz w:val="18"/>
              </w:rPr>
              <w:t>11q23 </w:t>
            </w:r>
            <w:r>
              <w:rPr>
                <w:sz w:val="18"/>
              </w:rPr>
              <w:t>(MLL) Abnormalities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9" w:lineRule="auto" w:before="116" w:after="0"/>
              <w:ind w:left="221" w:right="88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With </w:t>
            </w:r>
            <w:r>
              <w:rPr>
                <w:spacing w:val="-3"/>
                <w:sz w:val="18"/>
              </w:rPr>
              <w:t>Inv(16) </w:t>
            </w:r>
            <w:r>
              <w:rPr>
                <w:sz w:val="18"/>
              </w:rPr>
              <w:t>(p13;q22)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9" w:lineRule="auto" w:before="117" w:after="0"/>
              <w:ind w:left="221" w:right="699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</w:t>
            </w:r>
            <w:r>
              <w:rPr>
                <w:spacing w:val="-5"/>
                <w:sz w:val="18"/>
              </w:rPr>
              <w:t>With </w:t>
            </w:r>
            <w:r>
              <w:rPr>
                <w:sz w:val="18"/>
              </w:rPr>
              <w:t>t(16;16)(p13;q22)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9" w:lineRule="auto" w:before="117" w:after="0"/>
              <w:ind w:left="221" w:right="128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With </w:t>
            </w:r>
            <w:r>
              <w:rPr>
                <w:spacing w:val="-3"/>
                <w:sz w:val="18"/>
              </w:rPr>
              <w:t>t(8;21) </w:t>
            </w:r>
            <w:r>
              <w:rPr>
                <w:sz w:val="18"/>
              </w:rPr>
              <w:t>(q22;q22)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Secondary Acute Myeloid Leukemia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Untreated Adult Acute Myeloid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cytarabine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daunorubicin hydrochloride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59"/>
              </w:numPr>
              <w:tabs>
                <w:tab w:pos="221" w:val="left" w:leader="none"/>
              </w:tabs>
              <w:spacing w:line="249" w:lineRule="auto" w:before="42" w:after="0"/>
              <w:ind w:left="220" w:right="227" w:hanging="80"/>
              <w:jc w:val="left"/>
              <w:rPr>
                <w:sz w:val="18"/>
              </w:rPr>
            </w:pPr>
            <w:r>
              <w:rPr>
                <w:sz w:val="18"/>
              </w:rPr>
              <w:t>Ohio State University Medical Center, Columbus, Ohio,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</w:tbl>
    <w:p>
      <w:pPr>
        <w:spacing w:after="0" w:line="249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3396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55" w:firstLine="0"/>
              <w:rPr>
                <w:sz w:val="18"/>
              </w:rPr>
            </w:pPr>
            <w:hyperlink r:id="rId26">
              <w:r>
                <w:rPr>
                  <w:color w:val="0000FF"/>
                  <w:sz w:val="18"/>
                  <w:u w:val="single" w:color="0000FF"/>
                </w:rPr>
                <w:t>Daunorubicin Hydrochloride, Cytarabine and Oblimersen</w:t>
              </w:r>
            </w:hyperlink>
            <w:r>
              <w:rPr>
                <w:color w:val="0000FF"/>
                <w:sz w:val="18"/>
              </w:rPr>
              <w:t> </w:t>
            </w:r>
            <w:hyperlink r:id="rId26">
              <w:r>
                <w:rPr>
                  <w:color w:val="0000FF"/>
                  <w:sz w:val="18"/>
                  <w:u w:val="single" w:color="0000FF"/>
                </w:rPr>
                <w:t>Sodium in Treating Patients With Previously Untreated Acute</w:t>
              </w:r>
            </w:hyperlink>
            <w:r>
              <w:rPr>
                <w:color w:val="0000FF"/>
                <w:sz w:val="18"/>
              </w:rPr>
              <w:t> </w:t>
            </w:r>
            <w:hyperlink r:id="rId26">
              <w:r>
                <w:rPr>
                  <w:color w:val="0000FF"/>
                  <w:sz w:val="18"/>
                  <w:u w:val="single" w:color="0000FF"/>
                </w:rPr>
                <w:t>Myeloid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42" w:after="0"/>
              <w:ind w:left="221" w:right="148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With </w:t>
            </w:r>
            <w:r>
              <w:rPr>
                <w:spacing w:val="-4"/>
                <w:sz w:val="18"/>
              </w:rPr>
              <w:t>11q23 </w:t>
            </w:r>
            <w:r>
              <w:rPr>
                <w:sz w:val="18"/>
              </w:rPr>
              <w:t>(MLL) Abnormalities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6" w:after="0"/>
              <w:ind w:left="221" w:right="88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With </w:t>
            </w:r>
            <w:r>
              <w:rPr>
                <w:spacing w:val="-3"/>
                <w:sz w:val="18"/>
              </w:rPr>
              <w:t>Inv(16) </w:t>
            </w:r>
            <w:r>
              <w:rPr>
                <w:sz w:val="18"/>
              </w:rPr>
              <w:t>(p13;q22)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699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</w:t>
            </w:r>
            <w:r>
              <w:rPr>
                <w:spacing w:val="-5"/>
                <w:sz w:val="18"/>
              </w:rPr>
              <w:t>With </w:t>
            </w:r>
            <w:r>
              <w:rPr>
                <w:sz w:val="18"/>
              </w:rPr>
              <w:t>t(15;17)(q22;q12)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7" w:after="0"/>
              <w:ind w:left="221" w:right="699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</w:t>
            </w:r>
            <w:r>
              <w:rPr>
                <w:spacing w:val="-5"/>
                <w:sz w:val="18"/>
              </w:rPr>
              <w:t>With </w:t>
            </w:r>
            <w:r>
              <w:rPr>
                <w:sz w:val="18"/>
              </w:rPr>
              <w:t>t(16;16)(p13;q22)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9" w:lineRule="auto" w:before="116" w:after="0"/>
              <w:ind w:left="221" w:right="128" w:hanging="80"/>
              <w:jc w:val="left"/>
              <w:rPr>
                <w:sz w:val="18"/>
              </w:rPr>
            </w:pPr>
            <w:r>
              <w:rPr>
                <w:sz w:val="18"/>
              </w:rPr>
              <w:t>Adult Acute Myeloid Leukemia With </w:t>
            </w:r>
            <w:r>
              <w:rPr>
                <w:spacing w:val="-3"/>
                <w:sz w:val="18"/>
              </w:rPr>
              <w:t>t(8;21) </w:t>
            </w:r>
            <w:r>
              <w:rPr>
                <w:sz w:val="18"/>
              </w:rPr>
              <w:t>(q22;q22)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Secondary Acute Myeloid Leukemia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Untreated Adult Acute Myeloid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cytarabine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daunorubicin hydrochloride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Cancer and Leukemia Group B, Chicago, Illinois, United States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21" w:val="left" w:leader="none"/>
              </w:tabs>
              <w:spacing w:line="249" w:lineRule="auto" w:before="124" w:after="0"/>
              <w:ind w:left="220" w:right="96" w:hanging="80"/>
              <w:jc w:val="left"/>
              <w:rPr>
                <w:sz w:val="18"/>
              </w:rPr>
            </w:pPr>
            <w:r>
              <w:rPr>
                <w:sz w:val="18"/>
              </w:rPr>
              <w:t>Arthur G. James Cancer Hospital and Solove Research Institute at Ohio State University Medical Center, Columbus, Ohio, United States</w:t>
            </w:r>
          </w:p>
        </w:tc>
      </w:tr>
      <w:tr>
        <w:trPr>
          <w:trHeight w:val="1423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726" w:firstLine="0"/>
              <w:rPr>
                <w:sz w:val="18"/>
              </w:rPr>
            </w:pPr>
            <w:hyperlink r:id="rId27">
              <w:r>
                <w:rPr>
                  <w:color w:val="0000FF"/>
                  <w:sz w:val="18"/>
                  <w:u w:val="single" w:color="0000FF"/>
                </w:rPr>
                <w:t>Oblimersen and Doxorubicin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27">
              <w:r>
                <w:rPr>
                  <w:color w:val="0000FF"/>
                  <w:sz w:val="18"/>
                  <w:u w:val="single" w:color="0000FF"/>
                </w:rPr>
                <w:t>Advanced Hepatocellular Carcinoma (Liver Cancer)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3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Liver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doxorubicin hydrochloride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42" w:after="0"/>
              <w:ind w:left="220" w:right="307" w:hanging="80"/>
              <w:jc w:val="left"/>
              <w:rPr>
                <w:sz w:val="18"/>
              </w:rPr>
            </w:pPr>
            <w:r>
              <w:rPr>
                <w:sz w:val="18"/>
              </w:rPr>
              <w:t>British Columbia Cancer Agency - Vancouver Cancer </w:t>
            </w:r>
            <w:r>
              <w:rPr>
                <w:spacing w:val="-3"/>
                <w:sz w:val="18"/>
              </w:rPr>
              <w:t>Centre, </w:t>
            </w:r>
            <w:r>
              <w:rPr>
                <w:sz w:val="18"/>
              </w:rPr>
              <w:t>Vancouver, British Columbia, Canada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9" w:lineRule="auto" w:before="116" w:after="0"/>
              <w:ind w:left="220" w:right="256" w:hanging="80"/>
              <w:jc w:val="left"/>
              <w:rPr>
                <w:sz w:val="18"/>
              </w:rPr>
            </w:pPr>
            <w:r>
              <w:rPr>
                <w:sz w:val="18"/>
              </w:rPr>
              <w:t>London Regional Cancer Program at London Health </w:t>
            </w:r>
            <w:r>
              <w:rPr>
                <w:spacing w:val="-3"/>
                <w:sz w:val="18"/>
              </w:rPr>
              <w:t>Sciences </w:t>
            </w:r>
            <w:r>
              <w:rPr>
                <w:sz w:val="18"/>
              </w:rPr>
              <w:t>Centre, London, Ontario, Canada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Princess Margaret Hospital, Toronto, Ontario, Canada</w:t>
            </w:r>
          </w:p>
        </w:tc>
      </w:tr>
      <w:tr>
        <w:trPr>
          <w:trHeight w:val="977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15" w:firstLine="0"/>
              <w:rPr>
                <w:sz w:val="18"/>
              </w:rPr>
            </w:pPr>
            <w:hyperlink r:id="rId28">
              <w:r>
                <w:rPr>
                  <w:color w:val="0000FF"/>
                  <w:sz w:val="18"/>
                  <w:u w:val="single" w:color="0000FF"/>
                </w:rPr>
                <w:t>This Study is Being Performed to Evaluate the Effect of</w:t>
              </w:r>
            </w:hyperlink>
            <w:r>
              <w:rPr>
                <w:color w:val="0000FF"/>
                <w:sz w:val="18"/>
              </w:rPr>
              <w:t> </w:t>
            </w:r>
            <w:hyperlink r:id="rId28">
              <w:r>
                <w:rPr>
                  <w:color w:val="0000FF"/>
                  <w:sz w:val="18"/>
                  <w:u w:val="single" w:color="0000FF"/>
                </w:rPr>
                <w:t>Genasense on the Efficacy and the Safety of Rituximab/</w:t>
              </w:r>
            </w:hyperlink>
            <w:r>
              <w:rPr>
                <w:color w:val="0000FF"/>
                <w:sz w:val="18"/>
              </w:rPr>
              <w:t> </w:t>
            </w:r>
            <w:hyperlink r:id="rId28">
              <w:r>
                <w:rPr>
                  <w:color w:val="0000FF"/>
                  <w:sz w:val="18"/>
                  <w:u w:val="single" w:color="0000FF"/>
                </w:rPr>
                <w:t>Fludarabine Combination Treatment in Previously Untreated</w:t>
              </w:r>
            </w:hyperlink>
            <w:r>
              <w:rPr>
                <w:color w:val="0000FF"/>
                <w:sz w:val="18"/>
              </w:rPr>
              <w:t> </w:t>
            </w:r>
            <w:hyperlink r:id="rId28">
              <w:r>
                <w:rPr>
                  <w:color w:val="0000FF"/>
                  <w:sz w:val="18"/>
                  <w:u w:val="single" w:color="0000FF"/>
                </w:rPr>
                <w:t>Subjects With Chronic Lymphocyctic Leukemia(CLL)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Withdrawn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6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Lymphocytic 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67"/>
              </w:numPr>
              <w:tabs>
                <w:tab w:pos="217" w:val="left" w:leader="none"/>
              </w:tabs>
              <w:spacing w:line="249" w:lineRule="auto" w:before="42" w:after="0"/>
              <w:ind w:left="216" w:right="271" w:hanging="80"/>
              <w:jc w:val="left"/>
              <w:rPr>
                <w:sz w:val="18"/>
              </w:rPr>
            </w:pPr>
            <w:r>
              <w:rPr>
                <w:sz w:val="18"/>
              </w:rPr>
              <w:t>Drug: Genasense® (, oblimersen </w:t>
            </w:r>
            <w:r>
              <w:rPr>
                <w:spacing w:val="-3"/>
                <w:sz w:val="18"/>
              </w:rPr>
              <w:t>sodium </w:t>
            </w:r>
            <w:r>
              <w:rPr>
                <w:sz w:val="18"/>
              </w:rPr>
              <w:t>G3139)</w:t>
            </w:r>
          </w:p>
        </w:tc>
        <w:tc>
          <w:tcPr>
            <w:tcW w:w="5432" w:type="dxa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</w:tr>
      <w:tr>
        <w:trPr>
          <w:trHeight w:val="1207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705" w:firstLine="0"/>
              <w:rPr>
                <w:sz w:val="18"/>
              </w:rPr>
            </w:pPr>
            <w:hyperlink r:id="rId29">
              <w:r>
                <w:rPr>
                  <w:color w:val="0000FF"/>
                  <w:sz w:val="18"/>
                  <w:u w:val="single" w:color="0000FF"/>
                </w:rPr>
                <w:t>Abraxane and Temodar Plus Genasense in Advanced</w:t>
              </w:r>
            </w:hyperlink>
            <w:r>
              <w:rPr>
                <w:color w:val="0000FF"/>
                <w:sz w:val="18"/>
              </w:rPr>
              <w:t> </w:t>
            </w:r>
            <w:hyperlink r:id="rId29">
              <w:r>
                <w:rPr>
                  <w:color w:val="0000FF"/>
                  <w:sz w:val="18"/>
                  <w:u w:val="single" w:color="0000FF"/>
                </w:rPr>
                <w:t>Melanoma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Unknown status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8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Melanoma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69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Genasense® (oblimersen)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17" w:val="left" w:leader="none"/>
              </w:tabs>
              <w:spacing w:line="249" w:lineRule="auto" w:before="124" w:after="0"/>
              <w:ind w:left="216" w:right="121" w:hanging="80"/>
              <w:jc w:val="left"/>
              <w:rPr>
                <w:sz w:val="18"/>
              </w:rPr>
            </w:pPr>
            <w:r>
              <w:rPr>
                <w:sz w:val="18"/>
              </w:rPr>
              <w:t>Drug: Abraxane® (paclitaxel </w:t>
            </w:r>
            <w:r>
              <w:rPr>
                <w:spacing w:val="-2"/>
                <w:sz w:val="18"/>
              </w:rPr>
              <w:t>protein-bound </w:t>
            </w:r>
            <w:r>
              <w:rPr>
                <w:sz w:val="18"/>
              </w:rPr>
              <w:t>particles for injectable suspension)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17" w:val="left" w:leader="none"/>
              </w:tabs>
              <w:spacing w:line="240" w:lineRule="auto" w:before="116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Temodar® (temozolomide)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70"/>
              </w:numPr>
              <w:tabs>
                <w:tab w:pos="221" w:val="left" w:leader="none"/>
              </w:tabs>
              <w:spacing w:line="249" w:lineRule="auto" w:before="42" w:after="0"/>
              <w:ind w:left="220" w:right="537" w:hanging="80"/>
              <w:jc w:val="left"/>
              <w:rPr>
                <w:sz w:val="18"/>
              </w:rPr>
            </w:pPr>
            <w:r>
              <w:rPr>
                <w:sz w:val="18"/>
              </w:rPr>
              <w:t>New York University Cancer Center, New York,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</w:tc>
      </w:tr>
      <w:tr>
        <w:trPr>
          <w:trHeight w:val="3852" w:hRule="atLeast"/>
        </w:trPr>
        <w:tc>
          <w:tcPr>
            <w:tcW w:w="1181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34" w:firstLine="0"/>
              <w:jc w:val="both"/>
              <w:rPr>
                <w:sz w:val="18"/>
              </w:rPr>
            </w:pPr>
            <w:hyperlink r:id="rId30">
              <w:r>
                <w:rPr>
                  <w:color w:val="0000FF"/>
                  <w:sz w:val="18"/>
                  <w:u w:val="single" w:color="0000FF"/>
                </w:rPr>
                <w:t>Docetaxel With or Without Oblimersen in Treating Patients</w:t>
              </w:r>
            </w:hyperlink>
            <w:r>
              <w:rPr>
                <w:color w:val="0000FF"/>
                <w:sz w:val="18"/>
              </w:rPr>
              <w:t> </w:t>
            </w:r>
            <w:hyperlink r:id="rId30">
              <w:r>
                <w:rPr>
                  <w:color w:val="0000FF"/>
                  <w:sz w:val="18"/>
                  <w:u w:val="single" w:color="0000FF"/>
                </w:rPr>
                <w:t>With Hormone-Refractory Adenocarcinoma (Cancer) of the</w:t>
              </w:r>
            </w:hyperlink>
            <w:r>
              <w:rPr>
                <w:color w:val="0000FF"/>
                <w:sz w:val="18"/>
              </w:rPr>
              <w:t> </w:t>
            </w:r>
            <w:hyperlink r:id="rId30">
              <w:r>
                <w:rPr>
                  <w:color w:val="0000FF"/>
                  <w:sz w:val="18"/>
                  <w:u w:val="single" w:color="0000FF"/>
                </w:rPr>
                <w:t>Prostate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1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Prostate Cancer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docetaxel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Kaiser Franz Josef Hospital, Vienna, Austria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Onze Lieve Vrouw Ziekenhuis Aalst, Aalst, Belgium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Institut Jules Bordet, Brussels, Belgium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Cliniques Universitaires Saint-Luc, Brussels, Belgium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Universitair Ziekenhuis Gent, Ghent, Belgium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5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U.Z. Gasthuisberg, Leuven, Belgium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9" w:lineRule="auto" w:before="124" w:after="0"/>
              <w:ind w:left="220" w:right="146" w:hanging="80"/>
              <w:jc w:val="left"/>
              <w:rPr>
                <w:sz w:val="18"/>
              </w:rPr>
            </w:pPr>
            <w:r>
              <w:rPr>
                <w:sz w:val="18"/>
              </w:rPr>
              <w:t>Rigshospitalet - Copenhagen University Hospital, Copenhagen, Denmark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CHU de Grenoble - Hopital de la Tronche, Grenoble, France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Assaf Harofeh Medical Center, Zerifin, Israel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Ospedale S. Camillo-Forlanini, Rome, Italy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21" w:val="left" w:leader="none"/>
              </w:tabs>
              <w:spacing w:line="240" w:lineRule="auto" w:before="124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6 more</w:t>
            </w:r>
          </w:p>
        </w:tc>
      </w:tr>
      <w:tr>
        <w:trPr>
          <w:trHeight w:val="756" w:hRule="atLeast"/>
        </w:trPr>
        <w:tc>
          <w:tcPr>
            <w:tcW w:w="1181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 w:before="37"/>
              <w:ind w:left="143" w:right="535" w:firstLine="0"/>
              <w:rPr>
                <w:sz w:val="18"/>
              </w:rPr>
            </w:pPr>
            <w:hyperlink r:id="rId31">
              <w:r>
                <w:rPr>
                  <w:color w:val="0000FF"/>
                  <w:sz w:val="18"/>
                  <w:u w:val="single" w:color="0000FF"/>
                </w:rPr>
                <w:t>Oblimersen and Dacarbazine in Treating Patients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31">
              <w:r>
                <w:rPr>
                  <w:color w:val="0000FF"/>
                  <w:sz w:val="18"/>
                  <w:u w:val="single" w:color="0000FF"/>
                </w:rPr>
                <w:t>Advanced Malignant Melanoma That Has Responded to</w:t>
              </w:r>
            </w:hyperlink>
            <w:r>
              <w:rPr>
                <w:color w:val="0000FF"/>
                <w:sz w:val="18"/>
              </w:rPr>
              <w:t> </w:t>
            </w:r>
            <w:hyperlink r:id="rId31">
              <w:r>
                <w:rPr>
                  <w:color w:val="0000FF"/>
                  <w:sz w:val="18"/>
                  <w:u w:val="single" w:color="0000FF"/>
                </w:rPr>
                <w:t>Treatment on Clinical Trial GENTA-GM301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Unknown status</w:t>
            </w:r>
          </w:p>
        </w:tc>
        <w:tc>
          <w:tcPr>
            <w:tcW w:w="2126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4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Melanoma (Skin)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5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dacarbazine</w:t>
            </w:r>
          </w:p>
        </w:tc>
        <w:tc>
          <w:tcPr>
            <w:tcW w:w="5432" w:type="dxa"/>
            <w:tcBorders>
              <w:top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6"/>
              </w:numPr>
              <w:tabs>
                <w:tab w:pos="221" w:val="left" w:leader="none"/>
              </w:tabs>
              <w:spacing w:line="249" w:lineRule="auto" w:before="37" w:after="0"/>
              <w:ind w:left="220" w:right="266" w:hanging="80"/>
              <w:jc w:val="left"/>
              <w:rPr>
                <w:sz w:val="18"/>
              </w:rPr>
            </w:pPr>
            <w:r>
              <w:rPr>
                <w:sz w:val="18"/>
              </w:rPr>
              <w:t>Jonsson Comprehensive Cancer Center, UCLA, Los Angeles, California, United States</w:t>
            </w:r>
          </w:p>
        </w:tc>
      </w:tr>
      <w:tr>
        <w:trPr>
          <w:trHeight w:val="1639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575" w:firstLine="0"/>
              <w:rPr>
                <w:sz w:val="18"/>
              </w:rPr>
            </w:pPr>
            <w:hyperlink r:id="rId32">
              <w:r>
                <w:rPr>
                  <w:color w:val="0000FF"/>
                  <w:sz w:val="18"/>
                  <w:u w:val="single" w:color="0000FF"/>
                </w:rPr>
                <w:t>A Phase I, Randomized, Open-label, Cross-over,</w:t>
              </w:r>
            </w:hyperlink>
            <w:r>
              <w:rPr>
                <w:color w:val="0000FF"/>
                <w:sz w:val="18"/>
              </w:rPr>
              <w:t> </w:t>
            </w:r>
            <w:hyperlink r:id="rId32">
              <w:r>
                <w:rPr>
                  <w:color w:val="0000FF"/>
                  <w:sz w:val="18"/>
                  <w:u w:val="single" w:color="0000FF"/>
                </w:rPr>
                <w:t>Pharmacokinetic Study of Genasense With and Without</w:t>
              </w:r>
            </w:hyperlink>
            <w:r>
              <w:rPr>
                <w:color w:val="0000FF"/>
                <w:sz w:val="18"/>
              </w:rPr>
              <w:t> </w:t>
            </w:r>
            <w:hyperlink r:id="rId32">
              <w:r>
                <w:rPr>
                  <w:color w:val="0000FF"/>
                  <w:sz w:val="18"/>
                  <w:u w:val="single" w:color="0000FF"/>
                </w:rPr>
                <w:t>Dacarbazine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7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Advanced Melanoma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78"/>
              </w:numPr>
              <w:tabs>
                <w:tab w:pos="217" w:val="left" w:leader="none"/>
              </w:tabs>
              <w:spacing w:line="249" w:lineRule="auto" w:before="42" w:after="0"/>
              <w:ind w:left="216" w:right="361" w:hanging="80"/>
              <w:jc w:val="left"/>
              <w:rPr>
                <w:sz w:val="18"/>
              </w:rPr>
            </w:pPr>
            <w:r>
              <w:rPr>
                <w:sz w:val="18"/>
              </w:rPr>
              <w:t>Drug: Genasense® (G3139, oblimersen sodium)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17" w:val="left" w:leader="none"/>
              </w:tabs>
              <w:spacing w:line="249" w:lineRule="auto" w:before="116" w:after="0"/>
              <w:ind w:left="216" w:right="254" w:hanging="80"/>
              <w:jc w:val="left"/>
              <w:rPr>
                <w:sz w:val="18"/>
              </w:rPr>
            </w:pPr>
            <w:r>
              <w:rPr>
                <w:sz w:val="18"/>
              </w:rPr>
              <w:t>Drug: Genasense followed by DTIC; </w:t>
            </w:r>
            <w:r>
              <w:rPr>
                <w:spacing w:val="-5"/>
                <w:sz w:val="18"/>
              </w:rPr>
              <w:t>then </w:t>
            </w:r>
            <w:r>
              <w:rPr>
                <w:sz w:val="18"/>
              </w:rPr>
              <w:t>DTIC alone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17" w:val="left" w:leader="none"/>
              </w:tabs>
              <w:spacing w:line="249" w:lineRule="auto" w:before="117" w:after="0"/>
              <w:ind w:left="216" w:right="714" w:hanging="80"/>
              <w:jc w:val="left"/>
              <w:rPr>
                <w:sz w:val="18"/>
              </w:rPr>
            </w:pPr>
            <w:r>
              <w:rPr>
                <w:sz w:val="18"/>
              </w:rPr>
              <w:t>Drug: DTIC alone; then Genasense followed by DTIC</w:t>
            </w:r>
          </w:p>
        </w:tc>
        <w:tc>
          <w:tcPr>
            <w:tcW w:w="5432" w:type="dxa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1092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36" w:firstLine="0"/>
              <w:rPr>
                <w:sz w:val="18"/>
              </w:rPr>
            </w:pPr>
            <w:hyperlink r:id="rId33">
              <w:r>
                <w:rPr>
                  <w:color w:val="0000FF"/>
                  <w:sz w:val="18"/>
                  <w:u w:val="single" w:color="0000FF"/>
                </w:rPr>
                <w:t>Dacarbazine With or Without Oblimersen (G3139)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33">
              <w:r>
                <w:rPr>
                  <w:color w:val="0000FF"/>
                  <w:sz w:val="18"/>
                  <w:u w:val="single" w:color="0000FF"/>
                </w:rPr>
                <w:t>Patients With Advanced Malignant Melanoma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Melanoma (Skin)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80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dacarbazine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81"/>
              </w:numPr>
              <w:tabs>
                <w:tab w:pos="221" w:val="left" w:leader="none"/>
              </w:tabs>
              <w:spacing w:line="249" w:lineRule="auto" w:before="42" w:after="0"/>
              <w:ind w:left="220" w:right="266" w:hanging="80"/>
              <w:jc w:val="left"/>
              <w:rPr>
                <w:sz w:val="18"/>
              </w:rPr>
            </w:pPr>
            <w:r>
              <w:rPr>
                <w:sz w:val="18"/>
              </w:rPr>
              <w:t>Jonsson Comprehensive Cancer Center, UCLA, Los Angeles, California, United States</w:t>
            </w:r>
          </w:p>
          <w:p>
            <w:pPr>
              <w:pStyle w:val="TableParagraph"/>
              <w:numPr>
                <w:ilvl w:val="0"/>
                <w:numId w:val="81"/>
              </w:numPr>
              <w:tabs>
                <w:tab w:pos="221" w:val="left" w:leader="none"/>
              </w:tabs>
              <w:spacing w:line="249" w:lineRule="auto" w:before="116" w:after="0"/>
              <w:ind w:left="220" w:right="517" w:hanging="80"/>
              <w:jc w:val="left"/>
              <w:rPr>
                <w:sz w:val="18"/>
              </w:rPr>
            </w:pPr>
            <w:r>
              <w:rPr>
                <w:sz w:val="18"/>
              </w:rPr>
              <w:t>Genta Incorporated, Berkeley Heights, New Jersey,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660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215" w:firstLine="0"/>
              <w:rPr>
                <w:sz w:val="18"/>
              </w:rPr>
            </w:pPr>
            <w:hyperlink r:id="rId34">
              <w:r>
                <w:rPr>
                  <w:color w:val="0000FF"/>
                  <w:sz w:val="18"/>
                  <w:u w:val="single" w:color="0000FF"/>
                </w:rPr>
                <w:t>Oblimersen and Gemtuzumab Ozogamicin in Treating Older</w:t>
              </w:r>
            </w:hyperlink>
            <w:r>
              <w:rPr>
                <w:color w:val="0000FF"/>
                <w:sz w:val="18"/>
              </w:rPr>
              <w:t> </w:t>
            </w:r>
            <w:hyperlink r:id="rId34">
              <w:r>
                <w:rPr>
                  <w:color w:val="0000FF"/>
                  <w:sz w:val="18"/>
                  <w:u w:val="single" w:color="0000FF"/>
                </w:rPr>
                <w:t>Patients With Relapsed Acute Myeloid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82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83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gemtuzumab ozogamicin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84"/>
              </w:numPr>
              <w:tabs>
                <w:tab w:pos="221" w:val="left" w:leader="none"/>
              </w:tabs>
              <w:spacing w:line="249" w:lineRule="auto" w:before="42" w:after="0"/>
              <w:ind w:left="220" w:right="517" w:hanging="80"/>
              <w:jc w:val="left"/>
              <w:rPr>
                <w:sz w:val="18"/>
              </w:rPr>
            </w:pPr>
            <w:r>
              <w:rPr>
                <w:sz w:val="18"/>
              </w:rPr>
              <w:t>Genta Incorporated, Berkeley Heights, New Jersey,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2316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535" w:firstLine="0"/>
              <w:rPr>
                <w:sz w:val="18"/>
              </w:rPr>
            </w:pPr>
            <w:hyperlink r:id="rId35">
              <w:r>
                <w:rPr>
                  <w:color w:val="0000FF"/>
                  <w:sz w:val="18"/>
                  <w:u w:val="single" w:color="0000FF"/>
                </w:rPr>
                <w:t>Oblimersen Plus Combination Chemotherapy and</w:t>
              </w:r>
            </w:hyperlink>
            <w:r>
              <w:rPr>
                <w:color w:val="0000FF"/>
                <w:sz w:val="18"/>
              </w:rPr>
              <w:t> </w:t>
            </w:r>
            <w:hyperlink r:id="rId35">
              <w:r>
                <w:rPr>
                  <w:color w:val="0000FF"/>
                  <w:sz w:val="18"/>
                  <w:u w:val="single" w:color="0000FF"/>
                </w:rPr>
                <w:t>Dexrazoxane in Treating Children and Adolescents With</w:t>
              </w:r>
            </w:hyperlink>
            <w:r>
              <w:rPr>
                <w:color w:val="0000FF"/>
                <w:sz w:val="18"/>
              </w:rPr>
              <w:t> </w:t>
            </w:r>
            <w:hyperlink r:id="rId35">
              <w:r>
                <w:rPr>
                  <w:color w:val="0000FF"/>
                  <w:sz w:val="18"/>
                  <w:u w:val="single" w:color="0000FF"/>
                </w:rPr>
                <w:t>Relapsed or Refractory Solid Tumors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85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Cardiac Toxicity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222" w:val="left" w:leader="none"/>
              </w:tabs>
              <w:spacing w:line="249" w:lineRule="auto" w:before="124" w:after="0"/>
              <w:ind w:left="221" w:right="658" w:hanging="80"/>
              <w:jc w:val="left"/>
              <w:rPr>
                <w:sz w:val="18"/>
              </w:rPr>
            </w:pPr>
            <w:r>
              <w:rPr>
                <w:sz w:val="18"/>
              </w:rPr>
              <w:t>Unspecified Childhood Solid </w:t>
            </w:r>
            <w:r>
              <w:rPr>
                <w:spacing w:val="-3"/>
                <w:sz w:val="18"/>
              </w:rPr>
              <w:t>Tumor, </w:t>
            </w:r>
            <w:r>
              <w:rPr>
                <w:sz w:val="18"/>
              </w:rPr>
              <w:t>Protocol Specific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86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dexrazoxane hydrochloride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doxorubicin hydrochloride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cyclophosphamide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filgrastim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pharmacological study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87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Children's Oncology Group, Arcadia, California, United States</w:t>
            </w:r>
          </w:p>
        </w:tc>
      </w:tr>
      <w:tr>
        <w:trPr>
          <w:trHeight w:val="5585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56" w:firstLine="0"/>
              <w:rPr>
                <w:sz w:val="18"/>
              </w:rPr>
            </w:pPr>
            <w:hyperlink r:id="rId36">
              <w:r>
                <w:rPr>
                  <w:color w:val="0000FF"/>
                  <w:sz w:val="18"/>
                  <w:u w:val="single" w:color="0000FF"/>
                </w:rPr>
                <w:t>Docetaxel With or Without Oblimersen in Treating Patients</w:t>
              </w:r>
            </w:hyperlink>
            <w:r>
              <w:rPr>
                <w:color w:val="0000FF"/>
                <w:sz w:val="18"/>
              </w:rPr>
              <w:t> </w:t>
            </w:r>
            <w:hyperlink r:id="rId36">
              <w:r>
                <w:rPr>
                  <w:color w:val="0000FF"/>
                  <w:sz w:val="18"/>
                  <w:u w:val="single" w:color="0000FF"/>
                </w:rPr>
                <w:t>With Non-Small 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Unknown status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88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Lung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89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docetaxel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42" w:after="0"/>
              <w:ind w:left="220" w:right="28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Alabama at Birmingham Comprehensive </w:t>
            </w:r>
            <w:r>
              <w:rPr>
                <w:spacing w:val="-3"/>
                <w:sz w:val="18"/>
              </w:rPr>
              <w:t>Cancer </w:t>
            </w:r>
            <w:r>
              <w:rPr>
                <w:sz w:val="18"/>
              </w:rPr>
              <w:t>Center, Birmingham, Alabama, United 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16" w:after="0"/>
              <w:ind w:left="220" w:right="437" w:hanging="80"/>
              <w:jc w:val="left"/>
              <w:rPr>
                <w:sz w:val="18"/>
              </w:rPr>
            </w:pPr>
            <w:r>
              <w:rPr>
                <w:sz w:val="18"/>
              </w:rPr>
              <w:t>Montgomery Cancer Center, Montgomery, Alabama,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17" w:after="0"/>
              <w:ind w:left="220" w:right="607" w:hanging="80"/>
              <w:jc w:val="left"/>
              <w:rPr>
                <w:sz w:val="18"/>
              </w:rPr>
            </w:pPr>
            <w:r>
              <w:rPr>
                <w:sz w:val="18"/>
              </w:rPr>
              <w:t>Little Rock Hematology-Oncology Associates, Little </w:t>
            </w:r>
            <w:r>
              <w:rPr>
                <w:spacing w:val="-4"/>
                <w:sz w:val="18"/>
              </w:rPr>
              <w:t>Rock, </w:t>
            </w:r>
            <w:r>
              <w:rPr>
                <w:sz w:val="18"/>
              </w:rPr>
              <w:t>Arkansas, United 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East Bay Medical Oncology, Concord, California, United 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24" w:after="0"/>
              <w:ind w:left="220" w:right="266" w:hanging="80"/>
              <w:jc w:val="left"/>
              <w:rPr>
                <w:sz w:val="18"/>
              </w:rPr>
            </w:pPr>
            <w:r>
              <w:rPr>
                <w:sz w:val="18"/>
              </w:rPr>
              <w:t>Jonsson Comprehensive Cancer Center, UCLA, Los Angeles, California, United 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16" w:after="0"/>
              <w:ind w:left="220" w:right="218" w:hanging="80"/>
              <w:jc w:val="left"/>
              <w:rPr>
                <w:sz w:val="18"/>
              </w:rPr>
            </w:pPr>
            <w:r>
              <w:rPr>
                <w:sz w:val="18"/>
              </w:rPr>
              <w:t>Medical Oncology Care Associates, Orange, California,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17" w:after="0"/>
              <w:ind w:left="220" w:right="107" w:hanging="80"/>
              <w:jc w:val="left"/>
              <w:rPr>
                <w:sz w:val="18"/>
              </w:rPr>
            </w:pPr>
            <w:r>
              <w:rPr>
                <w:sz w:val="18"/>
              </w:rPr>
              <w:t>Pacific Hematology/Oncology, San Francisco, California,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17" w:after="0"/>
              <w:ind w:left="220" w:right="442" w:hanging="80"/>
              <w:jc w:val="left"/>
              <w:rPr>
                <w:sz w:val="18"/>
              </w:rPr>
            </w:pPr>
            <w:r>
              <w:rPr>
                <w:sz w:val="18"/>
              </w:rPr>
              <w:t>John Wayne Cancer Institute at Saint John's Health </w:t>
            </w:r>
            <w:r>
              <w:rPr>
                <w:spacing w:val="-3"/>
                <w:sz w:val="18"/>
              </w:rPr>
              <w:t>Center, </w:t>
            </w:r>
            <w:r>
              <w:rPr>
                <w:sz w:val="18"/>
              </w:rPr>
              <w:t>Santa Monica, California, United 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16" w:after="0"/>
              <w:ind w:left="220" w:right="17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Colorado Cancer Center at University of </w:t>
            </w:r>
            <w:r>
              <w:rPr>
                <w:spacing w:val="-3"/>
                <w:sz w:val="18"/>
              </w:rPr>
              <w:t>Colorado </w:t>
            </w:r>
            <w:r>
              <w:rPr>
                <w:sz w:val="18"/>
              </w:rPr>
              <w:t>Health Sciences Center, Aurora, Colorado, United 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9" w:lineRule="auto" w:before="117" w:after="0"/>
              <w:ind w:left="220" w:right="547" w:hanging="80"/>
              <w:jc w:val="left"/>
              <w:rPr>
                <w:sz w:val="18"/>
              </w:rPr>
            </w:pPr>
            <w:r>
              <w:rPr>
                <w:sz w:val="18"/>
              </w:rPr>
              <w:t>Whittingham Cancer Center, Norwalk, Connecticut,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221" w:val="left" w:leader="none"/>
              </w:tabs>
              <w:spacing w:line="240" w:lineRule="auto" w:before="117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and 34 more</w:t>
            </w:r>
          </w:p>
        </w:tc>
      </w:tr>
      <w:tr>
        <w:trPr>
          <w:trHeight w:val="660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546" w:firstLine="0"/>
              <w:rPr>
                <w:sz w:val="18"/>
              </w:rPr>
            </w:pPr>
            <w:hyperlink r:id="rId37">
              <w:r>
                <w:rPr>
                  <w:color w:val="0000FF"/>
                  <w:sz w:val="18"/>
                  <w:u w:val="single" w:color="0000FF"/>
                </w:rPr>
                <w:t>Dexamethasone With or Without Oblimersen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37">
              <w:r>
                <w:rPr>
                  <w:color w:val="0000FF"/>
                  <w:sz w:val="18"/>
                  <w:u w:val="single" w:color="0000FF"/>
                </w:rPr>
                <w:t>Patients With Relapsed or Refractory Multiple Myeloma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91"/>
              </w:numPr>
              <w:tabs>
                <w:tab w:pos="222" w:val="left" w:leader="none"/>
              </w:tabs>
              <w:spacing w:line="249" w:lineRule="auto" w:before="42" w:after="0"/>
              <w:ind w:left="221" w:right="769" w:hanging="80"/>
              <w:jc w:val="left"/>
              <w:rPr>
                <w:sz w:val="18"/>
              </w:rPr>
            </w:pPr>
            <w:r>
              <w:rPr>
                <w:sz w:val="18"/>
              </w:rPr>
              <w:t>Multiple Myeloma and Plasma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Neoplasm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9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dexamethasone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93"/>
              </w:numPr>
              <w:tabs>
                <w:tab w:pos="221" w:val="left" w:leader="none"/>
              </w:tabs>
              <w:spacing w:line="249" w:lineRule="auto" w:before="42" w:after="0"/>
              <w:ind w:left="220" w:right="517" w:hanging="80"/>
              <w:jc w:val="left"/>
              <w:rPr>
                <w:sz w:val="18"/>
              </w:rPr>
            </w:pPr>
            <w:r>
              <w:rPr>
                <w:sz w:val="18"/>
              </w:rPr>
              <w:t>Genta Incorporated, Berkeley Heights, New Jersey,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545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ind w:left="143" w:firstLine="0"/>
              <w:rPr>
                <w:sz w:val="18"/>
              </w:rPr>
            </w:pPr>
            <w:hyperlink r:id="rId38">
              <w:r>
                <w:rPr>
                  <w:color w:val="0000FF"/>
                  <w:sz w:val="18"/>
                  <w:u w:val="single" w:color="0000FF"/>
                </w:rPr>
                <w:t>A Phase I Study of G3139 Subcutaneous in Solid Tumors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94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Tumors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95"/>
              </w:numPr>
              <w:tabs>
                <w:tab w:pos="217" w:val="left" w:leader="none"/>
              </w:tabs>
              <w:spacing w:line="249" w:lineRule="auto" w:before="42" w:after="0"/>
              <w:ind w:left="216" w:right="344" w:hanging="80"/>
              <w:jc w:val="left"/>
              <w:rPr>
                <w:sz w:val="18"/>
              </w:rPr>
            </w:pPr>
            <w:r>
              <w:rPr>
                <w:sz w:val="18"/>
              </w:rPr>
              <w:t>Drug: G3139, Oblimersen sodium, </w:t>
            </w:r>
            <w:r>
              <w:rPr>
                <w:spacing w:val="-4"/>
                <w:sz w:val="18"/>
              </w:rPr>
              <w:t>Bcl-2 </w:t>
            </w:r>
            <w:r>
              <w:rPr>
                <w:sz w:val="18"/>
              </w:rPr>
              <w:t>antisense oligonucleotide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96"/>
              </w:numPr>
              <w:tabs>
                <w:tab w:pos="221" w:val="left" w:leader="none"/>
              </w:tabs>
              <w:spacing w:line="249" w:lineRule="auto" w:before="42" w:after="0"/>
              <w:ind w:left="220" w:right="166" w:hanging="80"/>
              <w:jc w:val="left"/>
              <w:rPr>
                <w:sz w:val="18"/>
              </w:rPr>
            </w:pPr>
            <w:r>
              <w:rPr>
                <w:sz w:val="18"/>
              </w:rPr>
              <w:t>Clinical Research Institute for Drug Development, San Antonio, Texas, United States</w:t>
            </w:r>
          </w:p>
        </w:tc>
      </w:tr>
    </w:tbl>
    <w:p>
      <w:pPr>
        <w:spacing w:after="0" w:line="249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5796" w:hRule="atLeast"/>
        </w:trPr>
        <w:tc>
          <w:tcPr>
            <w:tcW w:w="1181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196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34" w:firstLine="0"/>
              <w:rPr>
                <w:sz w:val="18"/>
              </w:rPr>
            </w:pPr>
            <w:hyperlink r:id="rId39">
              <w:r>
                <w:rPr>
                  <w:color w:val="0000FF"/>
                  <w:sz w:val="18"/>
                  <w:u w:val="single" w:color="0000FF"/>
                </w:rPr>
                <w:t>Bcl-2 Antisense Oligodeoxynucleotide G3139 and Paclitaxel in</w:t>
              </w:r>
            </w:hyperlink>
            <w:r>
              <w:rPr>
                <w:color w:val="0000FF"/>
                <w:sz w:val="18"/>
              </w:rPr>
              <w:t> </w:t>
            </w:r>
            <w:hyperlink r:id="rId39">
              <w:r>
                <w:rPr>
                  <w:color w:val="0000FF"/>
                  <w:sz w:val="18"/>
                  <w:u w:val="single" w:color="0000FF"/>
                </w:rPr>
                <w:t>Treating Patients With Recurrent Small Cell Lung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bottom w:val="single" w:sz="12" w:space="0" w:color="DBDBDB"/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97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Lung Cancer</w:t>
            </w:r>
          </w:p>
        </w:tc>
        <w:tc>
          <w:tcPr>
            <w:tcW w:w="3779" w:type="dxa"/>
            <w:tcBorders>
              <w:left w:val="single" w:sz="12" w:space="0" w:color="DBDBDB"/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98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9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paclitaxel</w:t>
            </w:r>
          </w:p>
        </w:tc>
        <w:tc>
          <w:tcPr>
            <w:tcW w:w="5432" w:type="dxa"/>
            <w:tcBorders>
              <w:bottom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University of Illinois at Chicago, Chicago, Illinois, United 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24" w:after="0"/>
              <w:ind w:left="220" w:right="63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Chicago Cancer Research Center, Chicago, Illinois, United 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6" w:after="0"/>
              <w:ind w:left="220" w:right="527" w:hanging="80"/>
              <w:jc w:val="left"/>
              <w:rPr>
                <w:sz w:val="18"/>
              </w:rPr>
            </w:pPr>
            <w:r>
              <w:rPr>
                <w:sz w:val="18"/>
              </w:rPr>
              <w:t>Louis A. Weiss Memorial Hospital, Chicago, Illinois,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7" w:after="0"/>
              <w:ind w:left="220" w:right="47" w:hanging="80"/>
              <w:jc w:val="left"/>
              <w:rPr>
                <w:sz w:val="18"/>
              </w:rPr>
            </w:pPr>
            <w:r>
              <w:rPr>
                <w:sz w:val="18"/>
              </w:rPr>
              <w:t>Cancer Care Specialists of Central Illinois, S.C., Decatur, Illinois, United 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7" w:after="0"/>
              <w:ind w:left="220" w:right="236" w:hanging="80"/>
              <w:jc w:val="left"/>
              <w:rPr>
                <w:sz w:val="18"/>
              </w:rPr>
            </w:pPr>
            <w:r>
              <w:rPr>
                <w:sz w:val="18"/>
              </w:rPr>
              <w:t>Evanston Northwestern Health Care, Evanston, Illinois,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6" w:after="0"/>
              <w:ind w:left="220" w:right="327" w:hanging="80"/>
              <w:jc w:val="left"/>
              <w:rPr>
                <w:sz w:val="18"/>
              </w:rPr>
            </w:pPr>
            <w:r>
              <w:rPr>
                <w:sz w:val="18"/>
              </w:rPr>
              <w:t>Division of Hematology/Oncology, Park Ridge, Illinois,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7" w:after="0"/>
              <w:ind w:left="220" w:right="617" w:hanging="80"/>
              <w:jc w:val="left"/>
              <w:rPr>
                <w:sz w:val="18"/>
              </w:rPr>
            </w:pPr>
            <w:r>
              <w:rPr>
                <w:sz w:val="18"/>
              </w:rPr>
              <w:t>Oncology/Hematology Associates of Central Illinois, </w:t>
            </w:r>
            <w:r>
              <w:rPr>
                <w:spacing w:val="-4"/>
                <w:sz w:val="18"/>
              </w:rPr>
              <w:t>P.C., </w:t>
            </w:r>
            <w:r>
              <w:rPr>
                <w:sz w:val="18"/>
              </w:rPr>
              <w:t>Peoria, Illinois, United 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7" w:after="0"/>
              <w:ind w:left="220" w:right="647" w:hanging="80"/>
              <w:jc w:val="left"/>
              <w:rPr>
                <w:sz w:val="18"/>
              </w:rPr>
            </w:pPr>
            <w:r>
              <w:rPr>
                <w:sz w:val="18"/>
              </w:rPr>
              <w:t>Central Illinois Hematology Oncology Center, </w:t>
            </w:r>
            <w:r>
              <w:rPr>
                <w:spacing w:val="-2"/>
                <w:sz w:val="18"/>
              </w:rPr>
              <w:t>Springfield, </w:t>
            </w:r>
            <w:r>
              <w:rPr>
                <w:sz w:val="18"/>
              </w:rPr>
              <w:t>Illinois, United 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6" w:after="0"/>
              <w:ind w:left="220" w:right="607" w:hanging="80"/>
              <w:jc w:val="left"/>
              <w:rPr>
                <w:sz w:val="18"/>
              </w:rPr>
            </w:pPr>
            <w:r>
              <w:rPr>
                <w:sz w:val="18"/>
              </w:rPr>
              <w:t>Fort Wayne Medical Oncology and Hematology, Inc., </w:t>
            </w:r>
            <w:r>
              <w:rPr>
                <w:spacing w:val="-4"/>
                <w:sz w:val="18"/>
              </w:rPr>
              <w:t>Fort </w:t>
            </w:r>
            <w:r>
              <w:rPr>
                <w:sz w:val="18"/>
              </w:rPr>
              <w:t>Wayne, Indiana, United 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7" w:after="0"/>
              <w:ind w:left="220" w:right="466" w:hanging="80"/>
              <w:jc w:val="left"/>
              <w:rPr>
                <w:sz w:val="18"/>
              </w:rPr>
            </w:pPr>
            <w:r>
              <w:rPr>
                <w:sz w:val="18"/>
              </w:rPr>
              <w:t>Michiana Hematology/Oncology P.C., South Bend, Indiana, United States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221" w:val="left" w:leader="none"/>
              </w:tabs>
              <w:spacing w:line="249" w:lineRule="auto" w:before="117" w:after="0"/>
              <w:ind w:left="220" w:right="647" w:hanging="80"/>
              <w:jc w:val="left"/>
              <w:rPr>
                <w:sz w:val="18"/>
              </w:rPr>
            </w:pPr>
            <w:r>
              <w:rPr>
                <w:sz w:val="18"/>
              </w:rPr>
              <w:t>Arthur G. James Cancer Hospital - Ohio State University, Columbus, Ohio, United States</w:t>
            </w:r>
          </w:p>
        </w:tc>
      </w:tr>
      <w:tr>
        <w:trPr>
          <w:trHeight w:val="1418" w:hRule="atLeast"/>
        </w:trPr>
        <w:tc>
          <w:tcPr>
            <w:tcW w:w="1181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7"/>
              <w:ind w:left="143" w:firstLine="0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5196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spacing w:line="249" w:lineRule="auto" w:before="37"/>
              <w:ind w:left="143" w:right="595" w:firstLine="0"/>
              <w:rPr>
                <w:sz w:val="18"/>
              </w:rPr>
            </w:pPr>
            <w:hyperlink r:id="rId40">
              <w:r>
                <w:rPr>
                  <w:color w:val="0000FF"/>
                  <w:sz w:val="18"/>
                  <w:u w:val="single" w:color="0000FF"/>
                </w:rPr>
                <w:t>Phase I/II Study of Genasense in Patients With Chronic</w:t>
              </w:r>
            </w:hyperlink>
            <w:r>
              <w:rPr>
                <w:color w:val="0000FF"/>
                <w:sz w:val="18"/>
              </w:rPr>
              <w:t> </w:t>
            </w:r>
            <w:hyperlink r:id="rId40">
              <w:r>
                <w:rPr>
                  <w:color w:val="0000FF"/>
                  <w:sz w:val="18"/>
                  <w:u w:val="single" w:color="0000FF"/>
                </w:rPr>
                <w:t>Lymphocytic Leukemia</w:t>
              </w:r>
            </w:hyperlink>
          </w:p>
        </w:tc>
        <w:tc>
          <w:tcPr>
            <w:tcW w:w="2126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spacing w:before="37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tcBorders>
              <w:top w:val="single" w:sz="12" w:space="0" w:color="DBDBDB"/>
            </w:tcBorders>
          </w:tcPr>
          <w:p>
            <w:pPr>
              <w:pStyle w:val="TableParagraph"/>
              <w:spacing w:before="37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top w:val="single" w:sz="12" w:space="0" w:color="DBDBDB"/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00"/>
              </w:numPr>
              <w:tabs>
                <w:tab w:pos="222" w:val="left" w:leader="none"/>
              </w:tabs>
              <w:spacing w:line="240" w:lineRule="auto" w:before="3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Chronic Lymphocytic Leukemia</w:t>
            </w:r>
          </w:p>
          <w:p>
            <w:pPr>
              <w:pStyle w:val="TableParagraph"/>
              <w:numPr>
                <w:ilvl w:val="0"/>
                <w:numId w:val="100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CLL</w:t>
            </w:r>
          </w:p>
        </w:tc>
        <w:tc>
          <w:tcPr>
            <w:tcW w:w="3779" w:type="dxa"/>
            <w:tcBorders>
              <w:top w:val="single" w:sz="12" w:space="0" w:color="DBDBDB"/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01"/>
              </w:numPr>
              <w:tabs>
                <w:tab w:pos="217" w:val="left" w:leader="none"/>
              </w:tabs>
              <w:spacing w:line="240" w:lineRule="auto" w:before="3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Oblimerson sodium, G3139</w:t>
            </w:r>
          </w:p>
        </w:tc>
        <w:tc>
          <w:tcPr>
            <w:tcW w:w="5432" w:type="dxa"/>
            <w:tcBorders>
              <w:top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02"/>
              </w:numPr>
              <w:tabs>
                <w:tab w:pos="221" w:val="left" w:leader="none"/>
              </w:tabs>
              <w:spacing w:line="249" w:lineRule="auto" w:before="37" w:after="0"/>
              <w:ind w:left="220" w:right="117" w:hanging="80"/>
              <w:jc w:val="left"/>
              <w:rPr>
                <w:sz w:val="18"/>
              </w:rPr>
            </w:pPr>
            <w:r>
              <w:rPr>
                <w:sz w:val="18"/>
              </w:rPr>
              <w:t>Long Island Jewish Medical Center, New Hyde Park,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221" w:val="left" w:leader="none"/>
              </w:tabs>
              <w:spacing w:line="240" w:lineRule="auto" w:before="116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MD Anderson Cancer Center, Houston, Texas, United States</w:t>
            </w:r>
          </w:p>
          <w:p>
            <w:pPr>
              <w:pStyle w:val="TableParagraph"/>
              <w:numPr>
                <w:ilvl w:val="0"/>
                <w:numId w:val="102"/>
              </w:numPr>
              <w:tabs>
                <w:tab w:pos="221" w:val="left" w:leader="none"/>
              </w:tabs>
              <w:spacing w:line="249" w:lineRule="auto" w:before="124" w:after="0"/>
              <w:ind w:left="220" w:right="606" w:hanging="80"/>
              <w:jc w:val="left"/>
              <w:rPr>
                <w:sz w:val="18"/>
              </w:rPr>
            </w:pPr>
            <w:r>
              <w:rPr>
                <w:sz w:val="18"/>
              </w:rPr>
              <w:t>San Antonio Cancer Institute, San Antonio, Texas,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1322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545" w:firstLine="0"/>
              <w:rPr>
                <w:sz w:val="18"/>
              </w:rPr>
            </w:pPr>
            <w:hyperlink r:id="rId41">
              <w:r>
                <w:rPr>
                  <w:color w:val="0000FF"/>
                  <w:sz w:val="18"/>
                  <w:u w:val="single" w:color="0000FF"/>
                </w:rPr>
                <w:t>Combination Chemotherapy and Oblimersen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41">
              <w:r>
                <w:rPr>
                  <w:color w:val="0000FF"/>
                  <w:sz w:val="18"/>
                  <w:u w:val="single" w:color="0000FF"/>
                </w:rPr>
                <w:t>Patients With Advanced Colorectal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03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Colorectal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04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0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fluorouracil</w:t>
            </w:r>
          </w:p>
          <w:p>
            <w:pPr>
              <w:pStyle w:val="TableParagraph"/>
              <w:numPr>
                <w:ilvl w:val="0"/>
                <w:numId w:val="10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leucovorin calcium</w:t>
            </w:r>
          </w:p>
          <w:p>
            <w:pPr>
              <w:pStyle w:val="TableParagraph"/>
              <w:numPr>
                <w:ilvl w:val="0"/>
                <w:numId w:val="104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oxaliplatin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05"/>
              </w:numPr>
              <w:tabs>
                <w:tab w:pos="221" w:val="left" w:leader="none"/>
              </w:tabs>
              <w:spacing w:line="249" w:lineRule="auto" w:before="42" w:after="0"/>
              <w:ind w:left="220" w:right="606" w:hanging="80"/>
              <w:jc w:val="left"/>
              <w:rPr>
                <w:sz w:val="18"/>
              </w:rPr>
            </w:pPr>
            <w:r>
              <w:rPr>
                <w:sz w:val="18"/>
              </w:rPr>
              <w:t>San Antonio Cancer Institute, San Antonio, Texas,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1092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45" w:firstLine="0"/>
              <w:rPr>
                <w:sz w:val="18"/>
              </w:rPr>
            </w:pPr>
            <w:hyperlink r:id="rId42">
              <w:r>
                <w:rPr>
                  <w:color w:val="0000FF"/>
                  <w:sz w:val="18"/>
                  <w:u w:val="single" w:color="0000FF"/>
                </w:rPr>
                <w:t>Oblimersen, Thalidomide, and Dexamethasone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42">
              <w:r>
                <w:rPr>
                  <w:color w:val="0000FF"/>
                  <w:sz w:val="18"/>
                  <w:u w:val="single" w:color="0000FF"/>
                </w:rPr>
                <w:t>Patients With Relapsed or Refractory Multiple Myeloma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06"/>
              </w:numPr>
              <w:tabs>
                <w:tab w:pos="222" w:val="left" w:leader="none"/>
              </w:tabs>
              <w:spacing w:line="249" w:lineRule="auto" w:before="42" w:after="0"/>
              <w:ind w:left="221" w:right="769" w:hanging="80"/>
              <w:jc w:val="left"/>
              <w:rPr>
                <w:sz w:val="18"/>
              </w:rPr>
            </w:pPr>
            <w:r>
              <w:rPr>
                <w:sz w:val="18"/>
              </w:rPr>
              <w:t>Multiple Myeloma and Plasma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Neoplasm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07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dexamethasone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thalidomide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108"/>
              </w:numPr>
              <w:tabs>
                <w:tab w:pos="221" w:val="left" w:leader="none"/>
              </w:tabs>
              <w:spacing w:line="249" w:lineRule="auto" w:before="42" w:after="0"/>
              <w:ind w:left="220" w:right="217" w:hanging="80"/>
              <w:jc w:val="left"/>
              <w:rPr>
                <w:sz w:val="18"/>
              </w:rPr>
            </w:pPr>
            <w:r>
              <w:rPr>
                <w:sz w:val="18"/>
              </w:rPr>
              <w:t>Greenebaum Cancer Center at University of Maryland </w:t>
            </w:r>
            <w:r>
              <w:rPr>
                <w:spacing w:val="-3"/>
                <w:sz w:val="18"/>
              </w:rPr>
              <w:t>Medical </w:t>
            </w:r>
            <w:r>
              <w:rPr>
                <w:sz w:val="18"/>
              </w:rPr>
              <w:t>Center, Baltimore, Maryland, United States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pos="221" w:val="left" w:leader="none"/>
              </w:tabs>
              <w:spacing w:line="249" w:lineRule="auto" w:before="116" w:after="0"/>
              <w:ind w:left="220" w:right="192" w:hanging="80"/>
              <w:jc w:val="left"/>
              <w:rPr>
                <w:sz w:val="18"/>
              </w:rPr>
            </w:pPr>
            <w:r>
              <w:rPr>
                <w:sz w:val="18"/>
              </w:rPr>
              <w:t>St. Vincent's Comprehensive Cancer Center - Manhattan, </w:t>
            </w:r>
            <w:r>
              <w:rPr>
                <w:spacing w:val="-6"/>
                <w:sz w:val="18"/>
              </w:rPr>
              <w:t>New </w:t>
            </w:r>
            <w:r>
              <w:rPr>
                <w:sz w:val="18"/>
              </w:rPr>
              <w:t>York, New York, United States</w:t>
            </w:r>
          </w:p>
        </w:tc>
      </w:tr>
      <w:tr>
        <w:trPr>
          <w:trHeight w:val="2316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285" w:firstLine="0"/>
              <w:rPr>
                <w:sz w:val="18"/>
              </w:rPr>
            </w:pPr>
            <w:hyperlink r:id="rId43">
              <w:r>
                <w:rPr>
                  <w:color w:val="0000FF"/>
                  <w:sz w:val="18"/>
                  <w:u w:val="single" w:color="0000FF"/>
                </w:rPr>
                <w:t>S0349 Rituximab, Cyclophosphamide, Doxorubicin,</w:t>
              </w:r>
            </w:hyperlink>
            <w:r>
              <w:rPr>
                <w:color w:val="0000FF"/>
                <w:sz w:val="18"/>
              </w:rPr>
              <w:t> </w:t>
            </w:r>
            <w:hyperlink r:id="rId43">
              <w:r>
                <w:rPr>
                  <w:color w:val="0000FF"/>
                  <w:sz w:val="18"/>
                  <w:u w:val="single" w:color="0000FF"/>
                </w:rPr>
                <w:t>Vincristine, and Prednisone With or Without Oblimersen in</w:t>
              </w:r>
            </w:hyperlink>
            <w:r>
              <w:rPr>
                <w:color w:val="0000FF"/>
                <w:sz w:val="18"/>
              </w:rPr>
              <w:t> </w:t>
            </w:r>
            <w:hyperlink r:id="rId43">
              <w:r>
                <w:rPr>
                  <w:color w:val="0000FF"/>
                  <w:sz w:val="18"/>
                  <w:u w:val="single" w:color="0000FF"/>
                </w:rPr>
                <w:t>Treating Patients With Advanced Diffuse Large B-Cell Non-</w:t>
              </w:r>
            </w:hyperlink>
            <w:r>
              <w:rPr>
                <w:color w:val="0000FF"/>
                <w:sz w:val="18"/>
              </w:rPr>
              <w:t> </w:t>
            </w:r>
            <w:hyperlink r:id="rId43">
              <w:r>
                <w:rPr>
                  <w:color w:val="0000FF"/>
                  <w:sz w:val="18"/>
                  <w:u w:val="single" w:color="0000FF"/>
                </w:rPr>
                <w:t>Hodgkin's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09"/>
              </w:numPr>
              <w:tabs>
                <w:tab w:pos="222" w:val="left" w:leader="none"/>
              </w:tabs>
              <w:spacing w:line="249" w:lineRule="auto" w:before="42" w:after="0"/>
              <w:ind w:left="221" w:right="36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Diffuse </w:t>
            </w:r>
            <w:r>
              <w:rPr>
                <w:spacing w:val="-4"/>
                <w:sz w:val="18"/>
              </w:rPr>
              <w:t>Large </w:t>
            </w:r>
            <w:r>
              <w:rPr>
                <w:sz w:val="18"/>
              </w:rPr>
              <w:t>Cell Lymphoma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22" w:val="left" w:leader="none"/>
              </w:tabs>
              <w:spacing w:line="249" w:lineRule="auto" w:before="116" w:after="0"/>
              <w:ind w:left="221" w:right="78" w:hanging="80"/>
              <w:jc w:val="left"/>
              <w:rPr>
                <w:sz w:val="18"/>
              </w:rPr>
            </w:pPr>
            <w:r>
              <w:rPr>
                <w:sz w:val="18"/>
              </w:rPr>
              <w:t>Noncontiguous Stage II Adult Diffuse </w:t>
            </w:r>
            <w:r>
              <w:rPr>
                <w:spacing w:val="-4"/>
                <w:sz w:val="18"/>
              </w:rPr>
              <w:t>Large </w:t>
            </w:r>
            <w:r>
              <w:rPr>
                <w:sz w:val="18"/>
              </w:rPr>
              <w:t>Cell Lymphoma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22" w:val="left" w:leader="none"/>
              </w:tabs>
              <w:spacing w:line="249" w:lineRule="auto" w:before="117" w:after="0"/>
              <w:ind w:left="221" w:right="919" w:hanging="80"/>
              <w:jc w:val="left"/>
              <w:rPr>
                <w:sz w:val="18"/>
              </w:rPr>
            </w:pPr>
            <w:r>
              <w:rPr>
                <w:sz w:val="18"/>
              </w:rPr>
              <w:t>Stage III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109"/>
              </w:numPr>
              <w:tabs>
                <w:tab w:pos="222" w:val="left" w:leader="none"/>
              </w:tabs>
              <w:spacing w:line="249" w:lineRule="auto" w:before="117" w:after="0"/>
              <w:ind w:left="221" w:right="900" w:hanging="80"/>
              <w:jc w:val="left"/>
              <w:rPr>
                <w:sz w:val="18"/>
              </w:rPr>
            </w:pPr>
            <w:r>
              <w:rPr>
                <w:sz w:val="18"/>
              </w:rPr>
              <w:t>Stage IV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10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cyclophosphamide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doxorubicin hydrochloride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vincristine sulfate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prednisone</w:t>
            </w:r>
          </w:p>
          <w:p>
            <w:pPr>
              <w:pStyle w:val="TableParagraph"/>
              <w:numPr>
                <w:ilvl w:val="0"/>
                <w:numId w:val="110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11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Southwest Oncology Group, San Antonio, Texas, United States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8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2186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85" w:firstLine="0"/>
              <w:rPr>
                <w:sz w:val="18"/>
              </w:rPr>
            </w:pPr>
            <w:hyperlink r:id="rId44">
              <w:r>
                <w:rPr>
                  <w:color w:val="0000FF"/>
                  <w:sz w:val="18"/>
                  <w:u w:val="single" w:color="0000FF"/>
                </w:rPr>
                <w:t>Oblimersen, Rituximab, Cyclophosphamide, Doxorubicin,</w:t>
              </w:r>
            </w:hyperlink>
            <w:r>
              <w:rPr>
                <w:color w:val="0000FF"/>
                <w:sz w:val="18"/>
              </w:rPr>
              <w:t> </w:t>
            </w:r>
            <w:hyperlink r:id="rId44">
              <w:r>
                <w:rPr>
                  <w:color w:val="0000FF"/>
                  <w:sz w:val="18"/>
                  <w:u w:val="single" w:color="0000FF"/>
                </w:rPr>
                <w:t>Vincristine, and Prednisone in Treating Patients With Stage II,</w:t>
              </w:r>
            </w:hyperlink>
            <w:r>
              <w:rPr>
                <w:color w:val="0000FF"/>
                <w:sz w:val="18"/>
              </w:rPr>
              <w:t> </w:t>
            </w:r>
            <w:hyperlink r:id="rId44">
              <w:r>
                <w:rPr>
                  <w:color w:val="0000FF"/>
                  <w:sz w:val="18"/>
                  <w:u w:val="single" w:color="0000FF"/>
                </w:rPr>
                <w:t>Stage III, or Stage IV Diffuse Large B-Cell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12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13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cyclophosphamide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doxorubicin hydrochloride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prednisone</w:t>
            </w:r>
          </w:p>
          <w:p>
            <w:pPr>
              <w:pStyle w:val="TableParagraph"/>
              <w:numPr>
                <w:ilvl w:val="0"/>
                <w:numId w:val="113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vincristine sulfate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114"/>
              </w:numPr>
              <w:tabs>
                <w:tab w:pos="221" w:val="left" w:leader="none"/>
              </w:tabs>
              <w:spacing w:line="249" w:lineRule="auto" w:before="42" w:after="0"/>
              <w:ind w:left="220" w:right="207" w:hanging="80"/>
              <w:jc w:val="left"/>
              <w:rPr>
                <w:sz w:val="18"/>
              </w:rPr>
            </w:pPr>
            <w:r>
              <w:rPr>
                <w:sz w:val="18"/>
              </w:rPr>
              <w:t>Stanford Cancer Center at Stanford University Medical </w:t>
            </w:r>
            <w:r>
              <w:rPr>
                <w:spacing w:val="-3"/>
                <w:sz w:val="18"/>
              </w:rPr>
              <w:t>Center, </w:t>
            </w:r>
            <w:r>
              <w:rPr>
                <w:sz w:val="18"/>
              </w:rPr>
              <w:t>Stanford, California, United States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21" w:val="left" w:leader="none"/>
              </w:tabs>
              <w:spacing w:line="249" w:lineRule="auto" w:before="116" w:after="0"/>
              <w:ind w:left="220" w:right="557" w:hanging="80"/>
              <w:jc w:val="left"/>
              <w:rPr>
                <w:sz w:val="18"/>
              </w:rPr>
            </w:pPr>
            <w:r>
              <w:rPr>
                <w:sz w:val="18"/>
              </w:rPr>
              <w:t>British Columbia Cancer Agency - Centre for the </w:t>
            </w:r>
            <w:r>
              <w:rPr>
                <w:spacing w:val="-3"/>
                <w:sz w:val="18"/>
              </w:rPr>
              <w:t>Southern </w:t>
            </w:r>
            <w:r>
              <w:rPr>
                <w:sz w:val="18"/>
              </w:rPr>
              <w:t>Interior, Kelowna, British Columbia, Canada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21" w:val="left" w:leader="none"/>
              </w:tabs>
              <w:spacing w:line="249" w:lineRule="auto" w:before="117" w:after="0"/>
              <w:ind w:left="220" w:right="717" w:hanging="80"/>
              <w:jc w:val="left"/>
              <w:rPr>
                <w:sz w:val="18"/>
              </w:rPr>
            </w:pPr>
            <w:r>
              <w:rPr>
                <w:sz w:val="18"/>
              </w:rPr>
              <w:t>Fraser Valley Cancer Centre at British Columbia </w:t>
            </w:r>
            <w:r>
              <w:rPr>
                <w:spacing w:val="-3"/>
                <w:sz w:val="18"/>
              </w:rPr>
              <w:t>Cancer </w:t>
            </w:r>
            <w:r>
              <w:rPr>
                <w:sz w:val="18"/>
              </w:rPr>
              <w:t>Agency, Surrey, British Columbia, Canada</w:t>
            </w:r>
          </w:p>
          <w:p>
            <w:pPr>
              <w:pStyle w:val="TableParagraph"/>
              <w:numPr>
                <w:ilvl w:val="0"/>
                <w:numId w:val="114"/>
              </w:numPr>
              <w:tabs>
                <w:tab w:pos="221" w:val="left" w:leader="none"/>
              </w:tabs>
              <w:spacing w:line="249" w:lineRule="auto" w:before="117" w:after="0"/>
              <w:ind w:left="220" w:right="307" w:hanging="80"/>
              <w:jc w:val="left"/>
              <w:rPr>
                <w:sz w:val="18"/>
              </w:rPr>
            </w:pPr>
            <w:r>
              <w:rPr>
                <w:sz w:val="18"/>
              </w:rPr>
              <w:t>British Columbia Cancer Agency - Vancouver Cancer </w:t>
            </w:r>
            <w:r>
              <w:rPr>
                <w:spacing w:val="-3"/>
                <w:sz w:val="18"/>
              </w:rPr>
              <w:t>Centre, </w:t>
            </w:r>
            <w:r>
              <w:rPr>
                <w:sz w:val="18"/>
              </w:rPr>
              <w:t>Vancouver, British Columbia, Canada</w:t>
            </w:r>
          </w:p>
        </w:tc>
      </w:tr>
      <w:tr>
        <w:trPr>
          <w:trHeight w:val="1322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176" w:firstLine="0"/>
              <w:rPr>
                <w:sz w:val="18"/>
              </w:rPr>
            </w:pPr>
            <w:hyperlink r:id="rId45">
              <w:r>
                <w:rPr>
                  <w:color w:val="0000FF"/>
                  <w:sz w:val="18"/>
                  <w:u w:val="single" w:color="0000FF"/>
                </w:rPr>
                <w:t>Fludarabine and Cyclophosphamide With or Without</w:t>
              </w:r>
            </w:hyperlink>
            <w:r>
              <w:rPr>
                <w:color w:val="0000FF"/>
                <w:sz w:val="18"/>
              </w:rPr>
              <w:t> </w:t>
            </w:r>
            <w:hyperlink r:id="rId45">
              <w:r>
                <w:rPr>
                  <w:color w:val="0000FF"/>
                  <w:sz w:val="18"/>
                  <w:u w:val="single" w:color="0000FF"/>
                </w:rPr>
                <w:t>Oblimersen in Treating Patients With Relapsed or Refractory</w:t>
              </w:r>
            </w:hyperlink>
            <w:r>
              <w:rPr>
                <w:color w:val="0000FF"/>
                <w:sz w:val="18"/>
              </w:rPr>
              <w:t> </w:t>
            </w:r>
            <w:hyperlink r:id="rId45">
              <w:r>
                <w:rPr>
                  <w:color w:val="0000FF"/>
                  <w:sz w:val="18"/>
                  <w:u w:val="single" w:color="0000FF"/>
                </w:rPr>
                <w:t>Chronic Lymphocytic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15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16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filgrastim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cyclophosphamide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fludarabine phosphate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17"/>
              </w:numPr>
              <w:tabs>
                <w:tab w:pos="221" w:val="left" w:leader="none"/>
              </w:tabs>
              <w:spacing w:line="249" w:lineRule="auto" w:before="42" w:after="0"/>
              <w:ind w:left="220" w:right="517" w:hanging="80"/>
              <w:jc w:val="left"/>
              <w:rPr>
                <w:sz w:val="18"/>
              </w:rPr>
            </w:pPr>
            <w:r>
              <w:rPr>
                <w:sz w:val="18"/>
              </w:rPr>
              <w:t>Genta Incorporated, Berkeley Heights, New Jersey,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  <w:tr>
        <w:trPr>
          <w:trHeight w:val="3857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95" w:firstLine="0"/>
              <w:rPr>
                <w:sz w:val="18"/>
              </w:rPr>
            </w:pPr>
            <w:hyperlink r:id="rId46">
              <w:r>
                <w:rPr>
                  <w:color w:val="0000FF"/>
                  <w:sz w:val="18"/>
                  <w:u w:val="single" w:color="0000FF"/>
                </w:rPr>
                <w:t>Oblimersen Sodium and Combination Chemotherapy in</w:t>
              </w:r>
            </w:hyperlink>
            <w:r>
              <w:rPr>
                <w:color w:val="0000FF"/>
                <w:sz w:val="18"/>
              </w:rPr>
              <w:t> </w:t>
            </w:r>
            <w:hyperlink r:id="rId46">
              <w:r>
                <w:rPr>
                  <w:color w:val="0000FF"/>
                  <w:sz w:val="18"/>
                  <w:u w:val="single" w:color="0000FF"/>
                </w:rPr>
                <w:t>Treating Patients With Newly Diagnosed Stage I, Stage II,</w:t>
              </w:r>
            </w:hyperlink>
            <w:r>
              <w:rPr>
                <w:color w:val="0000FF"/>
                <w:sz w:val="18"/>
              </w:rPr>
              <w:t> </w:t>
            </w:r>
            <w:hyperlink r:id="rId46">
              <w:r>
                <w:rPr>
                  <w:color w:val="0000FF"/>
                  <w:sz w:val="18"/>
                  <w:u w:val="single" w:color="0000FF"/>
                </w:rPr>
                <w:t>Stage III, or Stage IV Diffuse Large B-Cell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Terminated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Has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18"/>
              </w:numPr>
              <w:tabs>
                <w:tab w:pos="222" w:val="left" w:leader="none"/>
              </w:tabs>
              <w:spacing w:line="249" w:lineRule="auto" w:before="42" w:after="0"/>
              <w:ind w:left="221" w:right="368" w:hanging="80"/>
              <w:jc w:val="left"/>
              <w:rPr>
                <w:sz w:val="18"/>
              </w:rPr>
            </w:pPr>
            <w:r>
              <w:rPr>
                <w:sz w:val="18"/>
              </w:rPr>
              <w:t>Contiguous Stage II Adult Diffuse </w:t>
            </w:r>
            <w:r>
              <w:rPr>
                <w:spacing w:val="-4"/>
                <w:sz w:val="18"/>
              </w:rPr>
              <w:t>Large </w:t>
            </w:r>
            <w:r>
              <w:rPr>
                <w:sz w:val="18"/>
              </w:rPr>
              <w:t>Cell Lymphoma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22" w:val="left" w:leader="none"/>
              </w:tabs>
              <w:spacing w:line="249" w:lineRule="auto" w:before="116" w:after="0"/>
              <w:ind w:left="221" w:right="78" w:hanging="80"/>
              <w:jc w:val="left"/>
              <w:rPr>
                <w:sz w:val="18"/>
              </w:rPr>
            </w:pPr>
            <w:r>
              <w:rPr>
                <w:sz w:val="18"/>
              </w:rPr>
              <w:t>Noncontiguous Stage II Adult Diffuse </w:t>
            </w:r>
            <w:r>
              <w:rPr>
                <w:spacing w:val="-4"/>
                <w:sz w:val="18"/>
              </w:rPr>
              <w:t>Large </w:t>
            </w:r>
            <w:r>
              <w:rPr>
                <w:sz w:val="18"/>
              </w:rPr>
              <w:t>Cell Lymphoma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22" w:val="left" w:leader="none"/>
              </w:tabs>
              <w:spacing w:line="240" w:lineRule="auto" w:before="117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Stage I Adult Diffuse Large Cell Lymphoma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22" w:val="left" w:leader="none"/>
              </w:tabs>
              <w:spacing w:line="249" w:lineRule="auto" w:before="124" w:after="0"/>
              <w:ind w:left="221" w:right="919" w:hanging="80"/>
              <w:jc w:val="left"/>
              <w:rPr>
                <w:sz w:val="18"/>
              </w:rPr>
            </w:pPr>
            <w:r>
              <w:rPr>
                <w:sz w:val="18"/>
              </w:rPr>
              <w:t>Stage III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118"/>
              </w:numPr>
              <w:tabs>
                <w:tab w:pos="222" w:val="left" w:leader="none"/>
              </w:tabs>
              <w:spacing w:line="249" w:lineRule="auto" w:before="117" w:after="0"/>
              <w:ind w:left="221" w:right="900" w:hanging="80"/>
              <w:jc w:val="left"/>
              <w:rPr>
                <w:sz w:val="18"/>
              </w:rPr>
            </w:pPr>
            <w:r>
              <w:rPr>
                <w:sz w:val="18"/>
              </w:rPr>
              <w:t>Stage IV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cyclophosphamide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doxorubicin hydrochloride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vincristine sulfate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prednisone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Procedure: biopsy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microarray analysis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9" w:lineRule="auto" w:before="124" w:after="0"/>
              <w:ind w:left="216" w:right="524" w:hanging="80"/>
              <w:jc w:val="left"/>
              <w:rPr>
                <w:sz w:val="18"/>
              </w:rPr>
            </w:pPr>
            <w:r>
              <w:rPr>
                <w:sz w:val="18"/>
              </w:rPr>
              <w:t>Other: immunohistochemistry </w:t>
            </w:r>
            <w:r>
              <w:rPr>
                <w:spacing w:val="-3"/>
                <w:sz w:val="18"/>
              </w:rPr>
              <w:t>staining </w:t>
            </w:r>
            <w:r>
              <w:rPr>
                <w:sz w:val="18"/>
              </w:rPr>
              <w:t>method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17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gene expression analysis</w:t>
            </w:r>
          </w:p>
          <w:p>
            <w:pPr>
              <w:pStyle w:val="TableParagraph"/>
              <w:numPr>
                <w:ilvl w:val="0"/>
                <w:numId w:val="119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Genetic: cytogenetic analysis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120"/>
              </w:numPr>
              <w:tabs>
                <w:tab w:pos="221" w:val="left" w:leader="none"/>
              </w:tabs>
              <w:spacing w:line="249" w:lineRule="auto" w:before="42" w:after="0"/>
              <w:ind w:left="220" w:right="257" w:hanging="80"/>
              <w:jc w:val="left"/>
              <w:rPr>
                <w:sz w:val="18"/>
              </w:rPr>
            </w:pPr>
            <w:r>
              <w:rPr>
                <w:sz w:val="18"/>
              </w:rPr>
              <w:t>Saint Francis Medical Center, Grand Island, Nebraska,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120"/>
              </w:numPr>
              <w:tabs>
                <w:tab w:pos="221" w:val="left" w:leader="none"/>
              </w:tabs>
              <w:spacing w:line="249" w:lineRule="auto" w:before="116" w:after="0"/>
              <w:ind w:left="220" w:right="467" w:hanging="80"/>
              <w:jc w:val="left"/>
              <w:rPr>
                <w:sz w:val="18"/>
              </w:rPr>
            </w:pPr>
            <w:r>
              <w:rPr>
                <w:sz w:val="18"/>
              </w:rPr>
              <w:t>UNMC Eppley Cancer Center at the University of Nebraska Medical Center, Omaha, Nebraska, United States</w:t>
            </w:r>
          </w:p>
        </w:tc>
      </w:tr>
      <w:tr>
        <w:trPr>
          <w:trHeight w:val="2647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spacing w:line="249" w:lineRule="auto"/>
              <w:ind w:left="143" w:right="373" w:firstLine="0"/>
              <w:jc w:val="both"/>
              <w:rPr>
                <w:sz w:val="18"/>
              </w:rPr>
            </w:pPr>
            <w:hyperlink r:id="rId47">
              <w:r>
                <w:rPr>
                  <w:color w:val="0000FF"/>
                  <w:sz w:val="18"/>
                  <w:u w:val="single" w:color="0000FF"/>
                </w:rPr>
                <w:t>Oblimersen, Rituximab and Combination Chemotherapy in</w:t>
              </w:r>
            </w:hyperlink>
            <w:r>
              <w:rPr>
                <w:color w:val="0000FF"/>
                <w:sz w:val="18"/>
              </w:rPr>
              <w:t> </w:t>
            </w:r>
            <w:hyperlink r:id="rId47">
              <w:r>
                <w:rPr>
                  <w:color w:val="0000FF"/>
                  <w:sz w:val="18"/>
                  <w:u w:val="single" w:color="0000FF"/>
                </w:rPr>
                <w:t>Treating Patients With Relapsed or Refractory Aggressive</w:t>
              </w:r>
            </w:hyperlink>
            <w:r>
              <w:rPr>
                <w:color w:val="0000FF"/>
                <w:sz w:val="18"/>
              </w:rPr>
              <w:t> </w:t>
            </w:r>
            <w:hyperlink r:id="rId47">
              <w:r>
                <w:rPr>
                  <w:color w:val="0000FF"/>
                  <w:sz w:val="18"/>
                  <w:u w:val="single" w:color="0000FF"/>
                </w:rPr>
                <w:t>Non-Hodgkin's Lymphoma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21"/>
              </w:numPr>
              <w:tabs>
                <w:tab w:pos="222" w:val="left" w:leader="none"/>
              </w:tabs>
              <w:spacing w:line="249" w:lineRule="auto" w:before="42" w:after="0"/>
              <w:ind w:left="221" w:right="799" w:hanging="80"/>
              <w:jc w:val="left"/>
              <w:rPr>
                <w:sz w:val="18"/>
              </w:rPr>
            </w:pPr>
            <w:r>
              <w:rPr>
                <w:sz w:val="18"/>
              </w:rPr>
              <w:t>Recurrent Adult Diffuse Large </w:t>
            </w:r>
            <w:r>
              <w:rPr>
                <w:spacing w:val="-5"/>
                <w:sz w:val="18"/>
              </w:rPr>
              <w:t>Cell </w:t>
            </w:r>
            <w:r>
              <w:rPr>
                <w:sz w:val="18"/>
              </w:rPr>
              <w:t>Lymphoma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pos="222" w:val="left" w:leader="none"/>
              </w:tabs>
              <w:spacing w:line="240" w:lineRule="auto" w:before="116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Grade 3 Follicular Lymphoma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Recurrent Mantle Cell Lymphoma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rituximab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ifosfamide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carboplatin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etoposide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125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filgrastim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pegfilgrastim</w:t>
            </w:r>
          </w:p>
          <w:p>
            <w:pPr>
              <w:pStyle w:val="TableParagraph"/>
              <w:numPr>
                <w:ilvl w:val="0"/>
                <w:numId w:val="122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Other: laboratory biomarker analysis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23"/>
              </w:numPr>
              <w:tabs>
                <w:tab w:pos="221" w:val="left" w:leader="none"/>
              </w:tabs>
              <w:spacing w:line="249" w:lineRule="auto" w:before="42" w:after="0"/>
              <w:ind w:left="220" w:right="147" w:hanging="80"/>
              <w:jc w:val="left"/>
              <w:rPr>
                <w:sz w:val="18"/>
              </w:rPr>
            </w:pPr>
            <w:r>
              <w:rPr>
                <w:sz w:val="18"/>
              </w:rPr>
              <w:t>University of Chicago Comprehensive Cancer Center, </w:t>
            </w:r>
            <w:r>
              <w:rPr>
                <w:spacing w:val="-3"/>
                <w:sz w:val="18"/>
              </w:rPr>
              <w:t>Chicago, </w:t>
            </w:r>
            <w:r>
              <w:rPr>
                <w:sz w:val="18"/>
              </w:rPr>
              <w:t>Illinois, United States</w:t>
            </w:r>
          </w:p>
        </w:tc>
      </w:tr>
      <w:tr>
        <w:trPr>
          <w:trHeight w:val="1322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35" w:firstLine="0"/>
              <w:rPr>
                <w:sz w:val="18"/>
              </w:rPr>
            </w:pPr>
            <w:hyperlink r:id="rId48">
              <w:r>
                <w:rPr>
                  <w:color w:val="0000FF"/>
                  <w:sz w:val="18"/>
                  <w:u w:val="single" w:color="0000FF"/>
                </w:rPr>
                <w:t>Augmerosen Plus Fludarabine and Cytarabine in Treating</w:t>
              </w:r>
            </w:hyperlink>
            <w:r>
              <w:rPr>
                <w:color w:val="0000FF"/>
                <w:sz w:val="18"/>
              </w:rPr>
              <w:t> </w:t>
            </w:r>
            <w:hyperlink r:id="rId48">
              <w:r>
                <w:rPr>
                  <w:color w:val="0000FF"/>
                  <w:sz w:val="18"/>
                  <w:u w:val="single" w:color="0000FF"/>
                </w:rPr>
                <w:t>Patients With Refractory or Relapsed Acute Myeloid Leukemia</w:t>
              </w:r>
            </w:hyperlink>
            <w:r>
              <w:rPr>
                <w:color w:val="0000FF"/>
                <w:sz w:val="18"/>
              </w:rPr>
              <w:t> </w:t>
            </w:r>
            <w:hyperlink r:id="rId48">
              <w:r>
                <w:rPr>
                  <w:color w:val="0000FF"/>
                  <w:sz w:val="18"/>
                  <w:u w:val="single" w:color="0000FF"/>
                </w:rPr>
                <w:t>or Acute Lymphoblastic Leukemia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24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Leukemia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25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filgrastim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cytarabine</w:t>
            </w:r>
          </w:p>
          <w:p>
            <w:pPr>
              <w:pStyle w:val="TableParagraph"/>
              <w:numPr>
                <w:ilvl w:val="0"/>
                <w:numId w:val="125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fludarabine phosphate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126"/>
              </w:numPr>
              <w:tabs>
                <w:tab w:pos="221" w:val="left" w:leader="none"/>
              </w:tabs>
              <w:spacing w:line="249" w:lineRule="auto" w:before="42" w:after="0"/>
              <w:ind w:left="220" w:right="647" w:hanging="80"/>
              <w:jc w:val="left"/>
              <w:rPr>
                <w:sz w:val="18"/>
              </w:rPr>
            </w:pPr>
            <w:r>
              <w:rPr>
                <w:sz w:val="18"/>
              </w:rPr>
              <w:t>Arthur G. James Cancer Hospital - Ohio State University, Columbus, Ohio, United States</w:t>
            </w:r>
          </w:p>
        </w:tc>
      </w:tr>
    </w:tbl>
    <w:p>
      <w:pPr>
        <w:spacing w:after="0" w:line="249" w:lineRule="auto"/>
        <w:jc w:val="left"/>
        <w:rPr>
          <w:sz w:val="18"/>
        </w:rPr>
        <w:sectPr>
          <w:pgSz w:w="24480" w:h="15840" w:orient="landscape"/>
          <w:pgMar w:header="0" w:footer="376" w:top="420" w:bottom="560" w:left="320" w:right="300"/>
        </w:sectPr>
      </w:pPr>
    </w:p>
    <w:tbl>
      <w:tblPr>
        <w:tblW w:w="0" w:type="auto"/>
        <w:jc w:val="left"/>
        <w:tblInd w:w="121" w:type="dxa"/>
        <w:tblBorders>
          <w:top w:val="single" w:sz="8" w:space="0" w:color="DBDBDB"/>
          <w:left w:val="single" w:sz="8" w:space="0" w:color="DBDBDB"/>
          <w:bottom w:val="single" w:sz="8" w:space="0" w:color="DBDBDB"/>
          <w:right w:val="single" w:sz="8" w:space="0" w:color="DBDBDB"/>
          <w:insideH w:val="single" w:sz="8" w:space="0" w:color="DBDBDB"/>
          <w:insideV w:val="single" w:sz="8" w:space="0" w:color="DBDBD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1"/>
        <w:gridCol w:w="5196"/>
        <w:gridCol w:w="2126"/>
        <w:gridCol w:w="2126"/>
        <w:gridCol w:w="3779"/>
        <w:gridCol w:w="3779"/>
        <w:gridCol w:w="5432"/>
      </w:tblGrid>
      <w:tr>
        <w:trPr>
          <w:trHeight w:val="329" w:hRule="atLeast"/>
        </w:trPr>
        <w:tc>
          <w:tcPr>
            <w:tcW w:w="1181" w:type="dxa"/>
            <w:shd w:val="clear" w:color="auto" w:fill="DFECDF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16"/>
              </w:rPr>
            </w:pP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Status</w:t>
            </w:r>
          </w:p>
        </w:tc>
        <w:tc>
          <w:tcPr>
            <w:tcW w:w="2126" w:type="dxa"/>
            <w:shd w:val="clear" w:color="auto" w:fill="DFECDF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Study Results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41" w:firstLine="0"/>
              <w:rPr>
                <w:sz w:val="18"/>
              </w:rPr>
            </w:pPr>
            <w:r>
              <w:rPr>
                <w:sz w:val="18"/>
              </w:rPr>
              <w:t>Conditions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DFECDF"/>
          </w:tcPr>
          <w:p>
            <w:pPr>
              <w:pStyle w:val="TableParagraph"/>
              <w:ind w:left="136" w:firstLine="0"/>
              <w:rPr>
                <w:sz w:val="18"/>
              </w:rPr>
            </w:pPr>
            <w:r>
              <w:rPr>
                <w:sz w:val="18"/>
              </w:rPr>
              <w:t>Interventions</w:t>
            </w:r>
          </w:p>
        </w:tc>
        <w:tc>
          <w:tcPr>
            <w:tcW w:w="5432" w:type="dxa"/>
            <w:shd w:val="clear" w:color="auto" w:fill="DFECDF"/>
          </w:tcPr>
          <w:p>
            <w:pPr>
              <w:pStyle w:val="TableParagraph"/>
              <w:ind w:left="140" w:firstLine="0"/>
              <w:rPr>
                <w:sz w:val="18"/>
              </w:rPr>
            </w:pPr>
            <w:r>
              <w:rPr>
                <w:sz w:val="18"/>
              </w:rPr>
              <w:t>Locations</w:t>
            </w:r>
          </w:p>
        </w:tc>
      </w:tr>
      <w:tr>
        <w:trPr>
          <w:trHeight w:val="3526" w:hRule="atLeast"/>
        </w:trPr>
        <w:tc>
          <w:tcPr>
            <w:tcW w:w="1181" w:type="dxa"/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43" w:firstLine="0"/>
              <w:rPr>
                <w:sz w:val="18"/>
              </w:rPr>
            </w:pPr>
            <w:hyperlink r:id="rId49">
              <w:r>
                <w:rPr>
                  <w:color w:val="0000FF"/>
                  <w:sz w:val="18"/>
                  <w:u w:val="single" w:color="0000FF"/>
                </w:rPr>
                <w:t>Chemotherapy in Treating Patients With Solid Tumors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  <w:shd w:val="clear" w:color="auto" w:fill="F5F5F5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Bladder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Breast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Colorectal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Esophageal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Head and Neck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5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Kidney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Lung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Ovarian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0" w:lineRule="auto" w:before="124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Prostate Cancer</w:t>
            </w:r>
          </w:p>
          <w:p>
            <w:pPr>
              <w:pStyle w:val="TableParagraph"/>
              <w:numPr>
                <w:ilvl w:val="0"/>
                <w:numId w:val="127"/>
              </w:numPr>
              <w:tabs>
                <w:tab w:pos="222" w:val="left" w:leader="none"/>
              </w:tabs>
              <w:spacing w:line="249" w:lineRule="auto" w:before="124" w:after="0"/>
              <w:ind w:left="221" w:right="348" w:hanging="80"/>
              <w:jc w:val="left"/>
              <w:rPr>
                <w:sz w:val="18"/>
              </w:rPr>
            </w:pPr>
            <w:r>
              <w:rPr>
                <w:sz w:val="18"/>
              </w:rPr>
              <w:t>Unspecified Adult Solid Tumor, Protocol Specific</w:t>
            </w:r>
          </w:p>
        </w:tc>
        <w:tc>
          <w:tcPr>
            <w:tcW w:w="3779" w:type="dxa"/>
            <w:tcBorders>
              <w:left w:val="single" w:sz="12" w:space="0" w:color="DBDBDB"/>
            </w:tcBorders>
            <w:shd w:val="clear" w:color="auto" w:fill="F5F5F5"/>
          </w:tcPr>
          <w:p>
            <w:pPr>
              <w:pStyle w:val="TableParagraph"/>
              <w:numPr>
                <w:ilvl w:val="0"/>
                <w:numId w:val="128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28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docetaxel</w:t>
            </w:r>
          </w:p>
        </w:tc>
        <w:tc>
          <w:tcPr>
            <w:tcW w:w="5432" w:type="dxa"/>
            <w:shd w:val="clear" w:color="auto" w:fill="F5F5F5"/>
          </w:tcPr>
          <w:p>
            <w:pPr>
              <w:pStyle w:val="TableParagraph"/>
              <w:numPr>
                <w:ilvl w:val="0"/>
                <w:numId w:val="129"/>
              </w:numPr>
              <w:tabs>
                <w:tab w:pos="221" w:val="left" w:leader="none"/>
              </w:tabs>
              <w:spacing w:line="249" w:lineRule="auto" w:before="42" w:after="0"/>
              <w:ind w:left="220" w:right="127" w:hanging="80"/>
              <w:jc w:val="left"/>
              <w:rPr>
                <w:sz w:val="18"/>
              </w:rPr>
            </w:pPr>
            <w:r>
              <w:rPr>
                <w:sz w:val="18"/>
              </w:rPr>
              <w:t>Memorial Sloan-Kettering Cancer Center, New York, New </w:t>
            </w:r>
            <w:r>
              <w:rPr>
                <w:spacing w:val="-4"/>
                <w:sz w:val="18"/>
              </w:rPr>
              <w:t>York, </w:t>
            </w:r>
            <w:r>
              <w:rPr>
                <w:sz w:val="18"/>
              </w:rPr>
              <w:t>United States</w:t>
            </w:r>
          </w:p>
        </w:tc>
      </w:tr>
      <w:tr>
        <w:trPr>
          <w:trHeight w:val="1423" w:hRule="atLeast"/>
        </w:trPr>
        <w:tc>
          <w:tcPr>
            <w:tcW w:w="1181" w:type="dxa"/>
          </w:tcPr>
          <w:p>
            <w:pPr>
              <w:pStyle w:val="TableParagraph"/>
              <w:ind w:left="143" w:firstLine="0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5196" w:type="dxa"/>
            <w:tcBorders>
              <w:right w:val="single" w:sz="12" w:space="0" w:color="DBDBDB"/>
            </w:tcBorders>
          </w:tcPr>
          <w:p>
            <w:pPr>
              <w:pStyle w:val="TableParagraph"/>
              <w:spacing w:line="249" w:lineRule="auto"/>
              <w:ind w:left="143" w:right="115" w:firstLine="0"/>
              <w:rPr>
                <w:sz w:val="18"/>
              </w:rPr>
            </w:pPr>
            <w:hyperlink r:id="rId50">
              <w:r>
                <w:rPr>
                  <w:color w:val="0000FF"/>
                  <w:sz w:val="18"/>
                  <w:u w:val="single" w:color="0000FF"/>
                </w:rPr>
                <w:t>Olimersen and Irinotecan in Treating Patients With Metastatic</w:t>
              </w:r>
            </w:hyperlink>
            <w:r>
              <w:rPr>
                <w:color w:val="0000FF"/>
                <w:sz w:val="18"/>
              </w:rPr>
              <w:t> </w:t>
            </w:r>
            <w:hyperlink r:id="rId50">
              <w:r>
                <w:rPr>
                  <w:color w:val="0000FF"/>
                  <w:sz w:val="18"/>
                  <w:u w:val="single" w:color="0000FF"/>
                </w:rPr>
                <w:t>or Recurrent Colorectal Cancer</w:t>
              </w:r>
            </w:hyperlink>
          </w:p>
        </w:tc>
        <w:tc>
          <w:tcPr>
            <w:tcW w:w="2126" w:type="dxa"/>
            <w:tcBorders>
              <w:left w:val="single" w:sz="12" w:space="0" w:color="DBDBDB"/>
            </w:tcBorders>
          </w:tcPr>
          <w:p>
            <w:pPr>
              <w:pStyle w:val="TableParagraph"/>
              <w:ind w:left="137" w:firstLine="0"/>
              <w:rPr>
                <w:sz w:val="18"/>
              </w:rPr>
            </w:pPr>
            <w:r>
              <w:rPr>
                <w:sz w:val="18"/>
              </w:rPr>
              <w:t>Completed</w:t>
            </w:r>
          </w:p>
        </w:tc>
        <w:tc>
          <w:tcPr>
            <w:tcW w:w="2126" w:type="dxa"/>
          </w:tcPr>
          <w:p>
            <w:pPr>
              <w:pStyle w:val="TableParagraph"/>
              <w:ind w:left="142" w:firstLine="0"/>
              <w:rPr>
                <w:sz w:val="18"/>
              </w:rPr>
            </w:pPr>
            <w:r>
              <w:rPr>
                <w:sz w:val="18"/>
              </w:rPr>
              <w:t>No Results Available</w:t>
            </w:r>
          </w:p>
        </w:tc>
        <w:tc>
          <w:tcPr>
            <w:tcW w:w="3779" w:type="dxa"/>
            <w:tcBorders>
              <w:righ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30"/>
              </w:numPr>
              <w:tabs>
                <w:tab w:pos="222" w:val="left" w:leader="none"/>
              </w:tabs>
              <w:spacing w:line="240" w:lineRule="auto" w:before="42" w:after="0"/>
              <w:ind w:left="221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Colorectal Cancer</w:t>
            </w:r>
          </w:p>
        </w:tc>
        <w:tc>
          <w:tcPr>
            <w:tcW w:w="3779" w:type="dxa"/>
            <w:tcBorders>
              <w:left w:val="single" w:sz="12" w:space="0" w:color="DBDBDB"/>
            </w:tcBorders>
          </w:tcPr>
          <w:p>
            <w:pPr>
              <w:pStyle w:val="TableParagraph"/>
              <w:numPr>
                <w:ilvl w:val="0"/>
                <w:numId w:val="131"/>
              </w:numPr>
              <w:tabs>
                <w:tab w:pos="217" w:val="left" w:leader="none"/>
              </w:tabs>
              <w:spacing w:line="240" w:lineRule="auto" w:before="42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Biological: oblimersen sodium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217" w:val="left" w:leader="none"/>
              </w:tabs>
              <w:spacing w:line="240" w:lineRule="auto" w:before="124" w:after="0"/>
              <w:ind w:left="216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Drug: irinotecan hydrochloride</w:t>
            </w:r>
          </w:p>
        </w:tc>
        <w:tc>
          <w:tcPr>
            <w:tcW w:w="5432" w:type="dxa"/>
          </w:tcPr>
          <w:p>
            <w:pPr>
              <w:pStyle w:val="TableParagraph"/>
              <w:numPr>
                <w:ilvl w:val="0"/>
                <w:numId w:val="132"/>
              </w:numPr>
              <w:tabs>
                <w:tab w:pos="221" w:val="left" w:leader="none"/>
              </w:tabs>
              <w:spacing w:line="240" w:lineRule="auto" w:before="42" w:after="0"/>
              <w:ind w:left="220" w:right="0" w:hanging="81"/>
              <w:jc w:val="left"/>
              <w:rPr>
                <w:sz w:val="18"/>
              </w:rPr>
            </w:pPr>
            <w:r>
              <w:rPr>
                <w:sz w:val="18"/>
              </w:rPr>
              <w:t>Ireland Cancer Center, Cleveland, Ohio, United States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221" w:val="left" w:leader="none"/>
              </w:tabs>
              <w:spacing w:line="249" w:lineRule="auto" w:before="124" w:after="0"/>
              <w:ind w:left="220" w:right="117" w:hanging="80"/>
              <w:jc w:val="left"/>
              <w:rPr>
                <w:sz w:val="18"/>
              </w:rPr>
            </w:pPr>
            <w:r>
              <w:rPr>
                <w:sz w:val="18"/>
              </w:rPr>
              <w:t>Brooke Army Medical Center, Fort Sam Houston, Texas,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  <w:p>
            <w:pPr>
              <w:pStyle w:val="TableParagraph"/>
              <w:numPr>
                <w:ilvl w:val="0"/>
                <w:numId w:val="132"/>
              </w:numPr>
              <w:tabs>
                <w:tab w:pos="221" w:val="left" w:leader="none"/>
              </w:tabs>
              <w:spacing w:line="249" w:lineRule="auto" w:before="116" w:after="0"/>
              <w:ind w:left="220" w:right="606" w:hanging="80"/>
              <w:jc w:val="left"/>
              <w:rPr>
                <w:sz w:val="18"/>
              </w:rPr>
            </w:pPr>
            <w:r>
              <w:rPr>
                <w:sz w:val="18"/>
              </w:rPr>
              <w:t>San Antonio Cancer Institute, San Antonio, Texas, </w:t>
            </w:r>
            <w:r>
              <w:rPr>
                <w:spacing w:val="-3"/>
                <w:sz w:val="18"/>
              </w:rPr>
              <w:t>United </w:t>
            </w:r>
            <w:r>
              <w:rPr>
                <w:sz w:val="18"/>
              </w:rPr>
              <w:t>States</w:t>
            </w:r>
          </w:p>
        </w:tc>
      </w:tr>
    </w:tbl>
    <w:p>
      <w:pPr>
        <w:pStyle w:val="BodyText"/>
        <w:spacing w:before="11"/>
        <w:rPr>
          <w:b/>
          <w:sz w:val="22"/>
        </w:rPr>
      </w:pPr>
    </w:p>
    <w:p>
      <w:pPr>
        <w:pStyle w:val="BodyText"/>
        <w:spacing w:before="95"/>
        <w:ind w:left="7752"/>
      </w:pPr>
      <w:r>
        <w:rPr>
          <w:color w:val="999999"/>
        </w:rPr>
        <w:t>U.S. National Library of Medicine | U.S. National Institutes of Health | U.S. Department of Health &amp; Human Services</w:t>
      </w:r>
    </w:p>
    <w:sectPr>
      <w:pgSz w:w="24480" w:h="15840" w:orient="landscape"/>
      <w:pgMar w:header="0" w:footer="376" w:top="420" w:bottom="560" w:left="32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3.427979pt;margin-top:758.201782pt;width:57.15pt;height:10.95pt;mso-position-horizontal-relative:page;mso-position-vertical-relative:page;z-index:-16654848" type="#_x0000_t202" filled="false" stroked="false">
          <v:textbox inset="0,0,0,0">
            <w:txbxContent>
              <w:p>
                <w:pPr>
                  <w:pStyle w:val="BodyText"/>
                  <w:spacing w:before="14"/>
                  <w:ind w:left="20"/>
                </w:pPr>
                <w:r>
                  <w:rPr/>
                  <w:t>- 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of 9 -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1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3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2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2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2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2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1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1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1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0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0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0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0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0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04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03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02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01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0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9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9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9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8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8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8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7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7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7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7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7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7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7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7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7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7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6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4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63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2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1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6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220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39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96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16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35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854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73" w:hanging="8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16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1" w:hanging="80"/>
      </w:pPr>
      <w:rPr>
        <w:rFonts w:hint="default" w:ascii="Arial" w:hAnsi="Arial" w:eastAsia="Arial" w:cs="Arial"/>
        <w:w w:val="100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3" w:hanging="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26" w:hanging="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80" w:hanging="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3" w:hanging="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7" w:hanging="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40" w:hanging="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3" w:hanging="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47" w:hanging="80"/>
      </w:pPr>
      <w:rPr>
        <w:rFonts w:hint="default"/>
        <w:lang w:val="en-US" w:eastAsia="en-US" w:bidi="ar-SA"/>
      </w:rPr>
    </w:lvl>
  </w:abstract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9"/>
      <w:ind w:left="8952" w:right="8969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2"/>
      <w:ind w:left="216" w:hanging="81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ClinicalTrials.gov/show/NCT00064259" TargetMode="External"/><Relationship Id="rId7" Type="http://schemas.openxmlformats.org/officeDocument/2006/relationships/hyperlink" Target="https://ClinicalTrials.gov/show/NCT00543075" TargetMode="External"/><Relationship Id="rId8" Type="http://schemas.openxmlformats.org/officeDocument/2006/relationships/hyperlink" Target="https://ClinicalTrials.gov/show/NCT00301795" TargetMode="External"/><Relationship Id="rId9" Type="http://schemas.openxmlformats.org/officeDocument/2006/relationships/hyperlink" Target="https://ClinicalTrials.gov/show/NCT00543205" TargetMode="External"/><Relationship Id="rId10" Type="http://schemas.openxmlformats.org/officeDocument/2006/relationships/hyperlink" Target="https://ClinicalTrials.gov/show/NCT00062244" TargetMode="External"/><Relationship Id="rId11" Type="http://schemas.openxmlformats.org/officeDocument/2006/relationships/hyperlink" Target="https://ClinicalTrials.gov/show/NCT00636545" TargetMode="External"/><Relationship Id="rId12" Type="http://schemas.openxmlformats.org/officeDocument/2006/relationships/hyperlink" Target="https://ClinicalTrials.gov/show/NCT00017251" TargetMode="External"/><Relationship Id="rId13" Type="http://schemas.openxmlformats.org/officeDocument/2006/relationships/hyperlink" Target="https://ClinicalTrials.gov/show/NCT00079131" TargetMode="External"/><Relationship Id="rId14" Type="http://schemas.openxmlformats.org/officeDocument/2006/relationships/hyperlink" Target="https://ClinicalTrials.gov/show/NCT01200342" TargetMode="External"/><Relationship Id="rId15" Type="http://schemas.openxmlformats.org/officeDocument/2006/relationships/hyperlink" Target="https://ClinicalTrials.gov/show/NCT00060112" TargetMode="External"/><Relationship Id="rId16" Type="http://schemas.openxmlformats.org/officeDocument/2006/relationships/hyperlink" Target="https://ClinicalTrials.gov/show/NCT00091078" TargetMode="External"/><Relationship Id="rId17" Type="http://schemas.openxmlformats.org/officeDocument/2006/relationships/hyperlink" Target="https://ClinicalTrials.gov/show/NCT00049192" TargetMode="External"/><Relationship Id="rId18" Type="http://schemas.openxmlformats.org/officeDocument/2006/relationships/hyperlink" Target="https://ClinicalTrials.gov/show/NCT00054548" TargetMode="External"/><Relationship Id="rId19" Type="http://schemas.openxmlformats.org/officeDocument/2006/relationships/hyperlink" Target="https://ClinicalTrials.gov/show/NCT00042978" TargetMode="External"/><Relationship Id="rId20" Type="http://schemas.openxmlformats.org/officeDocument/2006/relationships/hyperlink" Target="https://ClinicalTrials.gov/show/NCT00078234" TargetMode="External"/><Relationship Id="rId21" Type="http://schemas.openxmlformats.org/officeDocument/2006/relationships/hyperlink" Target="https://ClinicalTrials.gov/show/NCT00054639" TargetMode="External"/><Relationship Id="rId22" Type="http://schemas.openxmlformats.org/officeDocument/2006/relationships/hyperlink" Target="https://ClinicalTrials.gov/show/NCT00059813" TargetMode="External"/><Relationship Id="rId23" Type="http://schemas.openxmlformats.org/officeDocument/2006/relationships/hyperlink" Target="https://ClinicalTrials.gov/show/NCT00518895" TargetMode="External"/><Relationship Id="rId24" Type="http://schemas.openxmlformats.org/officeDocument/2006/relationships/hyperlink" Target="https://ClinicalTrials.gov/show/NCT00063934" TargetMode="External"/><Relationship Id="rId25" Type="http://schemas.openxmlformats.org/officeDocument/2006/relationships/hyperlink" Target="https://ClinicalTrials.gov/show/NCT00039117" TargetMode="External"/><Relationship Id="rId26" Type="http://schemas.openxmlformats.org/officeDocument/2006/relationships/hyperlink" Target="https://ClinicalTrials.gov/show/NCT00085124" TargetMode="External"/><Relationship Id="rId27" Type="http://schemas.openxmlformats.org/officeDocument/2006/relationships/hyperlink" Target="https://ClinicalTrials.gov/show/NCT00047229" TargetMode="External"/><Relationship Id="rId28" Type="http://schemas.openxmlformats.org/officeDocument/2006/relationships/hyperlink" Target="https://ClinicalTrials.gov/show/NCT00517218" TargetMode="External"/><Relationship Id="rId29" Type="http://schemas.openxmlformats.org/officeDocument/2006/relationships/hyperlink" Target="https://ClinicalTrials.gov/show/NCT00409383" TargetMode="External"/><Relationship Id="rId30" Type="http://schemas.openxmlformats.org/officeDocument/2006/relationships/hyperlink" Target="https://ClinicalTrials.gov/show/NCT00085228" TargetMode="External"/><Relationship Id="rId31" Type="http://schemas.openxmlformats.org/officeDocument/2006/relationships/hyperlink" Target="https://ClinicalTrials.gov/show/NCT00070343" TargetMode="External"/><Relationship Id="rId32" Type="http://schemas.openxmlformats.org/officeDocument/2006/relationships/hyperlink" Target="https://ClinicalTrials.gov/show/NCT00542893" TargetMode="External"/><Relationship Id="rId33" Type="http://schemas.openxmlformats.org/officeDocument/2006/relationships/hyperlink" Target="https://ClinicalTrials.gov/show/NCT00016263" TargetMode="External"/><Relationship Id="rId34" Type="http://schemas.openxmlformats.org/officeDocument/2006/relationships/hyperlink" Target="https://ClinicalTrials.gov/show/NCT00017589" TargetMode="External"/><Relationship Id="rId35" Type="http://schemas.openxmlformats.org/officeDocument/2006/relationships/hyperlink" Target="https://ClinicalTrials.gov/show/NCT00039481" TargetMode="External"/><Relationship Id="rId36" Type="http://schemas.openxmlformats.org/officeDocument/2006/relationships/hyperlink" Target="https://ClinicalTrials.gov/show/NCT00030641" TargetMode="External"/><Relationship Id="rId37" Type="http://schemas.openxmlformats.org/officeDocument/2006/relationships/hyperlink" Target="https://ClinicalTrials.gov/show/NCT00017602" TargetMode="External"/><Relationship Id="rId38" Type="http://schemas.openxmlformats.org/officeDocument/2006/relationships/hyperlink" Target="https://ClinicalTrials.gov/show/NCT00543231" TargetMode="External"/><Relationship Id="rId39" Type="http://schemas.openxmlformats.org/officeDocument/2006/relationships/hyperlink" Target="https://ClinicalTrials.gov/show/NCT00005032" TargetMode="External"/><Relationship Id="rId40" Type="http://schemas.openxmlformats.org/officeDocument/2006/relationships/hyperlink" Target="https://ClinicalTrials.gov/show/NCT00021749" TargetMode="External"/><Relationship Id="rId41" Type="http://schemas.openxmlformats.org/officeDocument/2006/relationships/hyperlink" Target="https://ClinicalTrials.gov/show/NCT00055822" TargetMode="External"/><Relationship Id="rId42" Type="http://schemas.openxmlformats.org/officeDocument/2006/relationships/hyperlink" Target="https://ClinicalTrials.gov/show/NCT00049374" TargetMode="External"/><Relationship Id="rId43" Type="http://schemas.openxmlformats.org/officeDocument/2006/relationships/hyperlink" Target="https://ClinicalTrials.gov/show/NCT00080847" TargetMode="External"/><Relationship Id="rId44" Type="http://schemas.openxmlformats.org/officeDocument/2006/relationships/hyperlink" Target="https://ClinicalTrials.gov/show/NCT00070083" TargetMode="External"/><Relationship Id="rId45" Type="http://schemas.openxmlformats.org/officeDocument/2006/relationships/hyperlink" Target="https://ClinicalTrials.gov/show/NCT00024440" TargetMode="External"/><Relationship Id="rId46" Type="http://schemas.openxmlformats.org/officeDocument/2006/relationships/hyperlink" Target="https://ClinicalTrials.gov/show/NCT00736450" TargetMode="External"/><Relationship Id="rId47" Type="http://schemas.openxmlformats.org/officeDocument/2006/relationships/hyperlink" Target="https://ClinicalTrials.gov/show/NCT00086944" TargetMode="External"/><Relationship Id="rId48" Type="http://schemas.openxmlformats.org/officeDocument/2006/relationships/hyperlink" Target="https://ClinicalTrials.gov/show/NCT00004862" TargetMode="External"/><Relationship Id="rId49" Type="http://schemas.openxmlformats.org/officeDocument/2006/relationships/hyperlink" Target="https://ClinicalTrials.gov/show/NCT00003103" TargetMode="External"/><Relationship Id="rId50" Type="http://schemas.openxmlformats.org/officeDocument/2006/relationships/hyperlink" Target="https://ClinicalTrials.gov/show/NCT00004870" TargetMode="External"/><Relationship Id="rId5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2020-05-20T17:06:45Z</dcterms:created>
  <dcterms:modified xsi:type="dcterms:W3CDTF">2020-05-20T17:06:45Z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Apache FOP Version 2.3</vt:lpwstr>
  </property>
  <property fmtid="{D5CDD505-2E9C-101B-9397-08002B2CF9AE}" pid="4" name="LastSaved">
    <vt:filetime>2020-05-20T00:00:00Z</vt:filetime>
  </property>
</Properties>
</file>