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ClinicalTrials.gov Search Results 04/07/2020</w:t>
      </w:r>
    </w:p>
    <w:p>
      <w:pPr>
        <w:pStyle w:val="BodyText"/>
        <w:spacing w:before="1"/>
        <w:rPr>
          <w:b/>
          <w:sz w:val="21"/>
        </w:r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148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95" w:firstLine="0"/>
              <w:rPr>
                <w:sz w:val="18"/>
              </w:rPr>
            </w:pPr>
            <w:hyperlink r:id="rId6">
              <w:r>
                <w:rPr>
                  <w:color w:val="0000FF"/>
                  <w:sz w:val="18"/>
                  <w:u w:val="single" w:color="0000FF"/>
                </w:rPr>
                <w:t>Study of Obatoclax in Previously Untreated Acute Myeloid</w:t>
              </w:r>
            </w:hyperlink>
            <w:r>
              <w:rPr>
                <w:color w:val="0000FF"/>
                <w:sz w:val="18"/>
              </w:rPr>
              <w:t> </w:t>
            </w:r>
            <w:hyperlink r:id="rId6">
              <w:r>
                <w:rPr>
                  <w:color w:val="0000FF"/>
                  <w:sz w:val="18"/>
                  <w:u w:val="single" w:color="0000FF"/>
                </w:rPr>
                <w:t>Leukemia (AML)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AML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Northwestern University, Chicago, Illinois,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The University of Iowa, Iowa City, Iowa,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24" w:after="0"/>
              <w:ind w:left="220" w:right="73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Kansas Medical Center Research Institute, Westwood, Kansas,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17" w:after="0"/>
              <w:ind w:left="220" w:right="286" w:hanging="80"/>
              <w:jc w:val="left"/>
              <w:rPr>
                <w:sz w:val="18"/>
              </w:rPr>
            </w:pPr>
            <w:r>
              <w:rPr>
                <w:sz w:val="18"/>
              </w:rPr>
              <w:t>Dana Farber Cancer Institute, Boston, Massachusetts,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St. Joseph Mercy Hospital, Ann Arbor, Michigan,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25" w:after="0"/>
              <w:ind w:left="220" w:right="42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Michigan Health System, Ann Arbor, Michigan,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16" w:after="0"/>
              <w:ind w:left="220" w:right="447" w:hanging="80"/>
              <w:jc w:val="left"/>
              <w:rPr>
                <w:sz w:val="18"/>
              </w:rPr>
            </w:pPr>
            <w:r>
              <w:rPr>
                <w:sz w:val="18"/>
              </w:rPr>
              <w:t>Michigan State University - Breslin Cancer Center, Lansing, Michigan,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17" w:after="0"/>
              <w:ind w:left="220" w:right="324" w:hanging="80"/>
              <w:jc w:val="left"/>
              <w:rPr>
                <w:sz w:val="18"/>
              </w:rPr>
            </w:pPr>
            <w:r>
              <w:rPr>
                <w:sz w:val="18"/>
              </w:rPr>
              <w:t>St. Vincent's Comprehensive Cancer Center, New York, </w:t>
            </w:r>
            <w:r>
              <w:rPr>
                <w:spacing w:val="-6"/>
                <w:sz w:val="18"/>
              </w:rPr>
              <w:t>New </w:t>
            </w:r>
            <w:r>
              <w:rPr>
                <w:sz w:val="18"/>
              </w:rPr>
              <w:t>York,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17" w:after="0"/>
              <w:ind w:left="220" w:right="296" w:hanging="80"/>
              <w:jc w:val="left"/>
              <w:rPr>
                <w:sz w:val="18"/>
              </w:rPr>
            </w:pPr>
            <w:r>
              <w:rPr>
                <w:sz w:val="18"/>
              </w:rPr>
              <w:t>Legacy Emanuel Hospital &amp; Health Center, Portland, </w:t>
            </w:r>
            <w:r>
              <w:rPr>
                <w:spacing w:val="-3"/>
                <w:sz w:val="18"/>
              </w:rPr>
              <w:t>Oregon,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9" w:lineRule="auto" w:before="116" w:after="0"/>
              <w:ind w:left="220" w:right="567" w:hanging="80"/>
              <w:jc w:val="left"/>
              <w:rPr>
                <w:sz w:val="18"/>
              </w:rPr>
            </w:pPr>
            <w:r>
              <w:rPr>
                <w:sz w:val="18"/>
              </w:rPr>
              <w:t>Penn State Hershey Cancer Institute-Clinical Trials </w:t>
            </w:r>
            <w:r>
              <w:rPr>
                <w:spacing w:val="-3"/>
                <w:sz w:val="18"/>
              </w:rPr>
              <w:t>Office, </w:t>
            </w:r>
            <w:r>
              <w:rPr>
                <w:sz w:val="18"/>
              </w:rPr>
              <w:t>Hershey, Pennsylvania, United States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3 more</w:t>
            </w:r>
          </w:p>
        </w:tc>
      </w:tr>
      <w:tr>
        <w:trPr>
          <w:trHeight w:val="2297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hyperlink r:id="rId7">
              <w:r>
                <w:rPr>
                  <w:color w:val="0000FF"/>
                  <w:sz w:val="18"/>
                  <w:u w:val="single" w:color="0000FF"/>
                </w:rPr>
                <w:t>A Phase I/II Study of GX15-070MS in Untreated CLL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Chronic Lymphocytic Leukemia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GX15-070MS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CA- San Diego, La Jolla, California, United States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1" w:val="left" w:leader="none"/>
              </w:tabs>
              <w:spacing w:line="249" w:lineRule="auto" w:before="124" w:after="0"/>
              <w:ind w:left="220" w:right="457" w:hanging="80"/>
              <w:jc w:val="left"/>
              <w:rPr>
                <w:sz w:val="18"/>
              </w:rPr>
            </w:pPr>
            <w:r>
              <w:rPr>
                <w:sz w:val="18"/>
              </w:rPr>
              <w:t>Lombardi Cancer Center, Washington, District of Columbia, United States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1" w:val="left" w:leader="none"/>
              </w:tabs>
              <w:spacing w:line="249" w:lineRule="auto" w:before="116" w:after="0"/>
              <w:ind w:left="220" w:right="256" w:hanging="80"/>
              <w:jc w:val="left"/>
              <w:rPr>
                <w:sz w:val="18"/>
              </w:rPr>
            </w:pPr>
            <w:r>
              <w:rPr>
                <w:sz w:val="18"/>
              </w:rPr>
              <w:t>Milton S Hershey Medical Center Penn State Cancer Institute, Hershey, Pennsylvania, United States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1" w:val="left" w:leader="none"/>
              </w:tabs>
              <w:spacing w:line="249" w:lineRule="auto" w:before="117" w:after="0"/>
              <w:ind w:left="220" w:right="597" w:hanging="80"/>
              <w:jc w:val="left"/>
              <w:rPr>
                <w:sz w:val="18"/>
              </w:rPr>
            </w:pPr>
            <w:r>
              <w:rPr>
                <w:sz w:val="18"/>
              </w:rPr>
              <w:t>UT MD Anderson Cancer Center, Houston,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Princess Margaret Hospital, Toronto, Ontario, Canada</w:t>
            </w:r>
          </w:p>
        </w:tc>
      </w:tr>
      <w:tr>
        <w:trPr>
          <w:trHeight w:val="5148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93" w:firstLine="0"/>
              <w:rPr>
                <w:sz w:val="18"/>
              </w:rPr>
            </w:pPr>
            <w:hyperlink r:id="rId8">
              <w:r>
                <w:rPr>
                  <w:color w:val="0000FF"/>
                  <w:sz w:val="18"/>
                  <w:u w:val="single" w:color="0000FF"/>
                </w:rPr>
                <w:t>A Phase I/II Study of Carboplatin and Etoposide With or</w:t>
              </w:r>
            </w:hyperlink>
            <w:r>
              <w:rPr>
                <w:color w:val="0000FF"/>
                <w:sz w:val="18"/>
              </w:rPr>
              <w:t> </w:t>
            </w:r>
            <w:hyperlink r:id="rId8">
              <w:r>
                <w:rPr>
                  <w:color w:val="0000FF"/>
                  <w:sz w:val="18"/>
                  <w:u w:val="single" w:color="0000FF"/>
                </w:rPr>
                <w:t>Without Obatoclax in Extensive-stage Small Cell Lung Cancer</w:t>
              </w:r>
            </w:hyperlink>
            <w:r>
              <w:rPr>
                <w:color w:val="0000FF"/>
                <w:sz w:val="18"/>
              </w:rPr>
              <w:t> </w:t>
            </w:r>
            <w:hyperlink r:id="rId8">
              <w:r>
                <w:rPr>
                  <w:color w:val="0000FF"/>
                  <w:sz w:val="18"/>
                  <w:u w:val="single" w:color="0000FF"/>
                </w:rPr>
                <w:t>(ES-SCLC)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Extensive-stage Small Cell Lung Cancer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Carboplatin/etoposide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Clearview Cancer Institute, Huntsville, Alabama, 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24" w:after="0"/>
              <w:ind w:left="220" w:right="267" w:hanging="80"/>
              <w:jc w:val="left"/>
              <w:rPr>
                <w:sz w:val="18"/>
              </w:rPr>
            </w:pPr>
            <w:r>
              <w:rPr>
                <w:sz w:val="18"/>
              </w:rPr>
              <w:t>Northwest Alabama Cancer Center, Muscle Shoals, </w:t>
            </w:r>
            <w:r>
              <w:rPr>
                <w:spacing w:val="-3"/>
                <w:sz w:val="18"/>
              </w:rPr>
              <w:t>Alabama,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Clinic-Arizona, Scottsdale, Arizona, 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25" w:after="0"/>
              <w:ind w:left="220" w:right="517" w:hanging="80"/>
              <w:jc w:val="left"/>
              <w:rPr>
                <w:sz w:val="18"/>
              </w:rPr>
            </w:pPr>
            <w:r>
              <w:rPr>
                <w:sz w:val="18"/>
              </w:rPr>
              <w:t>Arizona Clinical Research Center, Tucson, Arizona,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16" w:after="0"/>
              <w:ind w:left="220" w:right="857" w:hanging="80"/>
              <w:jc w:val="left"/>
              <w:rPr>
                <w:sz w:val="18"/>
              </w:rPr>
            </w:pPr>
            <w:r>
              <w:rPr>
                <w:sz w:val="18"/>
              </w:rPr>
              <w:t>City of Hope and Beckman Research Institute, </w:t>
            </w:r>
            <w:r>
              <w:rPr>
                <w:spacing w:val="-3"/>
                <w:sz w:val="18"/>
              </w:rPr>
              <w:t>Duarte, </w:t>
            </w:r>
            <w:r>
              <w:rPr>
                <w:sz w:val="18"/>
              </w:rPr>
              <w:t>California, 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17" w:after="0"/>
              <w:ind w:left="220" w:right="56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California-San Diego Moores Cancer </w:t>
            </w:r>
            <w:r>
              <w:rPr>
                <w:spacing w:val="-3"/>
                <w:sz w:val="18"/>
              </w:rPr>
              <w:t>Center, </w:t>
            </w:r>
            <w:r>
              <w:rPr>
                <w:sz w:val="18"/>
              </w:rPr>
              <w:t>LaJolla, California, 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17" w:after="0"/>
              <w:ind w:left="220" w:right="127" w:hanging="80"/>
              <w:jc w:val="left"/>
              <w:rPr>
                <w:sz w:val="18"/>
              </w:rPr>
            </w:pPr>
            <w:r>
              <w:rPr>
                <w:sz w:val="18"/>
              </w:rPr>
              <w:t>Georgetown University Hospital-Lombardi Comprehensive Cancer Center, Washington, District of Columbia, United </w:t>
            </w:r>
            <w:r>
              <w:rPr>
                <w:spacing w:val="-3"/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16" w:after="0"/>
              <w:ind w:left="220" w:right="127" w:hanging="80"/>
              <w:jc w:val="left"/>
              <w:rPr>
                <w:sz w:val="18"/>
              </w:rPr>
            </w:pPr>
            <w:r>
              <w:rPr>
                <w:sz w:val="18"/>
              </w:rPr>
              <w:t>Integrated Community Oncology Network, Jacksonville, </w:t>
            </w:r>
            <w:r>
              <w:rPr>
                <w:spacing w:val="-3"/>
                <w:sz w:val="18"/>
              </w:rPr>
              <w:t>Florida,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9" w:lineRule="auto" w:before="117" w:after="0"/>
              <w:ind w:left="220" w:right="368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Miami-Sylvester Cancer Center, Miami, </w:t>
            </w:r>
            <w:r>
              <w:rPr>
                <w:spacing w:val="-3"/>
                <w:sz w:val="18"/>
              </w:rPr>
              <w:t>Florida,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Florida Cancer Institute, New Port Richey, Florida, United States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65 more</w:t>
            </w:r>
          </w:p>
        </w:tc>
      </w:tr>
      <w:tr>
        <w:trPr>
          <w:trHeight w:val="756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7"/>
              <w:ind w:left="143" w:right="73" w:firstLine="0"/>
              <w:rPr>
                <w:sz w:val="18"/>
              </w:rPr>
            </w:pPr>
            <w:hyperlink r:id="rId9">
              <w:r>
                <w:rPr>
                  <w:color w:val="0000FF"/>
                  <w:sz w:val="18"/>
                  <w:u w:val="single" w:color="0000FF"/>
                </w:rPr>
                <w:t>Safety and Efficacy of Single Agent Obatoclax Mesylate</w:t>
              </w:r>
            </w:hyperlink>
            <w:r>
              <w:rPr>
                <w:color w:val="0000FF"/>
                <w:sz w:val="18"/>
              </w:rPr>
              <w:t> </w:t>
            </w:r>
            <w:hyperlink r:id="rId9">
              <w:r>
                <w:rPr>
                  <w:color w:val="0000FF"/>
                  <w:sz w:val="18"/>
                  <w:u w:val="single" w:color="0000FF"/>
                </w:rPr>
                <w:t>(GX15-070MS) Followed by a Combination With Rituximab for</w:t>
              </w:r>
            </w:hyperlink>
            <w:r>
              <w:rPr>
                <w:color w:val="0000FF"/>
                <w:sz w:val="18"/>
              </w:rPr>
              <w:t> </w:t>
            </w:r>
            <w:hyperlink r:id="rId9">
              <w:r>
                <w:rPr>
                  <w:color w:val="0000FF"/>
                  <w:sz w:val="18"/>
                  <w:u w:val="single" w:color="0000FF"/>
                </w:rPr>
                <w:t>Previously-untreated Follicular Lymphoma (FL)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Lymphoma, Follicular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Rituximab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21" w:val="left" w:leader="none"/>
              </w:tabs>
              <w:spacing w:line="249" w:lineRule="auto" w:before="37" w:after="0"/>
              <w:ind w:left="220" w:right="277" w:hanging="80"/>
              <w:jc w:val="left"/>
              <w:rPr>
                <w:sz w:val="18"/>
              </w:rPr>
            </w:pPr>
            <w:r>
              <w:rPr>
                <w:sz w:val="18"/>
              </w:rPr>
              <w:t>The Cancer Center at Hackensack University Medical </w:t>
            </w:r>
            <w:r>
              <w:rPr>
                <w:spacing w:val="-3"/>
                <w:sz w:val="18"/>
              </w:rPr>
              <w:t>Center, </w:t>
            </w:r>
            <w:r>
              <w:rPr>
                <w:sz w:val="18"/>
              </w:rPr>
              <w:t>Hackensack, New Jersey, United 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footerReference w:type="default" r:id="rId5"/>
          <w:type w:val="continuous"/>
          <w:pgSz w:w="24480" w:h="15840" w:orient="landscape"/>
          <w:pgMar w:footer="376" w:top="340" w:bottom="560" w:left="320" w:right="30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2863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15" w:firstLine="0"/>
              <w:rPr>
                <w:sz w:val="18"/>
              </w:rPr>
            </w:pPr>
            <w:hyperlink r:id="rId10">
              <w:r>
                <w:rPr>
                  <w:color w:val="0000FF"/>
                  <w:sz w:val="18"/>
                  <w:u w:val="single" w:color="0000FF"/>
                </w:rPr>
                <w:t>Obatoclax and Bortezomib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0">
              <w:r>
                <w:rPr>
                  <w:color w:val="0000FF"/>
                  <w:sz w:val="18"/>
                  <w:u w:val="single" w:color="0000FF"/>
                </w:rPr>
                <w:t>Aggressive Relapsed or Recurrent Non-Hodgkin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Adult Non-Hodgkin 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9" w:lineRule="auto" w:before="124" w:after="0"/>
              <w:ind w:left="221" w:right="79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Grade 1 Follicular 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Grade 2 Follicular 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Grade 3 Follicular 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Mantle Cell 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Marginal Zone Lymphoma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Small Lymphocytic 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bortezomib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City of Hope Medical Center, Duarte, California, United States</w:t>
            </w:r>
          </w:p>
        </w:tc>
      </w:tr>
      <w:tr>
        <w:trPr>
          <w:trHeight w:val="660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hyperlink r:id="rId11">
              <w:r>
                <w:rPr>
                  <w:color w:val="0000FF"/>
                  <w:sz w:val="18"/>
                  <w:u w:val="single" w:color="0000FF"/>
                </w:rPr>
                <w:t>Obatoclax for Systemic Mastocytosis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Leukemia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Systemic Mastocytosis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21" w:val="left" w:leader="none"/>
              </w:tabs>
              <w:spacing w:line="249" w:lineRule="auto" w:before="42" w:after="0"/>
              <w:ind w:left="220" w:right="597" w:hanging="80"/>
              <w:jc w:val="left"/>
              <w:rPr>
                <w:sz w:val="18"/>
              </w:rPr>
            </w:pPr>
            <w:r>
              <w:rPr>
                <w:sz w:val="18"/>
              </w:rPr>
              <w:t>UT MD Anderson Cancer Center, Houston,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545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85" w:firstLine="0"/>
              <w:rPr>
                <w:sz w:val="18"/>
              </w:rPr>
            </w:pPr>
            <w:hyperlink r:id="rId12">
              <w:r>
                <w:rPr>
                  <w:color w:val="0000FF"/>
                  <w:sz w:val="18"/>
                  <w:u w:val="single" w:color="0000FF"/>
                </w:rPr>
                <w:t>Safety and Efficacy of Obatoclax Mesylate (GX15-070MS) in</w:t>
              </w:r>
            </w:hyperlink>
            <w:r>
              <w:rPr>
                <w:color w:val="0000FF"/>
                <w:sz w:val="18"/>
              </w:rPr>
              <w:t> </w:t>
            </w:r>
            <w:hyperlink r:id="rId12">
              <w:r>
                <w:rPr>
                  <w:color w:val="0000FF"/>
                  <w:sz w:val="18"/>
                  <w:u w:val="single" w:color="0000FF"/>
                </w:rPr>
                <w:t>the Treatment of Hodgkin's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Hodgkin's 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 (GX15-070MS)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MD Anderson Cancer Center, Houston, Texas, United States</w:t>
            </w:r>
          </w:p>
        </w:tc>
      </w:tr>
      <w:tr>
        <w:trPr>
          <w:trHeight w:val="2302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03" w:firstLine="0"/>
              <w:jc w:val="both"/>
              <w:rPr>
                <w:sz w:val="18"/>
              </w:rPr>
            </w:pPr>
            <w:hyperlink r:id="rId13">
              <w:r>
                <w:rPr>
                  <w:color w:val="0000FF"/>
                  <w:sz w:val="18"/>
                  <w:u w:val="single" w:color="0000FF"/>
                </w:rPr>
                <w:t>Safety and Efficacy of Obatoclax Mesylate (GX15-070MS) in</w:t>
              </w:r>
            </w:hyperlink>
            <w:r>
              <w:rPr>
                <w:color w:val="0000FF"/>
                <w:sz w:val="18"/>
              </w:rPr>
              <w:t> </w:t>
            </w:r>
            <w:hyperlink r:id="rId13">
              <w:r>
                <w:rPr>
                  <w:color w:val="0000FF"/>
                  <w:sz w:val="18"/>
                  <w:u w:val="single" w:color="0000FF"/>
                </w:rPr>
                <w:t>Combination With Bortezomib for the Treatment of Relapsed</w:t>
              </w:r>
            </w:hyperlink>
            <w:r>
              <w:rPr>
                <w:color w:val="0000FF"/>
                <w:sz w:val="18"/>
              </w:rPr>
              <w:t> </w:t>
            </w:r>
            <w:hyperlink r:id="rId13">
              <w:r>
                <w:rPr>
                  <w:color w:val="0000FF"/>
                  <w:sz w:val="18"/>
                  <w:u w:val="single" w:color="0000FF"/>
                </w:rPr>
                <w:t>or Refractory Mantle Cell Lymphoma (MCL)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Mantle-Cell 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Bortezomib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21" w:val="left" w:leader="none"/>
              </w:tabs>
              <w:spacing w:line="249" w:lineRule="auto" w:before="42" w:after="0"/>
              <w:ind w:left="220" w:right="597" w:hanging="80"/>
              <w:jc w:val="left"/>
              <w:rPr>
                <w:sz w:val="18"/>
              </w:rPr>
            </w:pPr>
            <w:r>
              <w:rPr>
                <w:sz w:val="18"/>
              </w:rPr>
              <w:t>NW Georgia Oncology Centers, Marietta, Georgia,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21" w:val="left" w:leader="none"/>
              </w:tabs>
              <w:spacing w:line="249" w:lineRule="auto" w:before="116" w:after="0"/>
              <w:ind w:left="220" w:right="137" w:hanging="80"/>
              <w:jc w:val="left"/>
              <w:rPr>
                <w:sz w:val="18"/>
              </w:rPr>
            </w:pPr>
            <w:r>
              <w:rPr>
                <w:sz w:val="18"/>
              </w:rPr>
              <w:t>Northwestern University Feinberg School of Medicine, </w:t>
            </w:r>
            <w:r>
              <w:rPr>
                <w:spacing w:val="-3"/>
                <w:sz w:val="18"/>
              </w:rPr>
              <w:t>Chicago, </w:t>
            </w:r>
            <w:r>
              <w:rPr>
                <w:sz w:val="18"/>
              </w:rPr>
              <w:t>Illinois, United States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21" w:val="left" w:leader="none"/>
              </w:tabs>
              <w:spacing w:line="249" w:lineRule="auto" w:before="117" w:after="0"/>
              <w:ind w:left="220" w:right="567" w:hanging="80"/>
              <w:jc w:val="left"/>
              <w:rPr>
                <w:sz w:val="18"/>
              </w:rPr>
            </w:pPr>
            <w:r>
              <w:rPr>
                <w:sz w:val="18"/>
              </w:rPr>
              <w:t>Hackensack University Medical Center, Hackensack, </w:t>
            </w:r>
            <w:r>
              <w:rPr>
                <w:spacing w:val="-6"/>
                <w:sz w:val="18"/>
              </w:rPr>
              <w:t>New </w:t>
            </w:r>
            <w:r>
              <w:rPr>
                <w:sz w:val="18"/>
              </w:rPr>
              <w:t>Jersey, United States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Roswell Park Medical Center, Buffalo, New York, United States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Wisconsin, Madison, Wisconsin, United States</w:t>
            </w:r>
          </w:p>
        </w:tc>
      </w:tr>
      <w:tr>
        <w:trPr>
          <w:trHeight w:val="2647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95" w:firstLine="0"/>
              <w:rPr>
                <w:sz w:val="18"/>
              </w:rPr>
            </w:pPr>
            <w:hyperlink r:id="rId14">
              <w:r>
                <w:rPr>
                  <w:color w:val="0000FF"/>
                  <w:sz w:val="18"/>
                  <w:u w:val="single" w:color="0000FF"/>
                </w:rPr>
                <w:t>Obatoclax, Fludarabine, and Rituximab in Treating Patients</w:t>
              </w:r>
            </w:hyperlink>
            <w:r>
              <w:rPr>
                <w:color w:val="0000FF"/>
                <w:sz w:val="18"/>
              </w:rPr>
              <w:t> </w:t>
            </w:r>
            <w:hyperlink r:id="rId14">
              <w:r>
                <w:rPr>
                  <w:color w:val="0000FF"/>
                  <w:sz w:val="18"/>
                  <w:u w:val="single" w:color="0000FF"/>
                </w:rPr>
                <w:t>With Previously Treated Chronic Lymphocytic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B-cell Chronic Lymphocytic 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Prolymphocytic 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Refractory Chronic Lymphocytic 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 Chronic Lymphocytic 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 Chronic Lymphocytic 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Chronic Lymphocytic Leukemia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Chronic Lymphocytic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fludarabine phosphate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21" w:val="left" w:leader="none"/>
              </w:tabs>
              <w:spacing w:line="249" w:lineRule="auto" w:before="42" w:after="0"/>
              <w:ind w:left="220" w:right="277" w:hanging="80"/>
              <w:jc w:val="left"/>
              <w:rPr>
                <w:sz w:val="18"/>
              </w:rPr>
            </w:pPr>
            <w:r>
              <w:rPr>
                <w:sz w:val="18"/>
              </w:rPr>
              <w:t>Dana-Farber Cancer Institute, Boston, Massachusetts,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369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65" w:firstLine="0"/>
              <w:rPr>
                <w:sz w:val="18"/>
              </w:rPr>
            </w:pPr>
            <w:hyperlink r:id="rId15">
              <w:r>
                <w:rPr>
                  <w:color w:val="0000FF"/>
                  <w:sz w:val="18"/>
                  <w:u w:val="single" w:color="0000FF"/>
                </w:rPr>
                <w:t>Safety and Efficacy of Obatoclax Mesylate (GX15-070MS)for</w:t>
              </w:r>
            </w:hyperlink>
            <w:r>
              <w:rPr>
                <w:color w:val="0000FF"/>
                <w:sz w:val="18"/>
              </w:rPr>
              <w:t> </w:t>
            </w:r>
            <w:hyperlink r:id="rId15">
              <w:r>
                <w:rPr>
                  <w:color w:val="0000FF"/>
                  <w:sz w:val="18"/>
                  <w:u w:val="single" w:color="0000FF"/>
                </w:rPr>
                <w:t>the Treatment of Myelodysplastic Syndromes (MDS)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Myelodysplastic Syndromes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 (GX15-070MS)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Stanford University, Stanford, California,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24" w:after="0"/>
              <w:ind w:left="220" w:right="207" w:hanging="80"/>
              <w:jc w:val="left"/>
              <w:rPr>
                <w:sz w:val="18"/>
              </w:rPr>
            </w:pPr>
            <w:r>
              <w:rPr>
                <w:sz w:val="18"/>
              </w:rPr>
              <w:t>Georgetown University Medical Center, Washington, District </w:t>
            </w:r>
            <w:r>
              <w:rPr>
                <w:spacing w:val="-8"/>
                <w:sz w:val="18"/>
              </w:rPr>
              <w:t>of </w:t>
            </w:r>
            <w:r>
              <w:rPr>
                <w:sz w:val="18"/>
              </w:rPr>
              <w:t>Columbia,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16" w:after="0"/>
              <w:ind w:left="220" w:right="527" w:hanging="80"/>
              <w:jc w:val="left"/>
              <w:rPr>
                <w:sz w:val="18"/>
              </w:rPr>
            </w:pPr>
            <w:r>
              <w:rPr>
                <w:sz w:val="18"/>
              </w:rPr>
              <w:t>James A. Haley Veterans Hospital, Tampa, Florida,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17" w:after="0"/>
              <w:ind w:left="220" w:right="247" w:hanging="80"/>
              <w:jc w:val="left"/>
              <w:rPr>
                <w:sz w:val="18"/>
              </w:rPr>
            </w:pPr>
            <w:r>
              <w:rPr>
                <w:sz w:val="18"/>
              </w:rPr>
              <w:t>Emory University School of Medicine/ Winship Cancer </w:t>
            </w:r>
            <w:r>
              <w:rPr>
                <w:spacing w:val="-3"/>
                <w:sz w:val="18"/>
              </w:rPr>
              <w:t>Center, </w:t>
            </w:r>
            <w:r>
              <w:rPr>
                <w:sz w:val="18"/>
              </w:rPr>
              <w:t>Atlanta, Georgia,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17" w:after="0"/>
              <w:ind w:left="220" w:right="87" w:hanging="80"/>
              <w:jc w:val="left"/>
              <w:rPr>
                <w:sz w:val="18"/>
              </w:rPr>
            </w:pPr>
            <w:r>
              <w:rPr>
                <w:sz w:val="18"/>
              </w:rPr>
              <w:t>Northwest Georgia Oncology Centers, Marietta, Georgia,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Chicago, Chicago, Illinois,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25" w:after="0"/>
              <w:ind w:left="220" w:right="71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Massachusetts Medical Center, Worcester, Massachusetts,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16" w:after="0"/>
              <w:ind w:left="220" w:right="77" w:hanging="80"/>
              <w:jc w:val="left"/>
              <w:rPr>
                <w:sz w:val="18"/>
              </w:rPr>
            </w:pPr>
            <w:r>
              <w:rPr>
                <w:sz w:val="18"/>
              </w:rPr>
              <w:t>Michigan State University, Breslin Cancer Center CTO, </w:t>
            </w:r>
            <w:r>
              <w:rPr>
                <w:spacing w:val="-3"/>
                <w:sz w:val="18"/>
              </w:rPr>
              <w:t>Lansing, </w:t>
            </w:r>
            <w:r>
              <w:rPr>
                <w:sz w:val="18"/>
              </w:rPr>
              <w:t>Michigan,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17" w:after="0"/>
              <w:ind w:left="220" w:right="67" w:hanging="80"/>
              <w:jc w:val="left"/>
              <w:rPr>
                <w:sz w:val="18"/>
              </w:rPr>
            </w:pPr>
            <w:r>
              <w:rPr>
                <w:sz w:val="18"/>
              </w:rPr>
              <w:t>Hematology-Oncology Centers of the Northern Rockies, Billings, Montana,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9" w:lineRule="auto" w:before="117" w:after="0"/>
              <w:ind w:left="220" w:right="324" w:hanging="80"/>
              <w:jc w:val="left"/>
              <w:rPr>
                <w:sz w:val="18"/>
              </w:rPr>
            </w:pPr>
            <w:r>
              <w:rPr>
                <w:sz w:val="18"/>
              </w:rPr>
              <w:t>St. Vincent's Comprehensive Cancer Center, New York, </w:t>
            </w:r>
            <w:r>
              <w:rPr>
                <w:spacing w:val="-6"/>
                <w:sz w:val="18"/>
              </w:rPr>
              <w:t>New </w:t>
            </w:r>
            <w:r>
              <w:rPr>
                <w:sz w:val="18"/>
              </w:rPr>
              <w:t>York, United States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12 more</w:t>
            </w:r>
          </w:p>
        </w:tc>
      </w:tr>
      <w:tr>
        <w:trPr>
          <w:trHeight w:val="2743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33" w:firstLine="0"/>
              <w:jc w:val="both"/>
              <w:rPr>
                <w:sz w:val="18"/>
              </w:rPr>
            </w:pPr>
            <w:hyperlink r:id="rId16">
              <w:r>
                <w:rPr>
                  <w:color w:val="0000FF"/>
                  <w:sz w:val="18"/>
                  <w:u w:val="single" w:color="0000FF"/>
                </w:rPr>
                <w:t>Safety and Efficacy of Obatoclax Mesylate (GX15-070MS)in</w:t>
              </w:r>
            </w:hyperlink>
            <w:r>
              <w:rPr>
                <w:color w:val="0000FF"/>
                <w:sz w:val="18"/>
              </w:rPr>
              <w:t> </w:t>
            </w:r>
            <w:hyperlink r:id="rId16">
              <w:r>
                <w:rPr>
                  <w:color w:val="0000FF"/>
                  <w:sz w:val="18"/>
                  <w:u w:val="single" w:color="0000FF"/>
                </w:rPr>
                <w:t>Combination With Docetaxel for the Treatment of Non-Smal</w:t>
              </w:r>
              <w:r>
                <w:rPr>
                  <w:color w:val="0000FF"/>
                  <w:sz w:val="18"/>
                </w:rPr>
                <w:t>l</w:t>
              </w:r>
            </w:hyperlink>
            <w:r>
              <w:rPr>
                <w:color w:val="0000FF"/>
                <w:sz w:val="18"/>
              </w:rPr>
              <w:t> </w:t>
            </w:r>
            <w:hyperlink r:id="rId16">
              <w:r>
                <w:rPr>
                  <w:color w:val="0000FF"/>
                  <w:sz w:val="18"/>
                  <w:u w:val="single" w:color="0000FF"/>
                </w:rPr>
                <w:t>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Lung Cancer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 250 ml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9" w:lineRule="auto" w:before="42" w:after="0"/>
              <w:ind w:left="220" w:right="357" w:hanging="80"/>
              <w:jc w:val="left"/>
              <w:rPr>
                <w:sz w:val="18"/>
              </w:rPr>
            </w:pPr>
            <w:r>
              <w:rPr>
                <w:sz w:val="18"/>
              </w:rPr>
              <w:t>Mayo Clinic College of Medicine, Scottsdale, Arizona,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Tower Oncology, Beverly Hills, California, United States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9" w:lineRule="auto" w:before="124" w:after="0"/>
              <w:ind w:left="220" w:right="607" w:hanging="80"/>
              <w:jc w:val="left"/>
              <w:rPr>
                <w:sz w:val="18"/>
              </w:rPr>
            </w:pPr>
            <w:r>
              <w:rPr>
                <w:sz w:val="18"/>
              </w:rPr>
              <w:t>Georgetown University, Washington, District of Columbia, United States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H. Lee Moffitt Cancer Center, Tampa, Florida, United States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Maryland, Baltimore, Maryland, United States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MedStar Research Institute, Baltimore, Maryland, United States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Arlington Cancer Center, Arlington, Texas, United States</w:t>
            </w:r>
          </w:p>
        </w:tc>
      </w:tr>
      <w:tr>
        <w:trPr>
          <w:trHeight w:val="972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7"/>
              <w:ind w:left="143" w:right="223" w:firstLine="0"/>
              <w:rPr>
                <w:sz w:val="18"/>
              </w:rPr>
            </w:pPr>
            <w:hyperlink r:id="rId17">
              <w:r>
                <w:rPr>
                  <w:color w:val="0000FF"/>
                  <w:sz w:val="18"/>
                  <w:u w:val="single" w:color="0000FF"/>
                </w:rPr>
                <w:t>Efficacy and Safety of Obatoclax Mesylate in Combination</w:t>
              </w:r>
            </w:hyperlink>
            <w:r>
              <w:rPr>
                <w:color w:val="0000FF"/>
                <w:sz w:val="18"/>
              </w:rPr>
              <w:t> </w:t>
            </w:r>
            <w:hyperlink r:id="rId17">
              <w:r>
                <w:rPr>
                  <w:color w:val="0000FF"/>
                  <w:sz w:val="18"/>
                  <w:u w:val="single" w:color="0000FF"/>
                </w:rPr>
                <w:t>With Carboplatin and Etoposide Compared With Carboplatin</w:t>
              </w:r>
            </w:hyperlink>
            <w:r>
              <w:rPr>
                <w:color w:val="0000FF"/>
                <w:sz w:val="18"/>
              </w:rPr>
              <w:t> </w:t>
            </w:r>
            <w:hyperlink r:id="rId17">
              <w:r>
                <w:rPr>
                  <w:color w:val="0000FF"/>
                  <w:sz w:val="18"/>
                  <w:u w:val="single" w:color="0000FF"/>
                </w:rPr>
                <w:t>and Etoposide Alone in Chemotherapy-Naive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7">
              <w:r>
                <w:rPr>
                  <w:color w:val="0000FF"/>
                  <w:sz w:val="18"/>
                  <w:u w:val="single" w:color="0000FF"/>
                </w:rPr>
                <w:t>Extensive-Stage Small Cell Lung Cancer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Withdrawn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Extensive-stage Small Cell Lung Cancer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217" w:val="left" w:leader="none"/>
              </w:tabs>
              <w:spacing w:line="249" w:lineRule="auto" w:before="37" w:after="0"/>
              <w:ind w:left="216" w:right="344" w:hanging="80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Mesylate, </w:t>
            </w:r>
            <w:r>
              <w:rPr>
                <w:spacing w:val="-2"/>
                <w:sz w:val="18"/>
              </w:rPr>
              <w:t>Carboplatine </w:t>
            </w:r>
            <w:r>
              <w:rPr>
                <w:sz w:val="18"/>
              </w:rPr>
              <w:t>and Etoposide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17" w:val="left" w:leader="none"/>
              </w:tabs>
              <w:spacing w:line="240" w:lineRule="auto" w:before="116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 and Etoposide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  <w:tr>
        <w:trPr>
          <w:trHeight w:val="1322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65" w:firstLine="0"/>
              <w:rPr>
                <w:sz w:val="18"/>
              </w:rPr>
            </w:pPr>
            <w:hyperlink r:id="rId18">
              <w:r>
                <w:rPr>
                  <w:color w:val="0000FF"/>
                  <w:sz w:val="18"/>
                  <w:u w:val="single" w:color="0000FF"/>
                </w:rPr>
                <w:t>Obatoclax and Bortezomib in Treating Patients With Relapsed</w:t>
              </w:r>
            </w:hyperlink>
            <w:r>
              <w:rPr>
                <w:color w:val="0000FF"/>
                <w:sz w:val="18"/>
              </w:rPr>
              <w:t> </w:t>
            </w:r>
            <w:hyperlink r:id="rId18">
              <w:r>
                <w:rPr>
                  <w:color w:val="0000FF"/>
                  <w:sz w:val="18"/>
                  <w:u w:val="single" w:color="0000FF"/>
                </w:rPr>
                <w:t>or Refractory Multiple Myeloma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Refractory Multiple Myeloma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 Multiple Myeloma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 Multiple Myeloma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Multiple Myeloma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bortezomib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Clinic, Rochester, Minnesota, United States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796" w:hRule="atLeast"/>
        </w:trPr>
        <w:tc>
          <w:tcPr>
            <w:tcW w:w="1181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315" w:firstLine="0"/>
              <w:rPr>
                <w:sz w:val="18"/>
              </w:rPr>
            </w:pPr>
            <w:hyperlink r:id="rId19">
              <w:r>
                <w:rPr>
                  <w:color w:val="0000FF"/>
                  <w:sz w:val="18"/>
                  <w:u w:val="single" w:color="0000FF"/>
                </w:rPr>
                <w:t>Obatoclax Mesylate, Vincristine Sulfate, Doxorubicin</w:t>
              </w:r>
            </w:hyperlink>
            <w:r>
              <w:rPr>
                <w:color w:val="0000FF"/>
                <w:sz w:val="18"/>
              </w:rPr>
              <w:t> </w:t>
            </w:r>
            <w:hyperlink r:id="rId19">
              <w:r>
                <w:rPr>
                  <w:color w:val="0000FF"/>
                  <w:sz w:val="18"/>
                  <w:u w:val="single" w:color="0000FF"/>
                </w:rPr>
                <w:t>Hydrochloride, and Dexrazoxane Hydrochloride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19">
              <w:r>
                <w:rPr>
                  <w:color w:val="0000FF"/>
                  <w:sz w:val="18"/>
                  <w:u w:val="single" w:color="0000FF"/>
                </w:rPr>
                <w:t>Young Patients With Relapsed or Refractory Solid Tumors,</w:t>
              </w:r>
            </w:hyperlink>
            <w:r>
              <w:rPr>
                <w:color w:val="0000FF"/>
                <w:sz w:val="18"/>
              </w:rPr>
              <w:t> </w:t>
            </w:r>
            <w:hyperlink r:id="rId19">
              <w:r>
                <w:rPr>
                  <w:color w:val="0000FF"/>
                  <w:sz w:val="18"/>
                  <w:u w:val="single" w:color="0000FF"/>
                </w:rPr>
                <w:t>Lymphoma, or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Acute Leukemias of Ambiguous Lineage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Acute Undifferentiated Leukemia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Angioimmunoblastic T-cell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9" w:lineRule="auto" w:before="124" w:after="0"/>
              <w:ind w:left="221" w:right="648" w:hanging="80"/>
              <w:jc w:val="left"/>
              <w:rPr>
                <w:sz w:val="18"/>
              </w:rPr>
            </w:pPr>
            <w:r>
              <w:rPr>
                <w:sz w:val="18"/>
              </w:rPr>
              <w:t>Blastic Phase Chronic Myelogenous Leukemia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Childhood Burkitt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Childhood Chronic Myelogenous Leukemia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Childhood Diffuse Large Cell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9" w:lineRule="auto" w:before="125" w:after="0"/>
              <w:ind w:left="221" w:right="638" w:hanging="80"/>
              <w:jc w:val="left"/>
              <w:rPr>
                <w:sz w:val="18"/>
              </w:rPr>
            </w:pPr>
            <w:r>
              <w:rPr>
                <w:sz w:val="18"/>
              </w:rPr>
              <w:t>Childhood Immunoblastic Large </w:t>
            </w:r>
            <w:r>
              <w:rPr>
                <w:spacing w:val="-4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9" w:lineRule="auto" w:before="116" w:after="0"/>
              <w:ind w:left="221" w:right="58" w:hanging="80"/>
              <w:jc w:val="left"/>
              <w:rPr>
                <w:sz w:val="18"/>
              </w:rPr>
            </w:pPr>
            <w:r>
              <w:rPr>
                <w:sz w:val="18"/>
              </w:rPr>
              <w:t>Childhood Nasal Type Extranodal NK/T-cell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Cutaneous B-cell Non-Hodgkin Lymphoma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19 more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dexrazoxane hydrochloride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liposomal vincristine sulfate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42" w:after="0"/>
              <w:ind w:left="220" w:right="30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Alabama at Birmingham, Birmingham, Alabama,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6" w:after="0"/>
              <w:ind w:left="220" w:right="76" w:hanging="80"/>
              <w:jc w:val="left"/>
              <w:rPr>
                <w:sz w:val="18"/>
              </w:rPr>
            </w:pPr>
            <w:r>
              <w:rPr>
                <w:sz w:val="18"/>
              </w:rPr>
              <w:t>Childrens Hospital of Orange County, Orange, California,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7" w:after="0"/>
              <w:ind w:left="220" w:right="523" w:hanging="80"/>
              <w:jc w:val="left"/>
              <w:rPr>
                <w:sz w:val="18"/>
              </w:rPr>
            </w:pPr>
            <w:r>
              <w:rPr>
                <w:sz w:val="18"/>
              </w:rPr>
              <w:t>Children's National Medical Center, Washington, District </w:t>
            </w:r>
            <w:r>
              <w:rPr>
                <w:spacing w:val="-9"/>
                <w:sz w:val="18"/>
              </w:rPr>
              <w:t>of </w:t>
            </w:r>
            <w:r>
              <w:rPr>
                <w:sz w:val="18"/>
              </w:rPr>
              <w:t>Columbia,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7" w:after="0"/>
              <w:ind w:left="220" w:right="542" w:hanging="80"/>
              <w:jc w:val="left"/>
              <w:rPr>
                <w:sz w:val="18"/>
              </w:rPr>
            </w:pPr>
            <w:r>
              <w:rPr>
                <w:sz w:val="18"/>
              </w:rPr>
              <w:t>Lurie Children's Hospital-Chicago, Chicago, Illinois,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6" w:after="0"/>
              <w:ind w:left="220" w:right="126" w:hanging="80"/>
              <w:jc w:val="left"/>
              <w:rPr>
                <w:sz w:val="18"/>
              </w:rPr>
            </w:pPr>
            <w:r>
              <w:rPr>
                <w:sz w:val="18"/>
              </w:rPr>
              <w:t>Indiana University Medical Center, Indianapolis, Indiana,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7" w:after="0"/>
              <w:ind w:left="220" w:right="277" w:hanging="80"/>
              <w:jc w:val="left"/>
              <w:rPr>
                <w:sz w:val="18"/>
              </w:rPr>
            </w:pPr>
            <w:r>
              <w:rPr>
                <w:sz w:val="18"/>
              </w:rPr>
              <w:t>Dana-Farber Cancer Institute, Boston, Massachusetts,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7" w:after="0"/>
              <w:ind w:left="220" w:right="594" w:hanging="80"/>
              <w:jc w:val="left"/>
              <w:rPr>
                <w:sz w:val="18"/>
              </w:rPr>
            </w:pPr>
            <w:r>
              <w:rPr>
                <w:sz w:val="18"/>
              </w:rPr>
              <w:t>C S Mott Children's Hospital, Ann Arbor, Michigan,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6" w:after="0"/>
              <w:ind w:left="220" w:right="21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Minnesota Medical Center-Fairview, </w:t>
            </w:r>
            <w:r>
              <w:rPr>
                <w:spacing w:val="-2"/>
                <w:sz w:val="18"/>
              </w:rPr>
              <w:t>Minneapolis, </w:t>
            </w:r>
            <w:r>
              <w:rPr>
                <w:sz w:val="18"/>
              </w:rPr>
              <w:t>Minnesota,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7" w:after="0"/>
              <w:ind w:left="220" w:right="787" w:hanging="80"/>
              <w:jc w:val="left"/>
              <w:rPr>
                <w:sz w:val="18"/>
              </w:rPr>
            </w:pPr>
            <w:r>
              <w:rPr>
                <w:sz w:val="18"/>
              </w:rPr>
              <w:t>Washington University School of Medicine, Saint </w:t>
            </w:r>
            <w:r>
              <w:rPr>
                <w:spacing w:val="-3"/>
                <w:sz w:val="18"/>
              </w:rPr>
              <w:t>Louis, </w:t>
            </w:r>
            <w:r>
              <w:rPr>
                <w:sz w:val="18"/>
              </w:rPr>
              <w:t>Missouri, 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9" w:lineRule="auto" w:before="117" w:after="0"/>
              <w:ind w:left="220" w:right="517" w:hanging="80"/>
              <w:jc w:val="left"/>
              <w:rPr>
                <w:sz w:val="18"/>
              </w:rPr>
            </w:pPr>
            <w:r>
              <w:rPr>
                <w:sz w:val="18"/>
              </w:rPr>
              <w:t>Columbia University Medical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10 more</w:t>
            </w:r>
          </w:p>
        </w:tc>
      </w:tr>
      <w:tr>
        <w:trPr>
          <w:trHeight w:val="1087" w:hRule="atLeast"/>
        </w:trPr>
        <w:tc>
          <w:tcPr>
            <w:tcW w:w="1181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 w:before="37"/>
              <w:ind w:left="143" w:right="123" w:firstLine="0"/>
              <w:jc w:val="both"/>
              <w:rPr>
                <w:sz w:val="18"/>
              </w:rPr>
            </w:pPr>
            <w:hyperlink r:id="rId20">
              <w:r>
                <w:rPr>
                  <w:color w:val="0000FF"/>
                  <w:sz w:val="18"/>
                  <w:u w:val="single" w:color="0000FF"/>
                </w:rPr>
                <w:t>Obatoclax Mesylate and Topotecan Hydrochloride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20">
              <w:r>
                <w:rPr>
                  <w:color w:val="0000FF"/>
                  <w:sz w:val="18"/>
                  <w:u w:val="single" w:color="0000FF"/>
                </w:rPr>
                <w:t>Patients With Relapsed or Refractory Small Cell Lung Cancer</w:t>
              </w:r>
            </w:hyperlink>
            <w:r>
              <w:rPr>
                <w:color w:val="0000FF"/>
                <w:sz w:val="18"/>
              </w:rPr>
              <w:t> </w:t>
            </w:r>
            <w:hyperlink r:id="rId20">
              <w:r>
                <w:rPr>
                  <w:color w:val="0000FF"/>
                  <w:sz w:val="18"/>
                  <w:u w:val="single" w:color="0000FF"/>
                </w:rPr>
                <w:t>or Advanced Solid Tumors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Small Cell Lung Cancer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22" w:val="left" w:leader="none"/>
              </w:tabs>
              <w:spacing w:line="249" w:lineRule="auto" w:before="124" w:after="0"/>
              <w:ind w:left="221" w:right="348" w:hanging="80"/>
              <w:jc w:val="left"/>
              <w:rPr>
                <w:sz w:val="18"/>
              </w:rPr>
            </w:pPr>
            <w:r>
              <w:rPr>
                <w:sz w:val="18"/>
              </w:rPr>
              <w:t>Unspecified Adult Solid Tumor, Protocol Specific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topotecan hydrochloride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tcBorders>
              <w:top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9" w:lineRule="auto" w:before="37" w:after="0"/>
              <w:ind w:left="220" w:right="727" w:hanging="80"/>
              <w:jc w:val="left"/>
              <w:rPr>
                <w:sz w:val="18"/>
              </w:rPr>
            </w:pPr>
            <w:r>
              <w:rPr>
                <w:sz w:val="18"/>
              </w:rPr>
              <w:t>Sidney Kimmel Comprehensive Cancer Center at </w:t>
            </w:r>
            <w:r>
              <w:rPr>
                <w:spacing w:val="-4"/>
                <w:sz w:val="18"/>
              </w:rPr>
              <w:t>Johns </w:t>
            </w:r>
            <w:r>
              <w:rPr>
                <w:sz w:val="18"/>
              </w:rPr>
              <w:t>Hopkins Hospital, Baltimore, Maryland, United States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9" w:lineRule="auto" w:before="116" w:after="0"/>
              <w:ind w:left="220" w:right="137" w:hanging="80"/>
              <w:jc w:val="left"/>
              <w:rPr>
                <w:sz w:val="18"/>
              </w:rPr>
            </w:pPr>
            <w:r>
              <w:rPr>
                <w:sz w:val="18"/>
              </w:rPr>
              <w:t>Memorial Sloan Kettering Cancer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2964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85" w:firstLine="0"/>
              <w:rPr>
                <w:sz w:val="18"/>
              </w:rPr>
            </w:pPr>
            <w:hyperlink r:id="rId21">
              <w:r>
                <w:rPr>
                  <w:color w:val="0000FF"/>
                  <w:sz w:val="18"/>
                  <w:u w:val="single" w:color="0000FF"/>
                </w:rPr>
                <w:t>Safety and Efficacy of Obatoclax Mesylate (GX15-070MS) in</w:t>
              </w:r>
            </w:hyperlink>
            <w:r>
              <w:rPr>
                <w:color w:val="0000FF"/>
                <w:sz w:val="18"/>
              </w:rPr>
              <w:t> </w:t>
            </w:r>
            <w:hyperlink r:id="rId21">
              <w:r>
                <w:rPr>
                  <w:color w:val="0000FF"/>
                  <w:sz w:val="18"/>
                  <w:u w:val="single" w:color="0000FF"/>
                </w:rPr>
                <w:t>the Treatment of Myelofibrosis With Myeloid Metaplasia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Myelofibrosis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 (GX15-070MS)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9" w:lineRule="auto" w:before="42" w:after="0"/>
              <w:ind w:left="220" w:right="207" w:hanging="80"/>
              <w:jc w:val="left"/>
              <w:rPr>
                <w:sz w:val="18"/>
              </w:rPr>
            </w:pPr>
            <w:r>
              <w:rPr>
                <w:sz w:val="18"/>
              </w:rPr>
              <w:t>Georgetown University Medical Center, Washington, District </w:t>
            </w:r>
            <w:r>
              <w:rPr>
                <w:spacing w:val="-8"/>
                <w:sz w:val="18"/>
              </w:rPr>
              <w:t>of </w:t>
            </w:r>
            <w:r>
              <w:rPr>
                <w:sz w:val="18"/>
              </w:rPr>
              <w:t>Columbia, United States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9" w:lineRule="auto" w:before="116" w:after="0"/>
              <w:ind w:left="220" w:right="527" w:hanging="80"/>
              <w:jc w:val="left"/>
              <w:rPr>
                <w:sz w:val="18"/>
              </w:rPr>
            </w:pPr>
            <w:r>
              <w:rPr>
                <w:sz w:val="18"/>
              </w:rPr>
              <w:t>James A. Haley Veterans Hospital, Tampa, Florida,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Emory University, Atlanta, Georgia, United States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The University of Chicago, Chicago, Illinois, United States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9" w:lineRule="auto" w:before="124" w:after="0"/>
              <w:ind w:left="220" w:right="71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Massachusetts Medical Center, Worcester, Massachusetts, United States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MD Anderson Cancer Center, Houston, Texas, United States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Princess Margaret Hospital, Toronto, Ontario, Canada</w:t>
            </w:r>
          </w:p>
        </w:tc>
      </w:tr>
      <w:tr>
        <w:trPr>
          <w:trHeight w:val="2743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866" w:firstLine="0"/>
              <w:rPr>
                <w:sz w:val="18"/>
              </w:rPr>
            </w:pPr>
            <w:hyperlink r:id="rId22">
              <w:r>
                <w:rPr>
                  <w:color w:val="0000FF"/>
                  <w:sz w:val="18"/>
                  <w:u w:val="single" w:color="0000FF"/>
                </w:rPr>
                <w:t>Obatoclax Mesylate, Rituximab, and Bendamustine</w:t>
              </w:r>
            </w:hyperlink>
            <w:r>
              <w:rPr>
                <w:color w:val="0000FF"/>
                <w:sz w:val="18"/>
              </w:rPr>
              <w:t> </w:t>
            </w:r>
            <w:hyperlink r:id="rId22">
              <w:r>
                <w:rPr>
                  <w:color w:val="0000FF"/>
                  <w:sz w:val="18"/>
                  <w:u w:val="single" w:color="0000FF"/>
                </w:rPr>
                <w:t>Hydrochloride in Treating Patients With Relapsed or</w:t>
              </w:r>
            </w:hyperlink>
            <w:r>
              <w:rPr>
                <w:color w:val="0000FF"/>
                <w:sz w:val="18"/>
              </w:rPr>
              <w:t> </w:t>
            </w:r>
            <w:hyperlink r:id="rId22">
              <w:r>
                <w:rPr>
                  <w:color w:val="0000FF"/>
                  <w:sz w:val="18"/>
                  <w:u w:val="single" w:color="0000FF"/>
                </w:rPr>
                <w:t>Refractory Non-Hodgkin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Withdrawn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9" w:lineRule="auto" w:before="42" w:after="0"/>
              <w:ind w:left="221" w:right="839" w:hanging="80"/>
              <w:jc w:val="left"/>
              <w:rPr>
                <w:sz w:val="18"/>
              </w:rPr>
            </w:pPr>
            <w:r>
              <w:rPr>
                <w:sz w:val="18"/>
              </w:rPr>
              <w:t>Extranodal Marginal Zone B-cell Lymphoma of Mucosa-associated Lymphoid Tissue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Nodal Marginal Zone B-cell Lymphoma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Grade 1 Follicular Lymphoma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Grade 2 Follicular Lymphoma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Mantle Cell Lymphoma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Marginal Zone Lymphoma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Splenic Marginal Zone Lymphoma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bendamustine hydrochloride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9" w:lineRule="auto" w:before="42" w:after="0"/>
              <w:ind w:left="220" w:right="96" w:hanging="80"/>
              <w:jc w:val="left"/>
              <w:rPr>
                <w:sz w:val="18"/>
              </w:rPr>
            </w:pPr>
            <w:r>
              <w:rPr>
                <w:sz w:val="18"/>
              </w:rPr>
              <w:t>Arthur G. James Cancer Hospital and Solove Research Institute at Ohio State University Medical Center, Columbus, Ohio, United States</w:t>
            </w:r>
          </w:p>
        </w:tc>
      </w:tr>
      <w:tr>
        <w:trPr>
          <w:trHeight w:val="1202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7"/>
              <w:ind w:left="143" w:right="115" w:firstLine="0"/>
              <w:rPr>
                <w:sz w:val="18"/>
              </w:rPr>
            </w:pPr>
            <w:hyperlink r:id="rId23">
              <w:r>
                <w:rPr>
                  <w:color w:val="0000FF"/>
                  <w:sz w:val="18"/>
                  <w:u w:val="single" w:color="0000FF"/>
                </w:rPr>
                <w:t>Safety and Efficacy of Obatoclax Mesylate (GX15-070MS) for</w:t>
              </w:r>
            </w:hyperlink>
            <w:r>
              <w:rPr>
                <w:color w:val="0000FF"/>
                <w:sz w:val="18"/>
              </w:rPr>
              <w:t> </w:t>
            </w:r>
            <w:hyperlink r:id="rId23">
              <w:r>
                <w:rPr>
                  <w:color w:val="0000FF"/>
                  <w:sz w:val="18"/>
                  <w:u w:val="single" w:color="0000FF"/>
                </w:rPr>
                <w:t>the Treatment of Hematological Malignancies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Hematological Malignancies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 (GX15-070MS)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37" w:after="0"/>
              <w:ind w:left="220" w:right="207" w:hanging="80"/>
              <w:jc w:val="left"/>
              <w:rPr>
                <w:sz w:val="18"/>
              </w:rPr>
            </w:pPr>
            <w:r>
              <w:rPr>
                <w:sz w:val="18"/>
              </w:rPr>
              <w:t>Georgetown University Medical Center, Washington, District </w:t>
            </w:r>
            <w:r>
              <w:rPr>
                <w:spacing w:val="-8"/>
                <w:sz w:val="18"/>
              </w:rPr>
              <w:t>of </w:t>
            </w:r>
            <w:r>
              <w:rPr>
                <w:sz w:val="18"/>
              </w:rPr>
              <w:t>Columbia,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MD Anderson Cancer Center, Houston, Texas,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Princess Margaret Hospital, Toronto, Ontario, Canada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660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436" w:firstLine="0"/>
              <w:rPr>
                <w:sz w:val="18"/>
              </w:rPr>
            </w:pPr>
            <w:hyperlink r:id="rId24">
              <w:r>
                <w:rPr>
                  <w:color w:val="0000FF"/>
                  <w:sz w:val="18"/>
                  <w:u w:val="single" w:color="0000FF"/>
                </w:rPr>
                <w:t>A Phase I/II Study of GMX1777 in Combination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24">
              <w:r>
                <w:rPr>
                  <w:color w:val="0000FF"/>
                  <w:sz w:val="18"/>
                  <w:u w:val="single" w:color="0000FF"/>
                </w:rPr>
                <w:t>Temozolomide for the Treatment of Metastatic Melanoma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Metastatic Melanoma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Obatoclax Mesylate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Temozolomide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221" w:val="left" w:leader="none"/>
              </w:tabs>
              <w:spacing w:line="249" w:lineRule="auto" w:before="42" w:after="0"/>
              <w:ind w:left="220" w:right="206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Pennsylvania, Philadelphia, Pennsylvania,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2532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336" w:firstLine="0"/>
              <w:rPr>
                <w:sz w:val="18"/>
              </w:rPr>
            </w:pPr>
            <w:hyperlink r:id="rId25">
              <w:r>
                <w:rPr>
                  <w:color w:val="0000FF"/>
                  <w:sz w:val="18"/>
                  <w:u w:val="single" w:color="0000FF"/>
                </w:rPr>
                <w:t>Obatoclax Mesylate in Samples From Young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25">
              <w:r>
                <w:rPr>
                  <w:color w:val="0000FF"/>
                  <w:sz w:val="18"/>
                  <w:u w:val="single" w:color="0000FF"/>
                </w:rPr>
                <w:t>Acute Myeloid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gene expression analysis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microarray analysis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protein expression analysis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9" w:lineRule="auto" w:before="124" w:after="0"/>
              <w:ind w:left="216" w:right="144" w:hanging="80"/>
              <w:jc w:val="left"/>
              <w:rPr>
                <w:sz w:val="18"/>
              </w:rPr>
            </w:pPr>
            <w:r>
              <w:rPr>
                <w:sz w:val="18"/>
              </w:rPr>
              <w:t>Genetic: reverse transcriptase-polymerase chain reaction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1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western blotting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11"/>
        <w:rPr>
          <w:b/>
          <w:sz w:val="22"/>
        </w:rPr>
      </w:pPr>
    </w:p>
    <w:p>
      <w:pPr>
        <w:pStyle w:val="BodyText"/>
        <w:spacing w:before="95"/>
        <w:ind w:left="7752"/>
      </w:pPr>
      <w:r>
        <w:rPr>
          <w:color w:val="999999"/>
        </w:rPr>
        <w:t>U.S. National Library of Medicine | U.S. National Institutes of Health | U.S. Department of Health &amp; Human Services</w:t>
      </w:r>
    </w:p>
    <w:sectPr>
      <w:pgSz w:w="24480" w:h="15840" w:orient="landscape"/>
      <w:pgMar w:header="0" w:footer="376" w:top="420" w:bottom="560" w:left="32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3.427979pt;margin-top:758.201782pt;width:57.15pt;height:10.95pt;mso-position-horizontal-relative:page;mso-position-vertical-relative:page;z-index:-1617100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- 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5 -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9"/>
      <w:ind w:left="8952" w:right="896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2"/>
      <w:ind w:left="220" w:hanging="81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ClinicalTrials.gov/show/NCT00684918" TargetMode="External"/><Relationship Id="rId7" Type="http://schemas.openxmlformats.org/officeDocument/2006/relationships/hyperlink" Target="https://ClinicalTrials.gov/show/NCT00600964" TargetMode="External"/><Relationship Id="rId8" Type="http://schemas.openxmlformats.org/officeDocument/2006/relationships/hyperlink" Target="https://ClinicalTrials.gov/show/NCT00682981" TargetMode="External"/><Relationship Id="rId9" Type="http://schemas.openxmlformats.org/officeDocument/2006/relationships/hyperlink" Target="https://ClinicalTrials.gov/show/NCT00427856" TargetMode="External"/><Relationship Id="rId10" Type="http://schemas.openxmlformats.org/officeDocument/2006/relationships/hyperlink" Target="https://ClinicalTrials.gov/show/NCT00538187" TargetMode="External"/><Relationship Id="rId11" Type="http://schemas.openxmlformats.org/officeDocument/2006/relationships/hyperlink" Target="https://ClinicalTrials.gov/show/NCT00918931" TargetMode="External"/><Relationship Id="rId12" Type="http://schemas.openxmlformats.org/officeDocument/2006/relationships/hyperlink" Target="https://ClinicalTrials.gov/show/NCT00359892" TargetMode="External"/><Relationship Id="rId13" Type="http://schemas.openxmlformats.org/officeDocument/2006/relationships/hyperlink" Target="https://ClinicalTrials.gov/show/NCT00407303" TargetMode="External"/><Relationship Id="rId14" Type="http://schemas.openxmlformats.org/officeDocument/2006/relationships/hyperlink" Target="https://ClinicalTrials.gov/show/NCT00612612" TargetMode="External"/><Relationship Id="rId15" Type="http://schemas.openxmlformats.org/officeDocument/2006/relationships/hyperlink" Target="https://ClinicalTrials.gov/show/NCT00413114" TargetMode="External"/><Relationship Id="rId16" Type="http://schemas.openxmlformats.org/officeDocument/2006/relationships/hyperlink" Target="https://ClinicalTrials.gov/show/NCT00405951" TargetMode="External"/><Relationship Id="rId17" Type="http://schemas.openxmlformats.org/officeDocument/2006/relationships/hyperlink" Target="https://ClinicalTrials.gov/show/NCT01563601" TargetMode="External"/><Relationship Id="rId18" Type="http://schemas.openxmlformats.org/officeDocument/2006/relationships/hyperlink" Target="https://ClinicalTrials.gov/show/NCT00719901" TargetMode="External"/><Relationship Id="rId19" Type="http://schemas.openxmlformats.org/officeDocument/2006/relationships/hyperlink" Target="https://ClinicalTrials.gov/show/NCT00933985" TargetMode="External"/><Relationship Id="rId20" Type="http://schemas.openxmlformats.org/officeDocument/2006/relationships/hyperlink" Target="https://ClinicalTrials.gov/show/NCT00521144" TargetMode="External"/><Relationship Id="rId21" Type="http://schemas.openxmlformats.org/officeDocument/2006/relationships/hyperlink" Target="https://ClinicalTrials.gov/show/NCT00360035" TargetMode="External"/><Relationship Id="rId22" Type="http://schemas.openxmlformats.org/officeDocument/2006/relationships/hyperlink" Target="https://ClinicalTrials.gov/show/NCT01238146" TargetMode="External"/><Relationship Id="rId23" Type="http://schemas.openxmlformats.org/officeDocument/2006/relationships/hyperlink" Target="https://ClinicalTrials.gov/show/NCT00438178" TargetMode="External"/><Relationship Id="rId24" Type="http://schemas.openxmlformats.org/officeDocument/2006/relationships/hyperlink" Target="https://ClinicalTrials.gov/show/NCT00724841" TargetMode="External"/><Relationship Id="rId25" Type="http://schemas.openxmlformats.org/officeDocument/2006/relationships/hyperlink" Target="https://ClinicalTrials.gov/show/NCT01150656" TargetMode="External"/><Relationship Id="rId2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2020-05-20T17:11:28Z</dcterms:created>
  <dcterms:modified xsi:type="dcterms:W3CDTF">2020-05-20T17:11:28Z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Apache FOP Version 2.3</vt:lpwstr>
  </property>
  <property fmtid="{D5CDD505-2E9C-101B-9397-08002B2CF9AE}" pid="4" name="LastSaved">
    <vt:filetime>2020-05-20T00:00:00Z</vt:filetime>
  </property>
</Properties>
</file>