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4F" w:rsidRDefault="006D0B29">
      <w:r>
        <w:rPr>
          <w:noProof/>
          <w:lang w:val="pt-BR" w:eastAsia="pt-BR"/>
        </w:rPr>
        <w:drawing>
          <wp:inline distT="0" distB="0" distL="0" distR="0" wp14:anchorId="2A4D3778">
            <wp:extent cx="6097270" cy="2390674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423" cy="2403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0B29" w:rsidRDefault="006D0B29">
      <w:r>
        <w:rPr>
          <w:noProof/>
          <w:lang w:val="pt-BR" w:eastAsia="pt-BR"/>
        </w:rPr>
        <w:drawing>
          <wp:inline distT="0" distB="0" distL="0" distR="0" wp14:anchorId="1CA9D874">
            <wp:extent cx="6095874" cy="2287270"/>
            <wp:effectExtent l="0" t="0" r="635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541" cy="2295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0B29" w:rsidRDefault="006D0B29">
      <w:r>
        <w:rPr>
          <w:noProof/>
          <w:lang w:val="pt-BR" w:eastAsia="pt-BR"/>
        </w:rPr>
        <w:drawing>
          <wp:inline distT="0" distB="0" distL="0" distR="0" wp14:anchorId="6F7F1A09">
            <wp:extent cx="6119423" cy="2364105"/>
            <wp:effectExtent l="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534" cy="2369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0B29" w:rsidRPr="006D0B29" w:rsidRDefault="006D0B29" w:rsidP="006D0B29">
      <w:pPr>
        <w:jc w:val="both"/>
        <w:rPr>
          <w:rFonts w:ascii="Palatino Linotype" w:hAnsi="Palatino Linotype"/>
          <w:sz w:val="18"/>
        </w:rPr>
      </w:pPr>
      <w:bookmarkStart w:id="0" w:name="_GoBack"/>
      <w:r w:rsidRPr="007E0118">
        <w:rPr>
          <w:rFonts w:ascii="Palatino Linotype" w:hAnsi="Palatino Linotype"/>
          <w:b/>
          <w:sz w:val="18"/>
        </w:rPr>
        <w:t>Supplementary Figure 1</w:t>
      </w:r>
      <w:bookmarkEnd w:id="0"/>
      <w:r w:rsidRPr="006D0B29">
        <w:rPr>
          <w:rFonts w:ascii="Palatino Linotype" w:hAnsi="Palatino Linotype"/>
          <w:sz w:val="18"/>
        </w:rPr>
        <w:t xml:space="preserve">. Representative bar plots to illustrate </w:t>
      </w:r>
      <w:r>
        <w:rPr>
          <w:rFonts w:ascii="Palatino Linotype" w:hAnsi="Palatino Linotype"/>
          <w:sz w:val="18"/>
        </w:rPr>
        <w:t xml:space="preserve">the lymphocytes telomere </w:t>
      </w:r>
      <w:r w:rsidRPr="006D0B29">
        <w:rPr>
          <w:rFonts w:ascii="Palatino Linotype" w:hAnsi="Palatino Linotype"/>
          <w:sz w:val="18"/>
        </w:rPr>
        <w:t>parameters. (A) Nuclear volume</w:t>
      </w:r>
      <w:r>
        <w:rPr>
          <w:rFonts w:ascii="Palatino Linotype" w:hAnsi="Palatino Linotype"/>
          <w:sz w:val="18"/>
        </w:rPr>
        <w:t xml:space="preserve">. (B) </w:t>
      </w:r>
      <w:r w:rsidRPr="006D0B29">
        <w:rPr>
          <w:rFonts w:ascii="Palatino Linotype" w:hAnsi="Palatino Linotype"/>
          <w:sz w:val="18"/>
        </w:rPr>
        <w:t>Tot</w:t>
      </w:r>
      <w:r>
        <w:rPr>
          <w:rFonts w:ascii="Palatino Linotype" w:hAnsi="Palatino Linotype"/>
          <w:sz w:val="18"/>
        </w:rPr>
        <w:t>al telomere signal intensity. (C</w:t>
      </w:r>
      <w:r w:rsidRPr="006D0B29">
        <w:rPr>
          <w:rFonts w:ascii="Palatino Linotype" w:hAnsi="Palatino Linotype"/>
          <w:sz w:val="18"/>
        </w:rPr>
        <w:t>) Average intensity (prop</w:t>
      </w:r>
      <w:r>
        <w:rPr>
          <w:rFonts w:ascii="Palatino Linotype" w:hAnsi="Palatino Linotype"/>
          <w:sz w:val="18"/>
        </w:rPr>
        <w:t>ortional of telomere length). (D</w:t>
      </w:r>
      <w:r w:rsidRPr="006D0B29">
        <w:rPr>
          <w:rFonts w:ascii="Palatino Linotype" w:hAnsi="Palatino Linotype"/>
          <w:sz w:val="18"/>
        </w:rPr>
        <w:t>) Tota</w:t>
      </w:r>
      <w:r>
        <w:rPr>
          <w:rFonts w:ascii="Palatino Linotype" w:hAnsi="Palatino Linotype"/>
          <w:sz w:val="18"/>
        </w:rPr>
        <w:t>l number of telomere signals. (E</w:t>
      </w:r>
      <w:r w:rsidRPr="006D0B29">
        <w:rPr>
          <w:rFonts w:ascii="Palatino Linotype" w:hAnsi="Palatino Linotype"/>
          <w:sz w:val="18"/>
        </w:rPr>
        <w:t xml:space="preserve">) </w:t>
      </w:r>
      <w:proofErr w:type="gramStart"/>
      <w:r w:rsidRPr="006D0B29">
        <w:rPr>
          <w:rFonts w:ascii="Palatino Linotype" w:hAnsi="Palatino Linotype"/>
          <w:sz w:val="18"/>
        </w:rPr>
        <w:t>a/c</w:t>
      </w:r>
      <w:proofErr w:type="gramEnd"/>
      <w:r w:rsidRPr="006D0B29">
        <w:rPr>
          <w:rFonts w:ascii="Palatino Linotype" w:hAnsi="Palatino Linotype"/>
          <w:sz w:val="18"/>
        </w:rPr>
        <w:t xml:space="preserve"> rati</w:t>
      </w:r>
      <w:r>
        <w:rPr>
          <w:rFonts w:ascii="Palatino Linotype" w:hAnsi="Palatino Linotype"/>
          <w:sz w:val="18"/>
        </w:rPr>
        <w:t>o (see material and methods). (F</w:t>
      </w:r>
      <w:r w:rsidRPr="006D0B29">
        <w:rPr>
          <w:rFonts w:ascii="Palatino Linotype" w:hAnsi="Palatino Linotype"/>
          <w:sz w:val="18"/>
        </w:rPr>
        <w:t>) Total number of telomere aggreg</w:t>
      </w:r>
      <w:r>
        <w:rPr>
          <w:rFonts w:ascii="Palatino Linotype" w:hAnsi="Palatino Linotype"/>
          <w:sz w:val="18"/>
        </w:rPr>
        <w:t>ates (see material and methods)</w:t>
      </w:r>
      <w:r w:rsidRPr="006D0B29">
        <w:rPr>
          <w:rFonts w:ascii="Palatino Linotype" w:hAnsi="Palatino Linotype"/>
          <w:sz w:val="18"/>
        </w:rPr>
        <w:t xml:space="preserve">. The x-axis assigns one box for the </w:t>
      </w:r>
      <w:r>
        <w:rPr>
          <w:rFonts w:ascii="Palatino Linotype" w:hAnsi="Palatino Linotype"/>
          <w:sz w:val="18"/>
        </w:rPr>
        <w:t>lymphocyte</w:t>
      </w:r>
      <w:r w:rsidRPr="006D0B29">
        <w:rPr>
          <w:rFonts w:ascii="Palatino Linotype" w:hAnsi="Palatino Linotype"/>
          <w:sz w:val="18"/>
        </w:rPr>
        <w:t xml:space="preserve"> population analyzed per patient. The y-axis refers to output from </w:t>
      </w:r>
      <w:proofErr w:type="spellStart"/>
      <w:r w:rsidRPr="006D0B29">
        <w:rPr>
          <w:rFonts w:ascii="Palatino Linotype" w:hAnsi="Palatino Linotype"/>
          <w:sz w:val="18"/>
        </w:rPr>
        <w:t>Kruskal</w:t>
      </w:r>
      <w:proofErr w:type="spellEnd"/>
      <w:r w:rsidRPr="006D0B29">
        <w:rPr>
          <w:rFonts w:ascii="Palatino Linotype" w:hAnsi="Palatino Linotype"/>
          <w:sz w:val="18"/>
        </w:rPr>
        <w:t>– Wallis test represented as Wilcoxon mean scores (determined using SAS software). Whiskers show minimum and maximum values, boxes represent 25–75% data ranges, horizontal lines within boxes are medians, and diamond symbols are means.</w:t>
      </w:r>
    </w:p>
    <w:sectPr w:rsidR="006D0B29" w:rsidRPr="006D0B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B29"/>
    <w:rsid w:val="001C774F"/>
    <w:rsid w:val="006D0B29"/>
    <w:rsid w:val="007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69F55-8000-4602-8354-B45B9B684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</dc:creator>
  <cp:keywords/>
  <dc:description/>
  <cp:lastModifiedBy>Aline</cp:lastModifiedBy>
  <cp:revision>2</cp:revision>
  <dcterms:created xsi:type="dcterms:W3CDTF">2020-07-20T20:41:00Z</dcterms:created>
  <dcterms:modified xsi:type="dcterms:W3CDTF">2020-07-22T16:29:00Z</dcterms:modified>
</cp:coreProperties>
</file>