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FA70A" w14:textId="59C9028D" w:rsidR="00203CD5" w:rsidRDefault="00203CD5" w:rsidP="005E72F7">
      <w:pPr>
        <w:pStyle w:val="Heading1"/>
        <w:spacing w:before="89"/>
        <w:ind w:left="0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6A8CCF6B" wp14:editId="36FE2C7D">
            <wp:simplePos x="0" y="0"/>
            <wp:positionH relativeFrom="page">
              <wp:posOffset>1115060</wp:posOffset>
            </wp:positionH>
            <wp:positionV relativeFrom="paragraph">
              <wp:posOffset>549910</wp:posOffset>
            </wp:positionV>
            <wp:extent cx="5375910" cy="219583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5910" cy="2195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F82271" w14:textId="77777777" w:rsidR="00544D41" w:rsidRDefault="005F39F0" w:rsidP="005F39F0">
      <w:pPr>
        <w:spacing w:before="234" w:line="360" w:lineRule="auto"/>
        <w:ind w:left="141" w:right="116"/>
        <w:jc w:val="both"/>
        <w:rPr>
          <w:sz w:val="18"/>
        </w:rPr>
      </w:pPr>
      <w:r>
        <w:rPr>
          <w:b/>
          <w:sz w:val="18"/>
        </w:rPr>
        <w:t xml:space="preserve">Figure S1: Characterization of </w:t>
      </w:r>
      <w:proofErr w:type="spellStart"/>
      <w:r>
        <w:rPr>
          <w:b/>
          <w:sz w:val="18"/>
        </w:rPr>
        <w:t>proneural</w:t>
      </w:r>
      <w:proofErr w:type="spellEnd"/>
      <w:r>
        <w:rPr>
          <w:b/>
          <w:sz w:val="18"/>
        </w:rPr>
        <w:t xml:space="preserve"> GSCs and mesenchymal GSCs. </w:t>
      </w:r>
      <w:r>
        <w:rPr>
          <w:sz w:val="18"/>
        </w:rPr>
        <w:t xml:space="preserve">These structures were generated and maintained as described in methods. </w:t>
      </w:r>
      <w:proofErr w:type="spellStart"/>
      <w:r>
        <w:rPr>
          <w:sz w:val="18"/>
        </w:rPr>
        <w:t>Proneural</w:t>
      </w:r>
      <w:proofErr w:type="spellEnd"/>
      <w:r>
        <w:rPr>
          <w:sz w:val="18"/>
        </w:rPr>
        <w:t xml:space="preserve"> GSCs (PC1 and PC2), Mesenchymal GSCs (PC3 and U87MG). </w:t>
      </w:r>
      <w:r w:rsidRPr="00203CD5">
        <w:rPr>
          <w:b/>
          <w:bCs/>
          <w:sz w:val="18"/>
        </w:rPr>
        <w:t>A)</w:t>
      </w:r>
      <w:r>
        <w:rPr>
          <w:sz w:val="18"/>
        </w:rPr>
        <w:t xml:space="preserve"> Light microscopy images of </w:t>
      </w:r>
      <w:proofErr w:type="spellStart"/>
      <w:r>
        <w:rPr>
          <w:sz w:val="18"/>
        </w:rPr>
        <w:t>neurospheres</w:t>
      </w:r>
      <w:proofErr w:type="spellEnd"/>
      <w:r>
        <w:rPr>
          <w:sz w:val="18"/>
        </w:rPr>
        <w:t xml:space="preserve"> (GSCs) obtained from primary cultures (PC1, PC2 and PC3) and the U87MG cell line. </w:t>
      </w:r>
      <w:r w:rsidRPr="00203CD5">
        <w:rPr>
          <w:b/>
          <w:bCs/>
          <w:sz w:val="18"/>
        </w:rPr>
        <w:t>B)</w:t>
      </w:r>
      <w:r>
        <w:rPr>
          <w:sz w:val="18"/>
        </w:rPr>
        <w:t xml:space="preserve"> RT-qPCR of CD44, CD133, ALDH1A3, OLIG2, and SOX2 in different GSCs subtypes. Values were normalized to ACTB mRNA expression. </w:t>
      </w:r>
      <w:r w:rsidRPr="00203CD5">
        <w:rPr>
          <w:b/>
          <w:bCs/>
          <w:sz w:val="18"/>
        </w:rPr>
        <w:t>C)</w:t>
      </w:r>
      <w:r>
        <w:rPr>
          <w:sz w:val="18"/>
        </w:rPr>
        <w:t xml:space="preserve"> RT-qPCR of miR-20b and miR-125b. Values were normalized to miR-RNU48 expression. </w:t>
      </w:r>
      <w:r w:rsidRPr="00203CD5">
        <w:rPr>
          <w:b/>
          <w:bCs/>
          <w:sz w:val="18"/>
        </w:rPr>
        <w:t>D)</w:t>
      </w:r>
      <w:r>
        <w:rPr>
          <w:sz w:val="18"/>
        </w:rPr>
        <w:t xml:space="preserve"> Elevated glycolytic activity in </w:t>
      </w:r>
      <w:proofErr w:type="spellStart"/>
      <w:r>
        <w:rPr>
          <w:sz w:val="18"/>
        </w:rPr>
        <w:t>Mes</w:t>
      </w:r>
      <w:proofErr w:type="spellEnd"/>
      <w:r>
        <w:rPr>
          <w:sz w:val="18"/>
        </w:rPr>
        <w:t xml:space="preserve"> GSCs compared with PN GSCs. The plots represent the means ± S.D. *P &lt; 0.05. n = 5.</w:t>
      </w:r>
    </w:p>
    <w:p w14:paraId="074E33E7" w14:textId="77777777" w:rsidR="00544D41" w:rsidRDefault="00544D41">
      <w:pPr>
        <w:pStyle w:val="BodyText"/>
        <w:spacing w:before="12"/>
        <w:rPr>
          <w:sz w:val="29"/>
        </w:rPr>
      </w:pPr>
    </w:p>
    <w:p w14:paraId="5E29D924" w14:textId="61BAE3FB" w:rsidR="00544D41" w:rsidRDefault="00C6322D">
      <w:pPr>
        <w:pStyle w:val="Heading1"/>
        <w:spacing w:before="1"/>
      </w:pPr>
      <w:bookmarkStart w:id="0" w:name="_Hlk48029021"/>
      <w:r>
        <w:t xml:space="preserve">Supplementary </w:t>
      </w:r>
      <w:r w:rsidR="005F39F0">
        <w:t>Materials and Methods</w:t>
      </w:r>
      <w:r>
        <w:t xml:space="preserve"> S1</w:t>
      </w:r>
      <w:r w:rsidR="005E72F7">
        <w:t>:</w:t>
      </w:r>
    </w:p>
    <w:p w14:paraId="067C2B13" w14:textId="77777777" w:rsidR="00544D41" w:rsidRDefault="005F39F0">
      <w:pPr>
        <w:spacing w:before="133"/>
        <w:ind w:left="141"/>
        <w:jc w:val="both"/>
        <w:rPr>
          <w:b/>
          <w:sz w:val="20"/>
        </w:rPr>
      </w:pPr>
      <w:bookmarkStart w:id="1" w:name="_Hlk48029049"/>
      <w:bookmarkEnd w:id="0"/>
      <w:r>
        <w:rPr>
          <w:b/>
          <w:sz w:val="20"/>
        </w:rPr>
        <w:t>microRNA Isolation and RT-qPCR</w:t>
      </w:r>
      <w:bookmarkEnd w:id="1"/>
    </w:p>
    <w:p w14:paraId="648D2814" w14:textId="77777777" w:rsidR="00544D41" w:rsidRDefault="005F39F0">
      <w:pPr>
        <w:pStyle w:val="BodyText"/>
        <w:spacing w:before="133" w:line="360" w:lineRule="auto"/>
        <w:ind w:left="141" w:right="115"/>
        <w:jc w:val="both"/>
      </w:pPr>
      <w:r>
        <w:t>U87MG-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PC-</w:t>
      </w:r>
      <w:r>
        <w:rPr>
          <w:spacing w:val="-3"/>
        </w:rPr>
        <w:t xml:space="preserve"> </w:t>
      </w:r>
      <w:r>
        <w:t>GSCs</w:t>
      </w:r>
      <w:r>
        <w:rPr>
          <w:spacing w:val="-4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maintained</w:t>
      </w:r>
      <w:r>
        <w:rPr>
          <w:spacing w:val="-5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standard</w:t>
      </w:r>
      <w:r>
        <w:rPr>
          <w:spacing w:val="-5"/>
        </w:rPr>
        <w:t xml:space="preserve"> </w:t>
      </w:r>
      <w:r>
        <w:t>culture</w:t>
      </w:r>
      <w:r>
        <w:rPr>
          <w:spacing w:val="-3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(37ºC,</w:t>
      </w:r>
      <w:r>
        <w:rPr>
          <w:spacing w:val="-4"/>
        </w:rPr>
        <w:t xml:space="preserve"> </w:t>
      </w:r>
      <w:r>
        <w:t>5%</w:t>
      </w:r>
      <w:r>
        <w:rPr>
          <w:spacing w:val="-4"/>
        </w:rPr>
        <w:t xml:space="preserve"> </w:t>
      </w:r>
      <w:r>
        <w:t>CO</w:t>
      </w:r>
      <w:r>
        <w:rPr>
          <w:vertAlign w:val="subscript"/>
        </w:rPr>
        <w:t>2</w:t>
      </w:r>
      <w:r>
        <w:t>)</w:t>
      </w:r>
      <w:r>
        <w:rPr>
          <w:spacing w:val="-4"/>
        </w:rPr>
        <w:t xml:space="preserve"> </w:t>
      </w:r>
      <w:proofErr w:type="gramStart"/>
      <w:r>
        <w:t>during</w:t>
      </w:r>
      <w:proofErr w:type="gramEnd"/>
      <w:r>
        <w:rPr>
          <w:spacing w:val="-4"/>
        </w:rPr>
        <w:t xml:space="preserve"> </w:t>
      </w:r>
      <w:r>
        <w:t>4 days. Then, microRNAs were extracted using a miRNA isolation kit (</w:t>
      </w:r>
      <w:proofErr w:type="spellStart"/>
      <w:r>
        <w:t>mirVana</w:t>
      </w:r>
      <w:proofErr w:type="spellEnd"/>
      <w:r>
        <w:rPr>
          <w:position w:val="5"/>
          <w:sz w:val="12"/>
        </w:rPr>
        <w:t>TM</w:t>
      </w:r>
      <w:r>
        <w:t>, Thermo Fisher Scientific). microRNA samples were quantitated using the Qubit HS RNA kit (Thermo Fisher Scientific)</w:t>
      </w:r>
      <w:r>
        <w:rPr>
          <w:spacing w:val="13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Qubit</w:t>
      </w:r>
      <w:r>
        <w:rPr>
          <w:spacing w:val="14"/>
        </w:rPr>
        <w:t xml:space="preserve"> </w:t>
      </w:r>
      <w:r>
        <w:t>3.0</w:t>
      </w:r>
      <w:r>
        <w:rPr>
          <w:spacing w:val="14"/>
        </w:rPr>
        <w:t xml:space="preserve"> </w:t>
      </w:r>
      <w:r>
        <w:t>Fluorometer</w:t>
      </w:r>
      <w:r>
        <w:rPr>
          <w:spacing w:val="14"/>
        </w:rPr>
        <w:t xml:space="preserve"> </w:t>
      </w:r>
      <w:r>
        <w:t>(Thermo</w:t>
      </w:r>
      <w:r>
        <w:rPr>
          <w:spacing w:val="14"/>
        </w:rPr>
        <w:t xml:space="preserve"> </w:t>
      </w:r>
      <w:r>
        <w:t>Fisher</w:t>
      </w:r>
      <w:r>
        <w:rPr>
          <w:spacing w:val="14"/>
        </w:rPr>
        <w:t xml:space="preserve"> </w:t>
      </w:r>
      <w:r>
        <w:t>Scientific),</w:t>
      </w:r>
      <w:r>
        <w:rPr>
          <w:spacing w:val="14"/>
        </w:rPr>
        <w:t xml:space="preserve"> </w:t>
      </w:r>
      <w:r>
        <w:t>following</w:t>
      </w:r>
      <w:r>
        <w:rPr>
          <w:spacing w:val="14"/>
        </w:rPr>
        <w:t xml:space="preserve"> </w:t>
      </w:r>
      <w:r>
        <w:t>manufacturer’s</w:t>
      </w:r>
    </w:p>
    <w:p w14:paraId="16477F9A" w14:textId="77777777" w:rsidR="00544D41" w:rsidRDefault="00544D41">
      <w:pPr>
        <w:spacing w:line="360" w:lineRule="auto"/>
        <w:jc w:val="both"/>
        <w:sectPr w:rsidR="00544D41">
          <w:type w:val="continuous"/>
          <w:pgSz w:w="12240" w:h="15840"/>
          <w:pgMar w:top="1340" w:right="1580" w:bottom="280" w:left="1560" w:header="720" w:footer="720" w:gutter="0"/>
          <w:cols w:space="720"/>
        </w:sectPr>
      </w:pPr>
    </w:p>
    <w:p w14:paraId="4FF705D8" w14:textId="77777777" w:rsidR="00544D41" w:rsidRDefault="005F39F0">
      <w:pPr>
        <w:pStyle w:val="BodyText"/>
        <w:spacing w:before="89" w:line="360" w:lineRule="auto"/>
        <w:ind w:left="141" w:right="117"/>
        <w:jc w:val="both"/>
      </w:pPr>
      <w:r>
        <w:lastRenderedPageBreak/>
        <w:t>instructions. Reverse transcription was performed with 200</w:t>
      </w:r>
      <w:r>
        <w:rPr>
          <w:rFonts w:ascii="Times New Roman" w:hAnsi="Times New Roman"/>
        </w:rPr>
        <w:t> </w:t>
      </w:r>
      <w:r>
        <w:t>ng of RNA using the High Capacity cDNA Reverse Transcription Kit (Applied Biosystems) following the manufacturer's instructions. qPCR was performed using the 2</w:t>
      </w:r>
      <w:proofErr w:type="gramStart"/>
      <w:r>
        <w:t>ˆ(</w:t>
      </w:r>
      <w:proofErr w:type="gramEnd"/>
      <w:r>
        <w:t xml:space="preserve">–delta </w:t>
      </w:r>
      <w:proofErr w:type="spellStart"/>
      <w:r>
        <w:t>delta</w:t>
      </w:r>
      <w:proofErr w:type="spellEnd"/>
      <w:r>
        <w:t xml:space="preserve"> CT) and mirRNU48 as a normalizer gene using Brilliant II SYBR® Green QPCR Master Mix (#600828, Agilent Technologies) following the manufacturer’s instructions. qPCR reaction was performed with 250</w:t>
      </w:r>
      <w:r>
        <w:rPr>
          <w:rFonts w:ascii="Times New Roman" w:hAnsi="Times New Roman"/>
        </w:rPr>
        <w:t> </w:t>
      </w:r>
      <w:proofErr w:type="spellStart"/>
      <w:r>
        <w:t>nM</w:t>
      </w:r>
      <w:proofErr w:type="spellEnd"/>
      <w:r>
        <w:t xml:space="preserve"> of each primer (Table S2).</w:t>
      </w:r>
    </w:p>
    <w:p w14:paraId="52A81392" w14:textId="77777777" w:rsidR="00544D41" w:rsidRDefault="00544D41">
      <w:pPr>
        <w:pStyle w:val="BodyText"/>
      </w:pPr>
    </w:p>
    <w:p w14:paraId="1503BBA8" w14:textId="77777777" w:rsidR="00544D41" w:rsidRDefault="005F39F0">
      <w:pPr>
        <w:pStyle w:val="Heading1"/>
        <w:jc w:val="both"/>
      </w:pPr>
      <w:r>
        <w:t>RNA extraction and RT-qPCR</w:t>
      </w:r>
    </w:p>
    <w:p w14:paraId="4B42D9EC" w14:textId="77777777" w:rsidR="00544D41" w:rsidRDefault="00544D41">
      <w:pPr>
        <w:pStyle w:val="BodyText"/>
        <w:rPr>
          <w:b/>
          <w:sz w:val="26"/>
        </w:rPr>
      </w:pPr>
    </w:p>
    <w:p w14:paraId="5EAF0DEC" w14:textId="77777777" w:rsidR="00544D41" w:rsidRDefault="005F39F0">
      <w:pPr>
        <w:pStyle w:val="BodyText"/>
        <w:spacing w:before="191" w:line="360" w:lineRule="auto"/>
        <w:ind w:left="141" w:right="114"/>
        <w:jc w:val="both"/>
      </w:pPr>
      <w:r>
        <w:t>U87MG-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PC-</w:t>
      </w:r>
      <w:r>
        <w:rPr>
          <w:spacing w:val="-3"/>
        </w:rPr>
        <w:t xml:space="preserve"> </w:t>
      </w:r>
      <w:r>
        <w:t>GSCs</w:t>
      </w:r>
      <w:r>
        <w:rPr>
          <w:spacing w:val="-4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maintained</w:t>
      </w:r>
      <w:r>
        <w:rPr>
          <w:spacing w:val="-5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standard</w:t>
      </w:r>
      <w:r>
        <w:rPr>
          <w:spacing w:val="-5"/>
        </w:rPr>
        <w:t xml:space="preserve"> </w:t>
      </w:r>
      <w:r>
        <w:t>culture</w:t>
      </w:r>
      <w:r>
        <w:rPr>
          <w:spacing w:val="-3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(37ºC,</w:t>
      </w:r>
      <w:r>
        <w:rPr>
          <w:spacing w:val="-4"/>
        </w:rPr>
        <w:t xml:space="preserve"> </w:t>
      </w:r>
      <w:r>
        <w:t>5%</w:t>
      </w:r>
      <w:r>
        <w:rPr>
          <w:spacing w:val="-4"/>
        </w:rPr>
        <w:t xml:space="preserve"> </w:t>
      </w:r>
      <w:r>
        <w:t>CO</w:t>
      </w:r>
      <w:r>
        <w:rPr>
          <w:vertAlign w:val="subscript"/>
        </w:rPr>
        <w:t>2</w:t>
      </w:r>
      <w:r>
        <w:t>)</w:t>
      </w:r>
      <w:r>
        <w:rPr>
          <w:spacing w:val="-4"/>
        </w:rPr>
        <w:t xml:space="preserve"> </w:t>
      </w:r>
      <w:proofErr w:type="gramStart"/>
      <w:r>
        <w:t>during</w:t>
      </w:r>
      <w:proofErr w:type="gramEnd"/>
      <w:r>
        <w:rPr>
          <w:spacing w:val="-4"/>
        </w:rPr>
        <w:t xml:space="preserve"> </w:t>
      </w:r>
      <w:r>
        <w:t xml:space="preserve">4 days. Then total RNA was extracted by </w:t>
      </w:r>
      <w:proofErr w:type="spellStart"/>
      <w:r>
        <w:t>TRIzol</w:t>
      </w:r>
      <w:proofErr w:type="spellEnd"/>
      <w:r>
        <w:t xml:space="preserve"> Reagent (Thermo Fisher Scientific) and reverse transcription was performed with 1</w:t>
      </w:r>
      <w:r>
        <w:rPr>
          <w:rFonts w:ascii="Times New Roman" w:hAnsi="Times New Roman"/>
        </w:rPr>
        <w:t> </w:t>
      </w:r>
      <w:r>
        <w:t>µg of RNA using the M-MLV Reverse Transcriptase (Thermo Fisher</w:t>
      </w:r>
      <w:r>
        <w:rPr>
          <w:spacing w:val="-6"/>
        </w:rPr>
        <w:t xml:space="preserve"> </w:t>
      </w:r>
      <w:r>
        <w:t>Scientific)</w:t>
      </w:r>
      <w:r>
        <w:rPr>
          <w:spacing w:val="-6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t>instructions.</w:t>
      </w:r>
      <w:r>
        <w:rPr>
          <w:spacing w:val="-5"/>
        </w:rPr>
        <w:t xml:space="preserve"> </w:t>
      </w:r>
      <w:r>
        <w:t>qPCR</w:t>
      </w:r>
      <w:r>
        <w:rPr>
          <w:spacing w:val="-7"/>
        </w:rPr>
        <w:t xml:space="preserve"> </w:t>
      </w:r>
      <w:r>
        <w:t>was</w:t>
      </w:r>
      <w:r>
        <w:rPr>
          <w:spacing w:val="-7"/>
        </w:rPr>
        <w:t xml:space="preserve"> </w:t>
      </w:r>
      <w:r>
        <w:t>performed</w:t>
      </w:r>
      <w:r>
        <w:rPr>
          <w:spacing w:val="-6"/>
        </w:rPr>
        <w:t xml:space="preserve"> </w:t>
      </w:r>
      <w:r>
        <w:t>using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2</w:t>
      </w:r>
      <w:proofErr w:type="gramStart"/>
      <w:r>
        <w:t>ˆ(</w:t>
      </w:r>
      <w:proofErr w:type="gramEnd"/>
      <w:r>
        <w:t xml:space="preserve">–delta </w:t>
      </w:r>
      <w:proofErr w:type="spellStart"/>
      <w:r>
        <w:t>delta</w:t>
      </w:r>
      <w:proofErr w:type="spellEnd"/>
      <w:r>
        <w:rPr>
          <w:spacing w:val="-7"/>
        </w:rPr>
        <w:t xml:space="preserve"> </w:t>
      </w:r>
      <w:r>
        <w:t>CT)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ACTB</w:t>
      </w:r>
      <w:r>
        <w:rPr>
          <w:spacing w:val="-7"/>
        </w:rPr>
        <w:t xml:space="preserve"> </w:t>
      </w:r>
      <w:r>
        <w:t>(β-actin)</w:t>
      </w:r>
      <w:r>
        <w:rPr>
          <w:spacing w:val="-6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normalizer</w:t>
      </w:r>
      <w:r>
        <w:rPr>
          <w:spacing w:val="-7"/>
        </w:rPr>
        <w:t xml:space="preserve"> </w:t>
      </w:r>
      <w:r>
        <w:t>gene</w:t>
      </w:r>
      <w:r>
        <w:rPr>
          <w:spacing w:val="-6"/>
        </w:rPr>
        <w:t xml:space="preserve"> </w:t>
      </w:r>
      <w:r>
        <w:t>using</w:t>
      </w:r>
      <w:r>
        <w:rPr>
          <w:spacing w:val="-7"/>
        </w:rPr>
        <w:t xml:space="preserve"> </w:t>
      </w:r>
      <w:r>
        <w:t>Brilliant</w:t>
      </w:r>
      <w:r>
        <w:rPr>
          <w:spacing w:val="-7"/>
        </w:rPr>
        <w:t xml:space="preserve"> </w:t>
      </w:r>
      <w:r>
        <w:t>II</w:t>
      </w:r>
      <w:r>
        <w:rPr>
          <w:spacing w:val="-7"/>
        </w:rPr>
        <w:t xml:space="preserve"> </w:t>
      </w:r>
      <w:r>
        <w:t>SYBR®</w:t>
      </w:r>
      <w:r>
        <w:rPr>
          <w:spacing w:val="-8"/>
        </w:rPr>
        <w:t xml:space="preserve"> </w:t>
      </w:r>
      <w:r>
        <w:t>Green</w:t>
      </w:r>
      <w:r>
        <w:rPr>
          <w:spacing w:val="-7"/>
        </w:rPr>
        <w:t xml:space="preserve"> </w:t>
      </w:r>
      <w:r>
        <w:t>QPCR</w:t>
      </w:r>
      <w:r>
        <w:rPr>
          <w:spacing w:val="-8"/>
        </w:rPr>
        <w:t xml:space="preserve"> </w:t>
      </w:r>
      <w:r>
        <w:t>Master</w:t>
      </w:r>
      <w:r>
        <w:rPr>
          <w:spacing w:val="-7"/>
        </w:rPr>
        <w:t xml:space="preserve"> </w:t>
      </w:r>
      <w:r>
        <w:t>Mix (#600828, Agilent Technologies) following the manufacturer’s instructions. qPCR reaction was performed with 250</w:t>
      </w:r>
      <w:r>
        <w:rPr>
          <w:rFonts w:ascii="Times New Roman" w:hAnsi="Times New Roman"/>
        </w:rPr>
        <w:t> </w:t>
      </w:r>
      <w:proofErr w:type="spellStart"/>
      <w:r>
        <w:t>nM</w:t>
      </w:r>
      <w:proofErr w:type="spellEnd"/>
      <w:r>
        <w:t xml:space="preserve"> of each primer (Table</w:t>
      </w:r>
      <w:r>
        <w:rPr>
          <w:spacing w:val="-9"/>
        </w:rPr>
        <w:t xml:space="preserve"> </w:t>
      </w:r>
      <w:r>
        <w:t>S2).</w:t>
      </w:r>
    </w:p>
    <w:p w14:paraId="7CB5F2BE" w14:textId="77777777" w:rsidR="00544D41" w:rsidRDefault="00544D41">
      <w:pPr>
        <w:pStyle w:val="BodyText"/>
        <w:spacing w:before="11"/>
        <w:rPr>
          <w:sz w:val="29"/>
        </w:rPr>
      </w:pPr>
    </w:p>
    <w:p w14:paraId="6B2E6552" w14:textId="77777777" w:rsidR="00544D41" w:rsidRDefault="005F39F0">
      <w:pPr>
        <w:pStyle w:val="Heading1"/>
        <w:jc w:val="both"/>
      </w:pPr>
      <w:r>
        <w:t>Glycolysis Cell-Based Assay.</w:t>
      </w:r>
    </w:p>
    <w:p w14:paraId="6DF1F632" w14:textId="77777777" w:rsidR="00544D41" w:rsidRDefault="005F39F0">
      <w:pPr>
        <w:pStyle w:val="BodyText"/>
        <w:spacing w:before="138" w:line="360" w:lineRule="auto"/>
        <w:ind w:left="141" w:right="115"/>
        <w:jc w:val="both"/>
      </w:pPr>
      <w:r>
        <w:t>Briefly, GSCs were seeded in a 96-well plate at a density of 1×10</w:t>
      </w:r>
      <w:r>
        <w:rPr>
          <w:position w:val="5"/>
          <w:sz w:val="12"/>
        </w:rPr>
        <w:t xml:space="preserve">4 </w:t>
      </w:r>
      <w:r>
        <w:t xml:space="preserve">cells per well in 120 µL of </w:t>
      </w:r>
      <w:proofErr w:type="spellStart"/>
      <w:r>
        <w:t>neurosphere</w:t>
      </w:r>
      <w:proofErr w:type="spellEnd"/>
      <w:r>
        <w:rPr>
          <w:spacing w:val="-6"/>
        </w:rPr>
        <w:t xml:space="preserve"> </w:t>
      </w:r>
      <w:r>
        <w:t>medium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cultured</w:t>
      </w:r>
      <w:r>
        <w:rPr>
          <w:spacing w:val="-6"/>
        </w:rPr>
        <w:t xml:space="preserve"> </w:t>
      </w:r>
      <w:r>
        <w:t>overnight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</w:t>
      </w:r>
      <w:r>
        <w:rPr>
          <w:vertAlign w:val="subscript"/>
        </w:rPr>
        <w:t>2</w:t>
      </w:r>
      <w:r>
        <w:rPr>
          <w:spacing w:val="-5"/>
        </w:rPr>
        <w:t xml:space="preserve"> </w:t>
      </w:r>
      <w:r>
        <w:t>incubator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37</w:t>
      </w:r>
      <w:r>
        <w:rPr>
          <w:spacing w:val="-6"/>
        </w:rPr>
        <w:t xml:space="preserve"> </w:t>
      </w:r>
      <w:r>
        <w:t>°C.</w:t>
      </w:r>
      <w:r>
        <w:rPr>
          <w:spacing w:val="-6"/>
        </w:rPr>
        <w:t xml:space="preserve"> </w:t>
      </w:r>
      <w:r>
        <w:t>Then,</w:t>
      </w:r>
      <w:r>
        <w:rPr>
          <w:spacing w:val="-5"/>
        </w:rPr>
        <w:t xml:space="preserve"> </w:t>
      </w:r>
      <w:r>
        <w:t>glycolysis</w:t>
      </w:r>
      <w:r>
        <w:rPr>
          <w:spacing w:val="-6"/>
        </w:rPr>
        <w:t xml:space="preserve"> </w:t>
      </w:r>
      <w:r>
        <w:t>cell-based assay kit (Lactate Assay Kit, Sigma-Aldrich) was used to measure the glycolytic activity in GSC samples according to the manufacturer’s instructions. Lactate concentrations (ng/</w:t>
      </w:r>
      <w:r>
        <w:rPr>
          <w:rFonts w:ascii="Symbol" w:hAnsi="Symbol"/>
        </w:rPr>
        <w:t></w:t>
      </w:r>
      <w:r>
        <w:t>l) were normalized to the total protein levels</w:t>
      </w:r>
      <w:r>
        <w:rPr>
          <w:spacing w:val="-7"/>
        </w:rPr>
        <w:t xml:space="preserve"> </w:t>
      </w:r>
      <w:r>
        <w:t>(µg).</w:t>
      </w:r>
    </w:p>
    <w:p w14:paraId="767EBC4B" w14:textId="77777777" w:rsidR="00544D41" w:rsidRDefault="00544D41">
      <w:pPr>
        <w:pStyle w:val="BodyText"/>
        <w:rPr>
          <w:sz w:val="26"/>
        </w:rPr>
      </w:pPr>
    </w:p>
    <w:p w14:paraId="770A8B3E" w14:textId="77777777" w:rsidR="00544D41" w:rsidRPr="00203CD5" w:rsidRDefault="00544D41" w:rsidP="00203CD5">
      <w:pPr>
        <w:tabs>
          <w:tab w:val="left" w:pos="781"/>
          <w:tab w:val="left" w:pos="782"/>
        </w:tabs>
        <w:spacing w:before="8" w:line="360" w:lineRule="auto"/>
        <w:ind w:right="258"/>
        <w:rPr>
          <w:sz w:val="20"/>
        </w:rPr>
      </w:pPr>
    </w:p>
    <w:sectPr w:rsidR="00544D41" w:rsidRPr="00203CD5">
      <w:pgSz w:w="12240" w:h="15840"/>
      <w:pgMar w:top="1340" w:right="158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73007D"/>
    <w:multiLevelType w:val="hybridMultilevel"/>
    <w:tmpl w:val="C27E0142"/>
    <w:lvl w:ilvl="0" w:tplc="B150D332">
      <w:start w:val="1"/>
      <w:numFmt w:val="decimal"/>
      <w:lvlText w:val="%1."/>
      <w:lvlJc w:val="left"/>
      <w:pPr>
        <w:ind w:left="782" w:hanging="640"/>
        <w:jc w:val="left"/>
      </w:pPr>
      <w:rPr>
        <w:rFonts w:ascii="Palatino Linotype" w:eastAsia="Palatino Linotype" w:hAnsi="Palatino Linotype" w:cs="Palatino Linotype" w:hint="default"/>
        <w:spacing w:val="-1"/>
        <w:w w:val="100"/>
        <w:sz w:val="20"/>
        <w:szCs w:val="20"/>
        <w:lang w:val="en-US" w:eastAsia="en-US" w:bidi="ar-SA"/>
      </w:rPr>
    </w:lvl>
    <w:lvl w:ilvl="1" w:tplc="A24A9E66">
      <w:numFmt w:val="bullet"/>
      <w:lvlText w:val="•"/>
      <w:lvlJc w:val="left"/>
      <w:pPr>
        <w:ind w:left="1612" w:hanging="640"/>
      </w:pPr>
      <w:rPr>
        <w:rFonts w:hint="default"/>
        <w:lang w:val="en-US" w:eastAsia="en-US" w:bidi="ar-SA"/>
      </w:rPr>
    </w:lvl>
    <w:lvl w:ilvl="2" w:tplc="47341DFC">
      <w:numFmt w:val="bullet"/>
      <w:lvlText w:val="•"/>
      <w:lvlJc w:val="left"/>
      <w:pPr>
        <w:ind w:left="2444" w:hanging="640"/>
      </w:pPr>
      <w:rPr>
        <w:rFonts w:hint="default"/>
        <w:lang w:val="en-US" w:eastAsia="en-US" w:bidi="ar-SA"/>
      </w:rPr>
    </w:lvl>
    <w:lvl w:ilvl="3" w:tplc="B4ACCD42">
      <w:numFmt w:val="bullet"/>
      <w:lvlText w:val="•"/>
      <w:lvlJc w:val="left"/>
      <w:pPr>
        <w:ind w:left="3276" w:hanging="640"/>
      </w:pPr>
      <w:rPr>
        <w:rFonts w:hint="default"/>
        <w:lang w:val="en-US" w:eastAsia="en-US" w:bidi="ar-SA"/>
      </w:rPr>
    </w:lvl>
    <w:lvl w:ilvl="4" w:tplc="05C82156">
      <w:numFmt w:val="bullet"/>
      <w:lvlText w:val="•"/>
      <w:lvlJc w:val="left"/>
      <w:pPr>
        <w:ind w:left="4108" w:hanging="640"/>
      </w:pPr>
      <w:rPr>
        <w:rFonts w:hint="default"/>
        <w:lang w:val="en-US" w:eastAsia="en-US" w:bidi="ar-SA"/>
      </w:rPr>
    </w:lvl>
    <w:lvl w:ilvl="5" w:tplc="36826738">
      <w:numFmt w:val="bullet"/>
      <w:lvlText w:val="•"/>
      <w:lvlJc w:val="left"/>
      <w:pPr>
        <w:ind w:left="4940" w:hanging="640"/>
      </w:pPr>
      <w:rPr>
        <w:rFonts w:hint="default"/>
        <w:lang w:val="en-US" w:eastAsia="en-US" w:bidi="ar-SA"/>
      </w:rPr>
    </w:lvl>
    <w:lvl w:ilvl="6" w:tplc="34D2BEC2">
      <w:numFmt w:val="bullet"/>
      <w:lvlText w:val="•"/>
      <w:lvlJc w:val="left"/>
      <w:pPr>
        <w:ind w:left="5772" w:hanging="640"/>
      </w:pPr>
      <w:rPr>
        <w:rFonts w:hint="default"/>
        <w:lang w:val="en-US" w:eastAsia="en-US" w:bidi="ar-SA"/>
      </w:rPr>
    </w:lvl>
    <w:lvl w:ilvl="7" w:tplc="BC36EDA6">
      <w:numFmt w:val="bullet"/>
      <w:lvlText w:val="•"/>
      <w:lvlJc w:val="left"/>
      <w:pPr>
        <w:ind w:left="6604" w:hanging="640"/>
      </w:pPr>
      <w:rPr>
        <w:rFonts w:hint="default"/>
        <w:lang w:val="en-US" w:eastAsia="en-US" w:bidi="ar-SA"/>
      </w:rPr>
    </w:lvl>
    <w:lvl w:ilvl="8" w:tplc="BBFA1EF2">
      <w:numFmt w:val="bullet"/>
      <w:lvlText w:val="•"/>
      <w:lvlJc w:val="left"/>
      <w:pPr>
        <w:ind w:left="7436" w:hanging="64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D41"/>
    <w:rsid w:val="00203CD5"/>
    <w:rsid w:val="002414C7"/>
    <w:rsid w:val="00544D41"/>
    <w:rsid w:val="005E72F7"/>
    <w:rsid w:val="005F39F0"/>
    <w:rsid w:val="0083591D"/>
    <w:rsid w:val="00C6322D"/>
    <w:rsid w:val="00FA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2B589"/>
  <w15:docId w15:val="{63CCBAAB-50C3-8B4B-A61D-5514C286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</w:rPr>
  </w:style>
  <w:style w:type="paragraph" w:styleId="Heading1">
    <w:name w:val="heading 1"/>
    <w:basedOn w:val="Normal"/>
    <w:uiPriority w:val="9"/>
    <w:qFormat/>
    <w:pPr>
      <w:ind w:left="141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781" w:right="126" w:hanging="64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395</Words>
  <Characters>2274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Characterization of the different subtypes of GSCs</vt:lpstr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Characterization of the different subtypes of GSCs</dc:title>
  <dc:creator>Sebastian Alarcon</dc:creator>
  <cp:lastModifiedBy>MDPI-86</cp:lastModifiedBy>
  <cp:revision>7</cp:revision>
  <dcterms:created xsi:type="dcterms:W3CDTF">2020-08-09T21:01:00Z</dcterms:created>
  <dcterms:modified xsi:type="dcterms:W3CDTF">2020-08-11T07:05:00Z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2020-07-30T00:00:00Z</vt:filetime>
  </property>
  <property fmtid="{D5CDD505-2E9C-101B-9397-08002B2CF9AE}" pid="3" name="Creator">
    <vt:lpwstr>Word</vt:lpwstr>
  </property>
  <property fmtid="{D5CDD505-2E9C-101B-9397-08002B2CF9AE}" pid="4" name="LastSaved">
    <vt:filetime>2020-08-09T00:00:00Z</vt:filetime>
  </property>
</Properties>
</file>