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0757" w14:textId="77777777" w:rsidR="00757B27" w:rsidRPr="000C18D2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Table S1.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Primers used for </w:t>
      </w:r>
      <w:proofErr w:type="spellStart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qRT</w:t>
      </w:r>
      <w:proofErr w:type="spell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-PCR.</w:t>
      </w:r>
    </w:p>
    <w:p w14:paraId="2BDD5499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Table S2.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The average data statistics of the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15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influx rate in roots of WT and 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OsNRT2.1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transgenic </w:t>
      </w:r>
      <w:proofErr w:type="gramStart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lines</w:t>
      </w:r>
      <w:proofErr w:type="gram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under 0.5-mM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15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 with NPA and without NPA.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Significant differences are indicated by different letters (</w:t>
      </w:r>
      <w:r w:rsidRPr="00757B27">
        <w:rPr>
          <w:rFonts w:ascii="Palatino Linotype" w:eastAsia="Times New Roman" w:hAnsi="Palatino Linotype" w:cs="Palatino Linotype"/>
          <w:i/>
          <w:iCs/>
          <w:snapToGrid w:val="0"/>
          <w:kern w:val="0"/>
          <w:sz w:val="18"/>
          <w:szCs w:val="20"/>
          <w:lang w:eastAsia="de-DE" w:bidi="en-US"/>
        </w:rPr>
        <w:t xml:space="preserve">p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&lt; 0.05, two-way ANOVA).</w:t>
      </w:r>
    </w:p>
    <w:p w14:paraId="650329B4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Figure S1.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Rice seed size.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A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) Grain length, 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B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) grain width, 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C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) 1000-grain weight, 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D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) total nitrogen concentration.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Error bars: SE (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n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= 10). Significant differences between transgenic lines and WT are indicated by different letters (</w:t>
      </w:r>
      <w:r w:rsidRPr="00757B27">
        <w:rPr>
          <w:rFonts w:ascii="Palatino Linotype" w:eastAsia="Times New Roman" w:hAnsi="Palatino Linotype" w:cs="Palatino Linotype"/>
          <w:i/>
          <w:iCs/>
          <w:snapToGrid w:val="0"/>
          <w:kern w:val="0"/>
          <w:sz w:val="18"/>
          <w:szCs w:val="20"/>
          <w:lang w:eastAsia="de-DE" w:bidi="en-US"/>
        </w:rPr>
        <w:t xml:space="preserve">p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&lt; 0.05, one-way ANOVA).</w:t>
      </w:r>
    </w:p>
    <w:p w14:paraId="4563BA1A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Figure S2.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Plant growth of WT and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 xml:space="preserve"> OsNRT2.1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transgenic </w:t>
      </w:r>
      <w:proofErr w:type="gramStart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lines</w:t>
      </w:r>
      <w:proofErr w:type="gram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under 0.5-mM NH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or 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conditions.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 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Rice seedlings were grown in a quarter concentration of nutrient solution containing 0.5 mM of NH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or NO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conditions at the beginning. The phenotype of the transgenic lines under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A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NH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, or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D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NO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conditions bar = 5 cm; length of shoot under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B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NH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or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E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NO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conditions; length of root under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C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NH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or (</w:t>
      </w:r>
      <w:r w:rsidRPr="00757B27">
        <w:rPr>
          <w:rFonts w:ascii="Palatino Linotype" w:eastAsia="Times New Roman" w:hAnsi="Palatino Linotype" w:cs="Palatino Linotype"/>
          <w:b/>
          <w:bCs/>
          <w:snapToGrid w:val="0"/>
          <w:kern w:val="0"/>
          <w:sz w:val="18"/>
          <w:szCs w:val="20"/>
          <w:lang w:eastAsia="de-DE" w:bidi="en-US"/>
        </w:rPr>
        <w:t>F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>) 0.5-mM NO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conditions. Error bars: SE (</w:t>
      </w:r>
      <w:r w:rsidRPr="000C18D2">
        <w:rPr>
          <w:rFonts w:ascii="Palatino Linotype" w:eastAsia="Times New Roman" w:hAnsi="Palatino Linotype" w:cs="Palatino Linotype"/>
          <w:bCs/>
          <w:i/>
          <w:snapToGrid w:val="0"/>
          <w:kern w:val="0"/>
          <w:sz w:val="18"/>
          <w:szCs w:val="20"/>
          <w:lang w:eastAsia="de-DE" w:bidi="en-US"/>
        </w:rPr>
        <w:t>n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= 10). Significant differences between transgenic lines and WT are indicated by asterisks (</w:t>
      </w:r>
      <w:r w:rsidRPr="00757B27">
        <w:rPr>
          <w:rFonts w:ascii="Palatino Linotype" w:eastAsia="Times New Roman" w:hAnsi="Palatino Linotype" w:cs="Palatino Linotype"/>
          <w:bCs/>
          <w:i/>
          <w:snapToGrid w:val="0"/>
          <w:kern w:val="0"/>
          <w:sz w:val="18"/>
          <w:szCs w:val="20"/>
          <w:lang w:eastAsia="de-DE" w:bidi="en-US"/>
        </w:rPr>
        <w:t>p</w:t>
      </w:r>
      <w:r w:rsidRPr="00757B27">
        <w:rPr>
          <w:rFonts w:ascii="Palatino Linotype" w:eastAsia="Times New Roman" w:hAnsi="Palatino Linotype" w:cs="Palatino Linotype"/>
          <w:bCs/>
          <w:snapToGrid w:val="0"/>
          <w:kern w:val="0"/>
          <w:sz w:val="18"/>
          <w:szCs w:val="20"/>
          <w:lang w:eastAsia="de-DE" w:bidi="en-US"/>
        </w:rPr>
        <w:t xml:space="preserve"> &lt; 0.05, one-way ANOVA).</w:t>
      </w:r>
    </w:p>
    <w:p w14:paraId="1DE75DE0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Figure S3.</w:t>
      </w:r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 xml:space="preserve">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The expressions of </w:t>
      </w:r>
      <w:proofErr w:type="spellStart"/>
      <w:r w:rsidRPr="000C18D2">
        <w:rPr>
          <w:rFonts w:ascii="Palatino Linotype" w:eastAsia="Times New Roman" w:hAnsi="Palatino Linotype" w:cs="Palatino Linotype"/>
          <w:i/>
          <w:iCs/>
          <w:snapToGrid w:val="0"/>
          <w:kern w:val="0"/>
          <w:sz w:val="18"/>
          <w:szCs w:val="20"/>
          <w:lang w:eastAsia="de-DE" w:bidi="en-US"/>
        </w:rPr>
        <w:t>OsPINs</w:t>
      </w:r>
      <w:proofErr w:type="spell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in the roots of WT and </w:t>
      </w:r>
      <w:r w:rsidRPr="000C18D2">
        <w:rPr>
          <w:rFonts w:ascii="Palatino Linotype" w:eastAsia="Times New Roman" w:hAnsi="Palatino Linotype" w:cs="Palatino Linotype"/>
          <w:i/>
          <w:iCs/>
          <w:snapToGrid w:val="0"/>
          <w:kern w:val="0"/>
          <w:sz w:val="18"/>
          <w:szCs w:val="20"/>
          <w:lang w:eastAsia="de-DE" w:bidi="en-US"/>
        </w:rPr>
        <w:t xml:space="preserve">OsNRT2.1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transgenic </w:t>
      </w:r>
      <w:proofErr w:type="gramStart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lines</w:t>
      </w:r>
      <w:proofErr w:type="gram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under 0.5-mM 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 with NPA treatment.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WT and transgenic plants were shown in Figure 7. RNA was extracted from roots. Error bars: SE (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n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= 5). Significant differences between transgenic lines and WT are indicated by different letters (</w:t>
      </w:r>
      <w:r w:rsidRPr="00757B27">
        <w:rPr>
          <w:rFonts w:ascii="Palatino Linotype" w:eastAsia="Times New Roman" w:hAnsi="Palatino Linotype" w:cs="Palatino Linotype"/>
          <w:i/>
          <w:iCs/>
          <w:snapToGrid w:val="0"/>
          <w:kern w:val="0"/>
          <w:sz w:val="18"/>
          <w:szCs w:val="20"/>
          <w:lang w:eastAsia="de-DE" w:bidi="en-US"/>
        </w:rPr>
        <w:t xml:space="preserve">p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&lt; 0.05, one-way ANOVA).</w:t>
      </w:r>
    </w:p>
    <w:p w14:paraId="50091977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Figure S4.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15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influx rate in roots of WT and 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 xml:space="preserve">OsNRT2.1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transgenic </w:t>
      </w:r>
      <w:proofErr w:type="gramStart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lines</w:t>
      </w:r>
      <w:proofErr w:type="gramEnd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under 0.5-mM 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15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conditions.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WT and transgenic plants. The seedlings were transferred to a quarter concentration of nutrient solution containing 0.5 mM of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15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NO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–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for 5 min. Error bars: SE (</w:t>
      </w:r>
      <w:r w:rsidRPr="000C18D2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n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= 5). Significant differences between transgenic lines and WT are indicated by different letters (</w:t>
      </w:r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p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&lt; 0.05, one-way ANOVA).</w:t>
      </w:r>
    </w:p>
    <w:p w14:paraId="0822C1D3" w14:textId="77777777" w:rsidR="00757B27" w:rsidRPr="00757B27" w:rsidRDefault="00757B27" w:rsidP="00757B27">
      <w:pPr>
        <w:widowControl/>
        <w:adjustRightInd w:val="0"/>
        <w:snapToGrid w:val="0"/>
        <w:spacing w:before="120" w:line="200" w:lineRule="atLeast"/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</w:pP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Figure S5.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</w:t>
      </w:r>
      <w:bookmarkStart w:id="0" w:name="_GoBack"/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Effects of NPA on root growth under 0.5-mM NH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or 0.5 mM NO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0C18D2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condition.</w:t>
      </w:r>
      <w:bookmarkEnd w:id="0"/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 xml:space="preserve"> 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Three-day-old normal grown </w:t>
      </w:r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OE3/DR</w:t>
      </w:r>
      <w:proofErr w:type="gramStart"/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5::</w:t>
      </w:r>
      <w:proofErr w:type="gramEnd"/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GUS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transgenic seedlings were transferred to nutrient solutions containing 1 </w:t>
      </w:r>
      <w:proofErr w:type="spellStart"/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μM</w:t>
      </w:r>
      <w:proofErr w:type="spellEnd"/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of NPA from 100 mM of NPA that was dissolved in DMSO and the control containing the same amount of DMSO. Sampling was performed after seven days of treatment. 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A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>) Scanning root morphology of rice plants under 0.5-mM NH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or 0.5 mM NO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 with or without NPA treatment. (bar = 1 cm); (</w:t>
      </w:r>
      <w:r w:rsidRPr="00757B27">
        <w:rPr>
          <w:rFonts w:ascii="Palatino Linotype" w:eastAsia="Times New Roman" w:hAnsi="Palatino Linotype" w:cs="Palatino Linotype"/>
          <w:b/>
          <w:snapToGrid w:val="0"/>
          <w:kern w:val="0"/>
          <w:sz w:val="18"/>
          <w:szCs w:val="20"/>
          <w:lang w:eastAsia="de-DE" w:bidi="en-US"/>
        </w:rPr>
        <w:t>B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) GUS expression in the root tips of </w:t>
      </w:r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OE3/DR</w:t>
      </w:r>
      <w:proofErr w:type="gramStart"/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5::</w:t>
      </w:r>
      <w:proofErr w:type="gramEnd"/>
      <w:r w:rsidRPr="00757B27">
        <w:rPr>
          <w:rFonts w:ascii="Palatino Linotype" w:eastAsia="Times New Roman" w:hAnsi="Palatino Linotype" w:cs="Palatino Linotype"/>
          <w:i/>
          <w:snapToGrid w:val="0"/>
          <w:kern w:val="0"/>
          <w:sz w:val="18"/>
          <w:szCs w:val="20"/>
          <w:lang w:eastAsia="de-DE" w:bidi="en-US"/>
        </w:rPr>
        <w:t>GUS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seedlings under 0.5-mM NH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4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+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or 0.5-mM NO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bscript"/>
          <w:lang w:eastAsia="de-DE" w:bidi="en-US"/>
        </w:rPr>
        <w:t>3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vertAlign w:val="superscript"/>
          <w:lang w:eastAsia="de-DE" w:bidi="en-US"/>
        </w:rPr>
        <w:t>−</w:t>
      </w:r>
      <w:r w:rsidRPr="00757B27">
        <w:rPr>
          <w:rFonts w:ascii="Palatino Linotype" w:eastAsia="Times New Roman" w:hAnsi="Palatino Linotype" w:cs="Palatino Linotype"/>
          <w:snapToGrid w:val="0"/>
          <w:kern w:val="0"/>
          <w:sz w:val="18"/>
          <w:szCs w:val="20"/>
          <w:lang w:eastAsia="de-DE" w:bidi="en-US"/>
        </w:rPr>
        <w:t xml:space="preserve"> conditions with or without NPA treatment. Root tips were stained for 2 h at 37 °C in the dark.</w:t>
      </w:r>
    </w:p>
    <w:p w14:paraId="60B445EE" w14:textId="77777777" w:rsidR="00192E2E" w:rsidRPr="00757B27" w:rsidRDefault="00192E2E"/>
    <w:sectPr w:rsidR="00192E2E" w:rsidRPr="00757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179E8" w14:textId="77777777" w:rsidR="00BF1A10" w:rsidRDefault="00BF1A10" w:rsidP="00757B27">
      <w:r>
        <w:separator/>
      </w:r>
    </w:p>
  </w:endnote>
  <w:endnote w:type="continuationSeparator" w:id="0">
    <w:p w14:paraId="325BB359" w14:textId="77777777" w:rsidR="00BF1A10" w:rsidRDefault="00BF1A10" w:rsidP="0075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C8FFE" w14:textId="77777777" w:rsidR="00BF1A10" w:rsidRDefault="00BF1A10" w:rsidP="00757B27">
      <w:r>
        <w:separator/>
      </w:r>
    </w:p>
  </w:footnote>
  <w:footnote w:type="continuationSeparator" w:id="0">
    <w:p w14:paraId="3CEAD79F" w14:textId="77777777" w:rsidR="00BF1A10" w:rsidRDefault="00BF1A10" w:rsidP="00757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5D"/>
    <w:rsid w:val="000C18D2"/>
    <w:rsid w:val="00192E2E"/>
    <w:rsid w:val="00757B27"/>
    <w:rsid w:val="00BF1A10"/>
    <w:rsid w:val="00C4071D"/>
    <w:rsid w:val="00EA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85FB86-6E6E-4AE3-A318-9B95BE42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7B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7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7B2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rsid w:val="00757B27"/>
    <w:pPr>
      <w:jc w:val="left"/>
    </w:pPr>
    <w:rPr>
      <w:rFonts w:ascii="等线" w:eastAsia="等线" w:hAnsi="等线" w:cs="Times New Roman"/>
    </w:rPr>
  </w:style>
  <w:style w:type="character" w:customStyle="1" w:styleId="a8">
    <w:name w:val="批注文字 字符"/>
    <w:basedOn w:val="a0"/>
    <w:link w:val="a7"/>
    <w:uiPriority w:val="99"/>
    <w:semiHidden/>
    <w:qFormat/>
    <w:rsid w:val="00757B27"/>
    <w:rPr>
      <w:rFonts w:ascii="等线" w:eastAsia="等线" w:hAnsi="等线" w:cs="Times New Roman"/>
    </w:rPr>
  </w:style>
  <w:style w:type="character" w:styleId="a9">
    <w:name w:val="annotation reference"/>
    <w:basedOn w:val="a0"/>
    <w:uiPriority w:val="99"/>
    <w:semiHidden/>
    <w:unhideWhenUsed/>
    <w:rsid w:val="00757B27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57B2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57B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冰冰</dc:creator>
  <cp:keywords/>
  <dc:description/>
  <cp:lastModifiedBy>罗 冰冰</cp:lastModifiedBy>
  <cp:revision>3</cp:revision>
  <dcterms:created xsi:type="dcterms:W3CDTF">2019-04-05T11:59:00Z</dcterms:created>
  <dcterms:modified xsi:type="dcterms:W3CDTF">2019-04-05T12:12:00Z</dcterms:modified>
</cp:coreProperties>
</file>