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63" w:rsidRPr="00BE1B0B" w:rsidRDefault="00BF2422" w:rsidP="00BE1B0B">
      <w:pPr>
        <w:spacing w:after="0" w:line="360" w:lineRule="auto"/>
        <w:ind w:hanging="2"/>
        <w:rPr>
          <w:color w:val="000000"/>
        </w:rPr>
      </w:pPr>
      <w:r>
        <w:rPr>
          <w:b/>
        </w:rPr>
        <w:t xml:space="preserve">Figure S1 </w:t>
      </w:r>
      <w:r>
        <w:t>Genetic distance (</w:t>
      </w:r>
      <w:r>
        <w:rPr>
          <w:i/>
        </w:rPr>
        <w:t>F</w:t>
      </w:r>
      <w:r>
        <w:rPr>
          <w:i/>
          <w:vertAlign w:val="subscript"/>
        </w:rPr>
        <w:t>ST</w:t>
      </w:r>
      <w:r>
        <w:t xml:space="preserve">/ (1- </w:t>
      </w:r>
      <w:r>
        <w:rPr>
          <w:i/>
        </w:rPr>
        <w:t>F</w:t>
      </w:r>
      <w:r>
        <w:rPr>
          <w:i/>
          <w:vertAlign w:val="subscript"/>
        </w:rPr>
        <w:t>ST</w:t>
      </w:r>
      <w:r>
        <w:t xml:space="preserve">)) plotted against the geographic distance (the shortest distance between localities along the coastline in km) for A) 4,069 SNP markers and 11 sampling localities (Mantel statistic </w:t>
      </w:r>
      <w:r>
        <w:rPr>
          <w:color w:val="000000"/>
        </w:rPr>
        <w:t>G=2.639, p-value&lt;</w:t>
      </w:r>
      <w:r>
        <w:rPr>
          <w:color w:val="000000"/>
        </w:rPr>
        <w:t>0.01, (Pearson coefficient r=0.633); without Svalbard (NYA), G=3.904, p-value &lt;0.001, (r=0.873)</w:t>
      </w:r>
      <w:r>
        <w:t>), and B) 18 SSR markers and 10 sampling localities (</w:t>
      </w:r>
      <w:r>
        <w:rPr>
          <w:color w:val="000000"/>
        </w:rPr>
        <w:t>G=2.570, p-value&lt;0.001, (r= 0.724); without NYA, G=3.008, p-value&lt; 0.01, (r=0.869)</w:t>
      </w:r>
      <w:r>
        <w:t>).</w:t>
      </w:r>
    </w:p>
    <w:p w:rsidR="00F54263" w:rsidRDefault="00BF2422">
      <w:pPr>
        <w:spacing w:after="0" w:line="360" w:lineRule="auto"/>
        <w:ind w:firstLine="0"/>
      </w:pPr>
      <w:r w:rsidRPr="00BE1B0B">
        <w:rPr>
          <w:b/>
        </w:rPr>
        <w:t>A)</w:t>
      </w:r>
      <w:r>
        <w:rPr>
          <w:noProof/>
        </w:rPr>
        <w:drawing>
          <wp:inline distT="0" distB="0" distL="0" distR="0">
            <wp:extent cx="8863330" cy="4337685"/>
            <wp:effectExtent l="0" t="0" r="0" b="0"/>
            <wp:docPr id="2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3376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 w:rsidP="00BE1B0B">
      <w:pPr>
        <w:tabs>
          <w:tab w:val="left" w:pos="1290"/>
        </w:tabs>
        <w:spacing w:line="360" w:lineRule="auto"/>
        <w:ind w:firstLine="0"/>
        <w:rPr>
          <w:b/>
        </w:rPr>
        <w:sectPr w:rsidR="00F542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40" w:right="1440" w:bottom="1440" w:left="1440" w:header="708" w:footer="708" w:gutter="0"/>
          <w:pgNumType w:start="1"/>
          <w:cols w:space="720"/>
        </w:sectPr>
      </w:pPr>
    </w:p>
    <w:p w:rsidR="00F54263" w:rsidRDefault="00BF2422">
      <w:pPr>
        <w:tabs>
          <w:tab w:val="left" w:pos="1290"/>
        </w:tabs>
        <w:spacing w:line="360" w:lineRule="auto"/>
        <w:ind w:hanging="2"/>
        <w:rPr>
          <w:b/>
        </w:rPr>
      </w:pPr>
      <w:r w:rsidRPr="00BE1B0B">
        <w:rPr>
          <w:b/>
        </w:rPr>
        <w:lastRenderedPageBreak/>
        <w:t>B)</w:t>
      </w:r>
      <w:r>
        <w:rPr>
          <w:noProof/>
        </w:rPr>
        <w:drawing>
          <wp:inline distT="0" distB="0" distL="0" distR="0">
            <wp:extent cx="8863330" cy="4337685"/>
            <wp:effectExtent l="0" t="0" r="0" b="0"/>
            <wp:docPr id="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3376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BF2422">
      <w:pPr>
        <w:tabs>
          <w:tab w:val="left" w:pos="1290"/>
        </w:tabs>
        <w:ind w:hanging="2"/>
        <w:sectPr w:rsidR="00F54263">
          <w:pgSz w:w="16838" w:h="11906" w:orient="landscape"/>
          <w:pgMar w:top="1440" w:right="1440" w:bottom="1440" w:left="1440" w:header="708" w:footer="708" w:gutter="0"/>
          <w:cols w:space="720"/>
        </w:sectPr>
      </w:pPr>
      <w:r>
        <w:tab/>
      </w:r>
      <w:r>
        <w:tab/>
      </w:r>
    </w:p>
    <w:p w:rsidR="00F54263" w:rsidRDefault="00BF2422">
      <w:pPr>
        <w:spacing w:after="0" w:line="360" w:lineRule="auto"/>
        <w:ind w:hanging="2"/>
      </w:pPr>
      <w:r>
        <w:rPr>
          <w:b/>
        </w:rPr>
        <w:lastRenderedPageBreak/>
        <w:t xml:space="preserve">Figure S2 </w:t>
      </w:r>
      <w:r>
        <w:t xml:space="preserve">DAPC scatterplot for A) 199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 xml:space="preserve">sporophytes sampled from 11 localities (see key) that were genotyped at 4,069 SNP markers, and B) 280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 xml:space="preserve">sporophytes sampled from 10 localities (see key) genotyped at 18 SSR markers. A) </w:t>
      </w:r>
      <w:proofErr w:type="gramStart"/>
      <w:r>
        <w:t>and</w:t>
      </w:r>
      <w:proofErr w:type="gramEnd"/>
      <w:r>
        <w:t xml:space="preserve"> B) display the second and third components (axes 2 and 3) of the discriminant analysis of principal components (DAPC). Sampling localities, which were specified </w:t>
      </w:r>
      <w:r>
        <w:rPr>
          <w:i/>
        </w:rPr>
        <w:t>a priori</w:t>
      </w:r>
      <w:r>
        <w:t xml:space="preserve"> for the DAPC, are differentia</w:t>
      </w:r>
      <w:bookmarkStart w:id="0" w:name="_GoBack"/>
      <w:bookmarkEnd w:id="0"/>
      <w:r>
        <w:t>ted by colour and inertia ellipses. Each point corresponds to a single individual.</w:t>
      </w:r>
    </w:p>
    <w:p w:rsidR="00F54263" w:rsidRDefault="00F54263">
      <w:pPr>
        <w:spacing w:after="0" w:line="360" w:lineRule="auto"/>
        <w:ind w:hanging="2"/>
      </w:pPr>
    </w:p>
    <w:p w:rsidR="00F54263" w:rsidRDefault="00BF2422">
      <w:pPr>
        <w:spacing w:after="0" w:line="360" w:lineRule="auto"/>
        <w:ind w:hanging="2"/>
      </w:pPr>
      <w:r w:rsidRPr="00BE1B0B">
        <w:rPr>
          <w:b/>
        </w:rPr>
        <w:t>A)</w:t>
      </w:r>
      <w:r>
        <w:t xml:space="preserve">                                                                                            </w:t>
      </w:r>
      <w:r w:rsidRPr="00BE1B0B">
        <w:rPr>
          <w:b/>
        </w:rPr>
        <w:t>B)</w:t>
      </w:r>
    </w:p>
    <w:p w:rsidR="00F54263" w:rsidRDefault="00BF2422">
      <w:pPr>
        <w:spacing w:after="0" w:line="360" w:lineRule="auto"/>
        <w:ind w:hanging="2"/>
      </w:pPr>
      <w:r>
        <w:rPr>
          <w:noProof/>
        </w:rPr>
        <w:drawing>
          <wp:inline distT="0" distB="0" distL="0" distR="0">
            <wp:extent cx="2700000" cy="1972800"/>
            <wp:effectExtent l="0" t="0" r="0" b="0"/>
            <wp:docPr id="3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97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700000" cy="1324800"/>
            <wp:effectExtent l="0" t="0" r="0" b="0"/>
            <wp:docPr id="6" name="image4.png" descr="C:\Users\jguzinski\Documents\Work\Seaweed project\Saccharina\Microsatellites\S.latissimaMicrosatR\R_18loci_EuropeanScale_ModifiedAlleles\SSR_all_Axes23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C:\Users\jguzinski\Documents\Work\Seaweed project\Saccharina\Microsatellites\S.latissimaMicrosatR\R_18loci_EuropeanScale_ModifiedAlleles\SSR_all_Axes23.tif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32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spacing w:after="0" w:line="360" w:lineRule="auto"/>
        <w:ind w:hanging="2"/>
      </w:pPr>
    </w:p>
    <w:p w:rsidR="00F54263" w:rsidRDefault="00F54263">
      <w:pPr>
        <w:spacing w:after="0" w:line="360" w:lineRule="auto"/>
        <w:ind w:hanging="2"/>
        <w:sectPr w:rsidR="00F54263" w:rsidSect="00BE1B0B">
          <w:pgSz w:w="11906" w:h="16838"/>
          <w:pgMar w:top="1440" w:right="1440" w:bottom="1440" w:left="1440" w:header="708" w:footer="708" w:gutter="0"/>
          <w:cols w:space="720"/>
          <w:docGrid w:linePitch="299"/>
        </w:sectPr>
      </w:pPr>
    </w:p>
    <w:p w:rsidR="00F54263" w:rsidRDefault="00BF2422">
      <w:pPr>
        <w:spacing w:after="0" w:line="360" w:lineRule="auto"/>
        <w:ind w:hanging="2"/>
      </w:pPr>
      <w:r>
        <w:rPr>
          <w:b/>
        </w:rPr>
        <w:lastRenderedPageBreak/>
        <w:t>Figure S3</w:t>
      </w:r>
      <w:r>
        <w:t xml:space="preserve"> O</w:t>
      </w:r>
      <w:r>
        <w:t xml:space="preserve">utput of the </w:t>
      </w:r>
      <w:proofErr w:type="spellStart"/>
      <w:r>
        <w:rPr>
          <w:i/>
        </w:rPr>
        <w:t>snapclust.choose.k</w:t>
      </w:r>
      <w:proofErr w:type="spellEnd"/>
      <w:r>
        <w:rPr>
          <w:i/>
        </w:rPr>
        <w:t xml:space="preserve"> </w:t>
      </w:r>
      <w:r>
        <w:t xml:space="preserve">function of </w:t>
      </w:r>
      <w:proofErr w:type="spellStart"/>
      <w:r>
        <w:rPr>
          <w:i/>
        </w:rPr>
        <w:t>adegenet</w:t>
      </w:r>
      <w:proofErr w:type="spellEnd"/>
      <w:r>
        <w:t xml:space="preserve"> for A) and B) 4,069 SNP markers, and C) and D) 18 SSR markers that was run to determine the optimal number of genetic clusters (</w:t>
      </w:r>
      <w:r>
        <w:rPr>
          <w:i/>
        </w:rPr>
        <w:t>k</w:t>
      </w:r>
      <w:r>
        <w:t xml:space="preserve">) that best describe the genetic structure of A) and B) 199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>s</w:t>
      </w:r>
      <w:r>
        <w:t xml:space="preserve">porophytes from 11 localities, and C) and D) 280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 xml:space="preserve">sporophytes from 10 localities. On A) and C) the </w:t>
      </w:r>
      <w:r>
        <w:rPr>
          <w:i/>
        </w:rPr>
        <w:t>k</w:t>
      </w:r>
      <w:r>
        <w:t xml:space="preserve"> value (x-axis) at the lowest </w:t>
      </w:r>
      <w:proofErr w:type="spellStart"/>
      <w:r>
        <w:t>Akaike</w:t>
      </w:r>
      <w:proofErr w:type="spellEnd"/>
      <w:r>
        <w:t xml:space="preserve"> information criterion (AIC, y-axis) represents the most parsimonious determination of the “true” </w:t>
      </w:r>
      <w:r>
        <w:rPr>
          <w:i/>
        </w:rPr>
        <w:t>k</w:t>
      </w:r>
      <w:r>
        <w:t xml:space="preserve">. B) and </w:t>
      </w:r>
      <w:r>
        <w:t xml:space="preserve">D) display the assignment of the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sporophytes to the optimal B) six genetic clusters (</w:t>
      </w:r>
      <w:r>
        <w:rPr>
          <w:i/>
        </w:rPr>
        <w:t>k</w:t>
      </w:r>
      <w:r>
        <w:t xml:space="preserve"> = 6), and D) seven genetic clusters (</w:t>
      </w:r>
      <w:r>
        <w:rPr>
          <w:i/>
        </w:rPr>
        <w:t>k</w:t>
      </w:r>
      <w:r>
        <w:t xml:space="preserve"> = 7). For B) and D) the sampling locality codes are shown on the y-axis.</w:t>
      </w:r>
    </w:p>
    <w:p w:rsidR="00F54263" w:rsidRDefault="00F54263">
      <w:pPr>
        <w:spacing w:after="0" w:line="360" w:lineRule="auto"/>
        <w:ind w:hanging="2"/>
      </w:pPr>
    </w:p>
    <w:p w:rsidR="00F54263" w:rsidRDefault="00BF2422">
      <w:pPr>
        <w:ind w:hanging="2"/>
      </w:pPr>
      <w:r w:rsidRPr="00BE1B0B">
        <w:rPr>
          <w:b/>
        </w:rPr>
        <w:t>A)</w:t>
      </w:r>
      <w:r>
        <w:t xml:space="preserve">                                         </w:t>
      </w:r>
      <w:r>
        <w:t xml:space="preserve">                                                   </w:t>
      </w:r>
      <w:r w:rsidRPr="00BE1B0B">
        <w:rPr>
          <w:b/>
        </w:rPr>
        <w:t>B)</w:t>
      </w:r>
    </w:p>
    <w:p w:rsidR="00F54263" w:rsidRDefault="00BF2422">
      <w:pPr>
        <w:spacing w:after="0" w:line="360" w:lineRule="auto"/>
        <w:ind w:hanging="2"/>
      </w:pP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firstLine="0"/>
      </w:pPr>
    </w:p>
    <w:p w:rsidR="00F54263" w:rsidRDefault="00BF2422">
      <w:pPr>
        <w:ind w:firstLine="0"/>
      </w:pPr>
      <w:r w:rsidRPr="00BE1B0B">
        <w:rPr>
          <w:b/>
        </w:rPr>
        <w:t>C)</w:t>
      </w:r>
      <w:r>
        <w:t xml:space="preserve">                                                                                           </w:t>
      </w:r>
      <w:r w:rsidRPr="00BE1B0B">
        <w:rPr>
          <w:b/>
        </w:rPr>
        <w:t>D)</w:t>
      </w:r>
    </w:p>
    <w:p w:rsidR="00F54263" w:rsidRDefault="00BF2422">
      <w:pPr>
        <w:ind w:hanging="2"/>
        <w:sectPr w:rsidR="00F54263" w:rsidSect="00BE1B0B">
          <w:pgSz w:w="11906" w:h="16838"/>
          <w:pgMar w:top="1440" w:right="1440" w:bottom="1440" w:left="1440" w:header="708" w:footer="708" w:gutter="0"/>
          <w:cols w:space="720"/>
          <w:docGrid w:linePitch="299"/>
        </w:sectPr>
      </w:pP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10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BF2422">
      <w:pPr>
        <w:spacing w:after="0" w:line="360" w:lineRule="auto"/>
        <w:ind w:hanging="2"/>
      </w:pPr>
      <w:r>
        <w:rPr>
          <w:b/>
        </w:rPr>
        <w:lastRenderedPageBreak/>
        <w:t xml:space="preserve">Figure S4 </w:t>
      </w:r>
      <w:r>
        <w:t xml:space="preserve">DAPC scatterplot and </w:t>
      </w:r>
      <w:proofErr w:type="spellStart"/>
      <w:r>
        <w:t>compoplot</w:t>
      </w:r>
      <w:proofErr w:type="spellEnd"/>
      <w:r>
        <w:t xml:space="preserve"> for 199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sporophytes sampled from 11 localities (see key) that were genotyped at 3,730 putatively neutral SNP markers. A) </w:t>
      </w:r>
      <w:proofErr w:type="gramStart"/>
      <w:r>
        <w:t>first</w:t>
      </w:r>
      <w:proofErr w:type="gramEnd"/>
      <w:r>
        <w:t xml:space="preserve"> two components (axes 1 and 2) of the discriminant analysis of principal components (DAPC), and B) the second and third components (axes </w:t>
      </w:r>
      <w:r>
        <w:t xml:space="preserve">2 and 3) of the DAPC. Sampling localities, which were specified </w:t>
      </w:r>
      <w:r>
        <w:rPr>
          <w:i/>
        </w:rPr>
        <w:t>a priori</w:t>
      </w:r>
      <w:r>
        <w:t xml:space="preserve"> for the DAPC, are differentiated by colour and inertia ellipses. Each point corresponds to a single individual. C) DAPC posterior probability of membership of each of the analysed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sporophytes (each sample is represented by a vertical bar) to each of the sampling sites (each represented by a unique colour).   </w:t>
      </w:r>
    </w:p>
    <w:p w:rsidR="00F54263" w:rsidRDefault="00F54263">
      <w:pPr>
        <w:spacing w:after="0" w:line="360" w:lineRule="auto"/>
        <w:ind w:hanging="2"/>
      </w:pPr>
    </w:p>
    <w:p w:rsidR="00F54263" w:rsidRDefault="00BF2422">
      <w:pPr>
        <w:ind w:hanging="2"/>
      </w:pPr>
      <w:r w:rsidRPr="00BE1B0B">
        <w:rPr>
          <w:b/>
        </w:rPr>
        <w:t>A)</w:t>
      </w:r>
      <w:r>
        <w:t xml:space="preserve">                                                                                            </w:t>
      </w:r>
      <w:r w:rsidRPr="00BE1B0B">
        <w:rPr>
          <w:b/>
        </w:rPr>
        <w:t>B)</w:t>
      </w:r>
      <w:r>
        <w:t xml:space="preserve"> </w:t>
      </w:r>
    </w:p>
    <w:p w:rsidR="00F54263" w:rsidRDefault="00BF2422">
      <w:pPr>
        <w:spacing w:after="0" w:line="360" w:lineRule="auto"/>
        <w:ind w:hanging="2"/>
      </w:pPr>
      <w:r>
        <w:rPr>
          <w:noProof/>
        </w:rPr>
        <w:drawing>
          <wp:inline distT="0" distB="0" distL="0" distR="0">
            <wp:extent cx="2700000" cy="1972800"/>
            <wp:effectExtent l="0" t="0" r="0" b="0"/>
            <wp:docPr id="9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97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700000" cy="1972800"/>
            <wp:effectExtent l="0" t="0" r="0" b="0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97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hanging="2"/>
      </w:pPr>
    </w:p>
    <w:p w:rsidR="00F54263" w:rsidRDefault="00F54263">
      <w:pPr>
        <w:ind w:hanging="2"/>
      </w:pPr>
    </w:p>
    <w:p w:rsidR="00F54263" w:rsidRPr="00BE1B0B" w:rsidRDefault="00BF2422">
      <w:pPr>
        <w:ind w:hanging="2"/>
        <w:rPr>
          <w:b/>
        </w:rPr>
      </w:pPr>
      <w:r w:rsidRPr="00BE1B0B">
        <w:rPr>
          <w:b/>
        </w:rPr>
        <w:t>C</w:t>
      </w:r>
      <w:r w:rsidRPr="00BE1B0B">
        <w:rPr>
          <w:b/>
        </w:rPr>
        <w:t>)</w:t>
      </w:r>
    </w:p>
    <w:p w:rsidR="00F54263" w:rsidRDefault="00BF2422">
      <w:pPr>
        <w:ind w:hanging="2"/>
      </w:pPr>
      <w:r>
        <w:rPr>
          <w:noProof/>
        </w:rPr>
        <w:drawing>
          <wp:inline distT="0" distB="0" distL="0" distR="0">
            <wp:extent cx="5731510" cy="2804795"/>
            <wp:effectExtent l="0" t="0" r="0" b="0"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04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firstLine="0"/>
        <w:sectPr w:rsidR="00F54263" w:rsidSect="00BE1B0B">
          <w:pgSz w:w="11906" w:h="16838"/>
          <w:pgMar w:top="1440" w:right="1440" w:bottom="1440" w:left="1440" w:header="708" w:footer="708" w:gutter="0"/>
          <w:cols w:space="720"/>
          <w:docGrid w:linePitch="299"/>
        </w:sectPr>
      </w:pPr>
    </w:p>
    <w:p w:rsidR="00F54263" w:rsidRDefault="00BF2422">
      <w:pPr>
        <w:spacing w:after="0" w:line="360" w:lineRule="auto"/>
        <w:ind w:hanging="2"/>
      </w:pPr>
      <w:r>
        <w:rPr>
          <w:b/>
        </w:rPr>
        <w:lastRenderedPageBreak/>
        <w:t>Figure S5</w:t>
      </w:r>
      <w:r>
        <w:t xml:space="preserve"> DAPC scatterplot and </w:t>
      </w:r>
      <w:proofErr w:type="spellStart"/>
      <w:r>
        <w:t>compoplot</w:t>
      </w:r>
      <w:proofErr w:type="spellEnd"/>
      <w:r>
        <w:t xml:space="preserve"> for 280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sporophytes sampled from 10 localities (see key) that were genotyped at 13 putatively neutral SSR markers. A) </w:t>
      </w:r>
      <w:proofErr w:type="gramStart"/>
      <w:r>
        <w:t>first</w:t>
      </w:r>
      <w:proofErr w:type="gramEnd"/>
      <w:r>
        <w:t xml:space="preserve"> two components (axes 1 and 2) of the discriminant analysis of principal components (DAPC), and B) the second and third components (axes 2 a</w:t>
      </w:r>
      <w:r>
        <w:t xml:space="preserve">nd 3) of the DAPC. Sampling localities, which were specified </w:t>
      </w:r>
      <w:proofErr w:type="spellStart"/>
      <w:r>
        <w:rPr>
          <w:i/>
        </w:rPr>
        <w:t>apriori</w:t>
      </w:r>
      <w:proofErr w:type="spellEnd"/>
      <w:r>
        <w:t xml:space="preserve"> for the DAPC, are differentiated by colour and inertia ellipses. Each point corresponds to a single individual. C) DAPC posterior probability of membership of each of the analysed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</w:t>
      </w:r>
      <w:r>
        <w:rPr>
          <w:i/>
        </w:rPr>
        <w:t>ssima</w:t>
      </w:r>
      <w:proofErr w:type="spellEnd"/>
      <w:r>
        <w:t xml:space="preserve"> sporophytes (each sample is represented by a vertical bar) to each of the sampling sites (each represented by a unique colour).   </w:t>
      </w:r>
    </w:p>
    <w:p w:rsidR="00F54263" w:rsidRDefault="00F54263">
      <w:pPr>
        <w:spacing w:after="0" w:line="360" w:lineRule="auto"/>
        <w:ind w:hanging="2"/>
      </w:pPr>
    </w:p>
    <w:p w:rsidR="00F54263" w:rsidRDefault="00BF2422">
      <w:pPr>
        <w:tabs>
          <w:tab w:val="left" w:pos="1644"/>
        </w:tabs>
        <w:spacing w:after="0" w:line="360" w:lineRule="auto"/>
        <w:ind w:hanging="2"/>
      </w:pPr>
      <w:r w:rsidRPr="00BE1B0B">
        <w:rPr>
          <w:b/>
        </w:rPr>
        <w:t>A)</w:t>
      </w:r>
      <w:r>
        <w:t xml:space="preserve">                                                                                            </w:t>
      </w:r>
      <w:r w:rsidRPr="00BE1B0B">
        <w:rPr>
          <w:b/>
        </w:rPr>
        <w:t>B)</w:t>
      </w:r>
    </w:p>
    <w:p w:rsidR="00F54263" w:rsidRDefault="00BF2422">
      <w:pPr>
        <w:tabs>
          <w:tab w:val="left" w:pos="1644"/>
        </w:tabs>
        <w:spacing w:after="0" w:line="360" w:lineRule="auto"/>
        <w:ind w:hanging="2"/>
      </w:pPr>
      <w:r>
        <w:rPr>
          <w:noProof/>
        </w:rPr>
        <w:drawing>
          <wp:inline distT="0" distB="0" distL="0" distR="0">
            <wp:extent cx="2700000" cy="1324800"/>
            <wp:effectExtent l="0" t="0" r="0" b="0"/>
            <wp:docPr id="1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32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700000" cy="1324800"/>
            <wp:effectExtent l="0" t="0" r="0" b="0"/>
            <wp:docPr id="1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32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hanging="2"/>
      </w:pPr>
    </w:p>
    <w:p w:rsidR="00F54263" w:rsidRDefault="00F54263">
      <w:pPr>
        <w:ind w:firstLine="0"/>
      </w:pPr>
    </w:p>
    <w:p w:rsidR="00F54263" w:rsidRPr="00BE1B0B" w:rsidRDefault="00BF2422">
      <w:pPr>
        <w:ind w:firstLine="0"/>
        <w:rPr>
          <w:b/>
        </w:rPr>
      </w:pPr>
      <w:r w:rsidRPr="00BE1B0B">
        <w:rPr>
          <w:b/>
        </w:rPr>
        <w:t>C)</w:t>
      </w:r>
    </w:p>
    <w:p w:rsidR="00F54263" w:rsidRDefault="00BF2422">
      <w:pPr>
        <w:ind w:firstLine="0"/>
      </w:pPr>
      <w:r>
        <w:rPr>
          <w:noProof/>
        </w:rPr>
        <w:drawing>
          <wp:inline distT="0" distB="0" distL="0" distR="0">
            <wp:extent cx="5731510" cy="2804795"/>
            <wp:effectExtent l="0" t="0" r="0" b="0"/>
            <wp:docPr id="15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04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hanging="2"/>
      </w:pPr>
    </w:p>
    <w:p w:rsidR="00F54263" w:rsidRDefault="00F54263">
      <w:pPr>
        <w:ind w:hanging="2"/>
        <w:sectPr w:rsidR="00F54263" w:rsidSect="00BE1B0B">
          <w:pgSz w:w="11906" w:h="16838"/>
          <w:pgMar w:top="1440" w:right="1440" w:bottom="1440" w:left="1440" w:header="708" w:footer="708" w:gutter="0"/>
          <w:cols w:space="720"/>
          <w:docGrid w:linePitch="299"/>
        </w:sectPr>
      </w:pPr>
    </w:p>
    <w:p w:rsidR="00F54263" w:rsidRDefault="00BF2422">
      <w:pPr>
        <w:spacing w:after="0" w:line="360" w:lineRule="auto"/>
        <w:ind w:hanging="2"/>
      </w:pPr>
      <w:r>
        <w:rPr>
          <w:b/>
        </w:rPr>
        <w:lastRenderedPageBreak/>
        <w:t xml:space="preserve">Figure S6 </w:t>
      </w:r>
      <w:r>
        <w:t xml:space="preserve">Output of the </w:t>
      </w:r>
      <w:proofErr w:type="spellStart"/>
      <w:r>
        <w:rPr>
          <w:i/>
        </w:rPr>
        <w:t>snapclust.choose.k</w:t>
      </w:r>
      <w:proofErr w:type="spellEnd"/>
      <w:r>
        <w:rPr>
          <w:i/>
        </w:rPr>
        <w:t xml:space="preserve"> </w:t>
      </w:r>
      <w:r>
        <w:t xml:space="preserve">function of </w:t>
      </w:r>
      <w:proofErr w:type="spellStart"/>
      <w:r>
        <w:rPr>
          <w:i/>
        </w:rPr>
        <w:t>adegenet</w:t>
      </w:r>
      <w:proofErr w:type="spellEnd"/>
      <w:r>
        <w:t xml:space="preserve"> for 3,730 putatively neutral SNP markers that was run to determine the optimal number of genetic clusters (</w:t>
      </w:r>
      <w:r>
        <w:rPr>
          <w:i/>
        </w:rPr>
        <w:t>k</w:t>
      </w:r>
      <w:r>
        <w:t xml:space="preserve">) that best describe the genetic structure of 199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>sporophy</w:t>
      </w:r>
      <w:r>
        <w:t xml:space="preserve">tes from 11 localities. A) </w:t>
      </w:r>
      <w:proofErr w:type="gramStart"/>
      <w:r>
        <w:t>the</w:t>
      </w:r>
      <w:proofErr w:type="gramEnd"/>
      <w:r>
        <w:t xml:space="preserve"> </w:t>
      </w:r>
      <w:r>
        <w:rPr>
          <w:i/>
        </w:rPr>
        <w:t>k</w:t>
      </w:r>
      <w:r>
        <w:t xml:space="preserve"> value (x-axis) at the lowest </w:t>
      </w:r>
      <w:proofErr w:type="spellStart"/>
      <w:r>
        <w:t>Akaike</w:t>
      </w:r>
      <w:proofErr w:type="spellEnd"/>
      <w:r>
        <w:t xml:space="preserve"> information criterion (AIC, y-axis) represents the most parsimonious determination of the “true” </w:t>
      </w:r>
      <w:r>
        <w:rPr>
          <w:i/>
        </w:rPr>
        <w:t>k</w:t>
      </w:r>
      <w:r>
        <w:t xml:space="preserve">. B) the assignment of the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sporophytes to the optimal six genetic clusters (</w:t>
      </w:r>
      <w:r>
        <w:rPr>
          <w:i/>
        </w:rPr>
        <w:t>k</w:t>
      </w:r>
      <w:r>
        <w:t xml:space="preserve"> = 6). Sampling locality codes are shown on the y-axis. C) Membership probability of the 199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>sporophytes (each sample is represented by a vertical bar) to each of six genetic clusters (each represented by a unique colour) that were determined</w:t>
      </w:r>
      <w:r>
        <w:t xml:space="preserve"> as optimal by the </w:t>
      </w:r>
      <w:proofErr w:type="spellStart"/>
      <w:r>
        <w:rPr>
          <w:i/>
        </w:rPr>
        <w:t>snapclust</w:t>
      </w:r>
      <w:proofErr w:type="spellEnd"/>
      <w:r>
        <w:t xml:space="preserve"> algorithm run on this set of samples.     </w:t>
      </w:r>
    </w:p>
    <w:p w:rsidR="00F54263" w:rsidRDefault="00BF2422">
      <w:pPr>
        <w:spacing w:after="0" w:line="360" w:lineRule="auto"/>
        <w:ind w:hanging="2"/>
      </w:pPr>
      <w:r w:rsidRPr="00BE1B0B">
        <w:rPr>
          <w:b/>
        </w:rPr>
        <w:t>A)</w:t>
      </w:r>
      <w:r>
        <w:t xml:space="preserve">                                                                                            </w:t>
      </w:r>
      <w:r w:rsidRPr="00BE1B0B">
        <w:rPr>
          <w:b/>
        </w:rPr>
        <w:t>B)</w:t>
      </w:r>
    </w:p>
    <w:p w:rsidR="00F54263" w:rsidRDefault="00BF2422">
      <w:pPr>
        <w:ind w:hanging="2"/>
      </w:pP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1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1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hanging="2"/>
      </w:pPr>
    </w:p>
    <w:p w:rsidR="00F54263" w:rsidRPr="00BE1B0B" w:rsidRDefault="00BF2422">
      <w:pPr>
        <w:ind w:hanging="2"/>
        <w:rPr>
          <w:b/>
        </w:rPr>
      </w:pPr>
      <w:r w:rsidRPr="00BE1B0B">
        <w:rPr>
          <w:b/>
        </w:rPr>
        <w:t>C)</w:t>
      </w:r>
    </w:p>
    <w:p w:rsidR="00F54263" w:rsidRDefault="00BF2422">
      <w:pPr>
        <w:ind w:hanging="2"/>
        <w:sectPr w:rsidR="00F54263" w:rsidSect="00BE1B0B">
          <w:pgSz w:w="11906" w:h="16838"/>
          <w:pgMar w:top="1440" w:right="1440" w:bottom="1440" w:left="1440" w:header="708" w:footer="708" w:gutter="0"/>
          <w:cols w:space="720"/>
          <w:docGrid w:linePitch="299"/>
        </w:sectPr>
      </w:pPr>
      <w:r>
        <w:rPr>
          <w:noProof/>
        </w:rPr>
        <w:drawing>
          <wp:inline distT="0" distB="0" distL="0" distR="0">
            <wp:extent cx="5148000" cy="2520000"/>
            <wp:effectExtent l="0" t="0" r="0" b="0"/>
            <wp:docPr id="18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8000" cy="252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BF2422">
      <w:pPr>
        <w:spacing w:after="0" w:line="360" w:lineRule="auto"/>
        <w:ind w:hanging="2"/>
      </w:pPr>
      <w:r>
        <w:rPr>
          <w:b/>
        </w:rPr>
        <w:lastRenderedPageBreak/>
        <w:t>Figure S7</w:t>
      </w:r>
      <w:r>
        <w:t xml:space="preserve"> Output of the </w:t>
      </w:r>
      <w:proofErr w:type="spellStart"/>
      <w:r>
        <w:rPr>
          <w:i/>
        </w:rPr>
        <w:t>snapclust.choose.k</w:t>
      </w:r>
      <w:proofErr w:type="spellEnd"/>
      <w:r>
        <w:rPr>
          <w:i/>
        </w:rPr>
        <w:t xml:space="preserve"> </w:t>
      </w:r>
      <w:r>
        <w:t xml:space="preserve">function of </w:t>
      </w:r>
      <w:proofErr w:type="spellStart"/>
      <w:r>
        <w:rPr>
          <w:i/>
        </w:rPr>
        <w:t>adegenet</w:t>
      </w:r>
      <w:proofErr w:type="spellEnd"/>
      <w:r>
        <w:t xml:space="preserve"> for 13 putatively neutral SSR markers that was run to determine the optimal number of genetic clusters (</w:t>
      </w:r>
      <w:r>
        <w:rPr>
          <w:i/>
        </w:rPr>
        <w:t>k</w:t>
      </w:r>
      <w:r>
        <w:t xml:space="preserve">) that best describe the genetic structure of 280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 xml:space="preserve">sporophytes from 10 localities. A) </w:t>
      </w:r>
      <w:proofErr w:type="gramStart"/>
      <w:r>
        <w:t>the</w:t>
      </w:r>
      <w:proofErr w:type="gramEnd"/>
      <w:r>
        <w:t xml:space="preserve"> </w:t>
      </w:r>
      <w:r>
        <w:rPr>
          <w:i/>
        </w:rPr>
        <w:t>k</w:t>
      </w:r>
      <w:r>
        <w:t xml:space="preserve"> value (x-axis) at the lowest </w:t>
      </w:r>
      <w:proofErr w:type="spellStart"/>
      <w:r>
        <w:t>Akaike</w:t>
      </w:r>
      <w:proofErr w:type="spellEnd"/>
      <w:r>
        <w:t xml:space="preserve"> in</w:t>
      </w:r>
      <w:r>
        <w:t xml:space="preserve">formation criterion (AIC, y-axis) represents the most parsimonious determination of the “true” </w:t>
      </w:r>
      <w:r>
        <w:rPr>
          <w:i/>
        </w:rPr>
        <w:t>k</w:t>
      </w:r>
      <w:r>
        <w:t xml:space="preserve">. B) the assignment of the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t xml:space="preserve"> sporophytes to the optimal seven genetic clusters (</w:t>
      </w:r>
      <w:r>
        <w:rPr>
          <w:i/>
        </w:rPr>
        <w:t>k</w:t>
      </w:r>
      <w:r>
        <w:t xml:space="preserve"> = 7). Sampling locality codes are shown on the y-axis. C) Membershi</w:t>
      </w:r>
      <w:r>
        <w:t xml:space="preserve">p probability of the 280 </w:t>
      </w:r>
      <w:r>
        <w:rPr>
          <w:i/>
        </w:rPr>
        <w:t>S</w:t>
      </w:r>
      <w:r>
        <w:t xml:space="preserve">. </w:t>
      </w:r>
      <w:proofErr w:type="spellStart"/>
      <w:r>
        <w:rPr>
          <w:i/>
        </w:rPr>
        <w:t>latissima</w:t>
      </w:r>
      <w:proofErr w:type="spellEnd"/>
      <w:r>
        <w:rPr>
          <w:i/>
        </w:rPr>
        <w:t xml:space="preserve"> </w:t>
      </w:r>
      <w:r>
        <w:t xml:space="preserve">sporophytes (each sample is represented by a vertical bar) to each of seven genetic clusters (each represented by a unique colour) that were determined by the </w:t>
      </w:r>
      <w:proofErr w:type="spellStart"/>
      <w:r>
        <w:rPr>
          <w:i/>
        </w:rPr>
        <w:t>snapclust</w:t>
      </w:r>
      <w:proofErr w:type="spellEnd"/>
      <w:r>
        <w:t xml:space="preserve"> algorithm run on this set of samples. </w:t>
      </w:r>
    </w:p>
    <w:p w:rsidR="00F54263" w:rsidRDefault="00F54263">
      <w:pPr>
        <w:spacing w:after="0" w:line="360" w:lineRule="auto"/>
        <w:ind w:hanging="2"/>
      </w:pPr>
    </w:p>
    <w:p w:rsidR="00F54263" w:rsidRDefault="00BF2422">
      <w:pPr>
        <w:spacing w:after="0" w:line="360" w:lineRule="auto"/>
        <w:ind w:hanging="2"/>
      </w:pPr>
      <w:r w:rsidRPr="00BE1B0B">
        <w:rPr>
          <w:b/>
        </w:rPr>
        <w:t>A)</w:t>
      </w:r>
      <w:r>
        <w:t xml:space="preserve">       </w:t>
      </w:r>
      <w:r>
        <w:t xml:space="preserve">                                                                                      </w:t>
      </w:r>
      <w:r w:rsidRPr="00BE1B0B">
        <w:rPr>
          <w:b/>
        </w:rPr>
        <w:t>B)</w:t>
      </w:r>
    </w:p>
    <w:p w:rsidR="00F54263" w:rsidRDefault="00BF2422">
      <w:pPr>
        <w:ind w:hanging="2"/>
      </w:pP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19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2700000" cy="2696400"/>
            <wp:effectExtent l="0" t="0" r="0" b="0"/>
            <wp:docPr id="20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69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hanging="2"/>
      </w:pPr>
    </w:p>
    <w:p w:rsidR="00F54263" w:rsidRPr="00BE1B0B" w:rsidRDefault="00BF2422">
      <w:pPr>
        <w:ind w:hanging="2"/>
        <w:rPr>
          <w:b/>
        </w:rPr>
      </w:pPr>
      <w:r w:rsidRPr="00BE1B0B">
        <w:rPr>
          <w:b/>
        </w:rPr>
        <w:t>C)</w:t>
      </w:r>
    </w:p>
    <w:p w:rsidR="00F54263" w:rsidRDefault="00BF2422">
      <w:pPr>
        <w:ind w:hanging="2"/>
        <w:sectPr w:rsidR="00F54263" w:rsidSect="00BE1B0B">
          <w:pgSz w:w="11906" w:h="16838"/>
          <w:pgMar w:top="1440" w:right="1440" w:bottom="1440" w:left="1440" w:header="708" w:footer="708" w:gutter="0"/>
          <w:cols w:space="720"/>
          <w:docGrid w:linePitch="299"/>
        </w:sectPr>
      </w:pPr>
      <w:r>
        <w:rPr>
          <w:noProof/>
        </w:rPr>
        <w:drawing>
          <wp:inline distT="0" distB="0" distL="0" distR="0">
            <wp:extent cx="5148000" cy="2520000"/>
            <wp:effectExtent l="0" t="0" r="0" b="0"/>
            <wp:docPr id="21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8000" cy="252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BF2422">
      <w:pPr>
        <w:spacing w:after="0" w:line="360" w:lineRule="auto"/>
        <w:ind w:hanging="2"/>
      </w:pPr>
      <w:bookmarkStart w:id="1" w:name="_gjdgxs" w:colFirst="0" w:colLast="0"/>
      <w:bookmarkEnd w:id="1"/>
      <w:r>
        <w:rPr>
          <w:b/>
        </w:rPr>
        <w:lastRenderedPageBreak/>
        <w:t xml:space="preserve">Figure S8 </w:t>
      </w:r>
      <w:r>
        <w:t xml:space="preserve">Pie charts displaying the proportion of the significant nucleotide-BLAST hits of the 40 </w:t>
      </w:r>
      <w:proofErr w:type="spellStart"/>
      <w:r>
        <w:t>RADSeq</w:t>
      </w:r>
      <w:proofErr w:type="spellEnd"/>
      <w:r>
        <w:t xml:space="preserve"> consensus sequence tags, each ha</w:t>
      </w:r>
      <w:r>
        <w:t xml:space="preserve">rbouring a candidate outlier SNP, to A) 23 species, B) seven phyla, and C) five kingdoms.   </w:t>
      </w:r>
    </w:p>
    <w:p w:rsidR="00F54263" w:rsidRDefault="00F54263">
      <w:pPr>
        <w:ind w:hanging="2"/>
      </w:pPr>
    </w:p>
    <w:p w:rsidR="00F54263" w:rsidRDefault="00BF2422">
      <w:pPr>
        <w:ind w:hanging="2"/>
      </w:pPr>
      <w:r>
        <w:rPr>
          <w:noProof/>
        </w:rPr>
        <w:drawing>
          <wp:inline distT="0" distB="0" distL="0" distR="0">
            <wp:extent cx="5417749" cy="7182152"/>
            <wp:effectExtent l="0" t="0" r="0" b="0"/>
            <wp:docPr id="1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32"/>
                    <a:srcRect l="6513" r="7822"/>
                    <a:stretch>
                      <a:fillRect/>
                    </a:stretch>
                  </pic:blipFill>
                  <pic:spPr>
                    <a:xfrm>
                      <a:off x="0" y="0"/>
                      <a:ext cx="5417749" cy="71821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4263" w:rsidRDefault="00F54263">
      <w:pPr>
        <w:ind w:hanging="2"/>
      </w:pPr>
    </w:p>
    <w:sectPr w:rsidR="00F54263" w:rsidSect="00BE1B0B">
      <w:pgSz w:w="11906" w:h="16838"/>
      <w:pgMar w:top="1440" w:right="1440" w:bottom="1440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422" w:rsidRDefault="00BF2422">
      <w:pPr>
        <w:spacing w:after="0" w:line="240" w:lineRule="auto"/>
      </w:pPr>
      <w:r>
        <w:separator/>
      </w:r>
    </w:p>
  </w:endnote>
  <w:endnote w:type="continuationSeparator" w:id="0">
    <w:p w:rsidR="00BF2422" w:rsidRDefault="00BF2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63" w:rsidRDefault="00F5426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63" w:rsidRDefault="00F5426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63" w:rsidRDefault="00F5426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422" w:rsidRDefault="00BF2422">
      <w:pPr>
        <w:spacing w:after="0" w:line="240" w:lineRule="auto"/>
      </w:pPr>
      <w:r>
        <w:separator/>
      </w:r>
    </w:p>
  </w:footnote>
  <w:footnote w:type="continuationSeparator" w:id="0">
    <w:p w:rsidR="00BF2422" w:rsidRDefault="00BF2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63" w:rsidRDefault="00F5426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63" w:rsidRDefault="00F5426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63" w:rsidRDefault="00F5426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63"/>
    <w:rsid w:val="00BE1B0B"/>
    <w:rsid w:val="00BF2422"/>
    <w:rsid w:val="00F5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FD43D7-0FB9-4CB5-A966-C50373D0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874</Words>
  <Characters>4984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jguzinski</cp:lastModifiedBy>
  <cp:revision>2</cp:revision>
  <dcterms:created xsi:type="dcterms:W3CDTF">2020-11-07T14:40:00Z</dcterms:created>
  <dcterms:modified xsi:type="dcterms:W3CDTF">2020-11-07T14:45:00Z</dcterms:modified>
</cp:coreProperties>
</file>