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83A" w:rsidRDefault="002C4007" w:rsidP="002C4007">
      <w:pPr>
        <w:spacing w:after="0" w:line="480" w:lineRule="auto"/>
      </w:pPr>
      <w:r w:rsidRPr="002C4007">
        <w:rPr>
          <w:noProof/>
        </w:rPr>
        <w:drawing>
          <wp:inline distT="0" distB="0" distL="0" distR="0" wp14:anchorId="5320000E" wp14:editId="5C88ED08">
            <wp:extent cx="5943600" cy="3157855"/>
            <wp:effectExtent l="0" t="0" r="0" b="4445"/>
            <wp:docPr id="4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CA8D7F6D-78AE-4C6B-BED4-5177C535328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>
                      <a:extLst>
                        <a:ext uri="{FF2B5EF4-FFF2-40B4-BE49-F238E27FC236}">
                          <a16:creationId xmlns:a16="http://schemas.microsoft.com/office/drawing/2014/main" id="{CA8D7F6D-78AE-4C6B-BED4-5177C5353286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007" w:rsidRDefault="002C4007" w:rsidP="002C4007">
      <w:pPr>
        <w:spacing w:after="0" w:line="480" w:lineRule="auto"/>
      </w:pPr>
      <w:r>
        <w:t xml:space="preserve">Additional File </w:t>
      </w:r>
      <w:r w:rsidR="009D53D9">
        <w:t>4</w:t>
      </w:r>
      <w:r>
        <w:t xml:space="preserve">. The fluorescence intensity of cells following induction measured by flow cytometry. The top panel of </w:t>
      </w:r>
      <w:bookmarkStart w:id="0" w:name="_GoBack"/>
      <w:bookmarkEnd w:id="0"/>
      <w:r>
        <w:t>A shows the uninduced wild-type cells (HAM501), whereas the bottom panel of A shows the uninduced cells lacking ComEA (AAK502). The top panel of B shows the induced wild-type cells (HAM501), whereas the bottom panel of B shows the induced cells lacking ComEA (AAK502).</w:t>
      </w:r>
    </w:p>
    <w:sectPr w:rsidR="002C4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07"/>
    <w:rsid w:val="001221EE"/>
    <w:rsid w:val="002C4007"/>
    <w:rsid w:val="009D53D9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D9998"/>
  <w15:chartTrackingRefBased/>
  <w15:docId w15:val="{CE688013-1ED1-46BF-8E3E-5E3881BB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 Martin</cp:lastModifiedBy>
  <cp:revision>2</cp:revision>
  <dcterms:created xsi:type="dcterms:W3CDTF">2018-12-17T21:33:00Z</dcterms:created>
  <dcterms:modified xsi:type="dcterms:W3CDTF">2019-12-11T22:37:00Z</dcterms:modified>
</cp:coreProperties>
</file>