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21F" w:rsidRPr="0006209D" w:rsidRDefault="006B221F" w:rsidP="006B221F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  <w:r w:rsidRPr="0006209D">
        <w:rPr>
          <w:rFonts w:ascii="Palatino Linotype" w:hAnsi="Palatino Linotype" w:cs="Times New Roman"/>
          <w:b/>
          <w:iCs/>
          <w:sz w:val="20"/>
          <w:szCs w:val="20"/>
        </w:rPr>
        <w:t xml:space="preserve">Figure S1. </w:t>
      </w:r>
      <w:r w:rsidRPr="0006209D">
        <w:rPr>
          <w:rFonts w:ascii="Palatino Linotype" w:hAnsi="Palatino Linotype" w:cs="Times New Roman"/>
          <w:iCs/>
          <w:sz w:val="20"/>
          <w:szCs w:val="20"/>
        </w:rPr>
        <w:t>Correlation matrix for H</w:t>
      </w:r>
      <w:r w:rsidR="007E73E0" w:rsidRPr="0006209D">
        <w:rPr>
          <w:rFonts w:ascii="Palatino Linotype" w:hAnsi="Palatino Linotype" w:cs="Times New Roman"/>
          <w:iCs/>
          <w:sz w:val="20"/>
          <w:szCs w:val="20"/>
        </w:rPr>
        <w:t>C</w:t>
      </w:r>
      <w:r w:rsidR="009D63E7">
        <w:rPr>
          <w:rFonts w:ascii="Palatino Linotype" w:hAnsi="Palatino Linotype" w:cs="Times New Roman"/>
          <w:iCs/>
          <w:sz w:val="20"/>
          <w:szCs w:val="20"/>
        </w:rPr>
        <w:t xml:space="preserve">C </w:t>
      </w:r>
      <w:r w:rsidRPr="0006209D">
        <w:rPr>
          <w:rFonts w:ascii="Palatino Linotype" w:hAnsi="Palatino Linotype" w:cs="Times New Roman"/>
          <w:iCs/>
          <w:sz w:val="20"/>
          <w:szCs w:val="20"/>
        </w:rPr>
        <w:t>line</w:t>
      </w:r>
      <w:r w:rsidR="00A475EB" w:rsidRPr="0006209D">
        <w:rPr>
          <w:rFonts w:ascii="Palatino Linotype" w:hAnsi="Palatino Linotype" w:cs="Times New Roman"/>
          <w:iCs/>
          <w:sz w:val="20"/>
          <w:szCs w:val="20"/>
        </w:rPr>
        <w:t>s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 pairs based on the expression of 500 genes with the largest cross-sample variation. Red and blue color indicates negative or positive Pearson’s correlation, respectively. </w:t>
      </w:r>
    </w:p>
    <w:p w:rsidR="006B221F" w:rsidRPr="009D63E7" w:rsidRDefault="006B221F" w:rsidP="006B221F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  <w:r w:rsidRPr="0006209D">
        <w:rPr>
          <w:rFonts w:ascii="Palatino Linotype" w:hAnsi="Palatino Linotype" w:cs="Times New Roman"/>
          <w:b/>
          <w:iCs/>
          <w:sz w:val="20"/>
          <w:szCs w:val="20"/>
        </w:rPr>
        <w:t xml:space="preserve">Figure S2. </w:t>
      </w:r>
      <w:r w:rsidRPr="0006209D">
        <w:rPr>
          <w:rFonts w:ascii="Palatino Linotype" w:hAnsi="Palatino Linotype" w:cs="Times New Roman"/>
          <w:iCs/>
          <w:sz w:val="20"/>
          <w:szCs w:val="20"/>
        </w:rPr>
        <w:t>Correlation matrix for H</w:t>
      </w:r>
      <w:r w:rsidR="007E73E0" w:rsidRPr="0006209D">
        <w:rPr>
          <w:rFonts w:ascii="Palatino Linotype" w:hAnsi="Palatino Linotype" w:cs="Times New Roman"/>
          <w:iCs/>
          <w:sz w:val="20"/>
          <w:szCs w:val="20"/>
        </w:rPr>
        <w:t>C</w:t>
      </w:r>
      <w:r w:rsidR="009D63E7">
        <w:rPr>
          <w:rFonts w:ascii="Palatino Linotype" w:hAnsi="Palatino Linotype" w:cs="Times New Roman"/>
          <w:iCs/>
          <w:sz w:val="20"/>
          <w:szCs w:val="20"/>
        </w:rPr>
        <w:t xml:space="preserve">C </w:t>
      </w:r>
      <w:r w:rsidRPr="0006209D">
        <w:rPr>
          <w:rFonts w:ascii="Palatino Linotype" w:hAnsi="Palatino Linotype" w:cs="Times New Roman"/>
          <w:iCs/>
          <w:sz w:val="20"/>
          <w:szCs w:val="20"/>
        </w:rPr>
        <w:t>line</w:t>
      </w:r>
      <w:r w:rsidR="00A475EB" w:rsidRPr="0006209D">
        <w:rPr>
          <w:rFonts w:ascii="Palatino Linotype" w:hAnsi="Palatino Linotype" w:cs="Times New Roman"/>
          <w:iCs/>
          <w:sz w:val="20"/>
          <w:szCs w:val="20"/>
        </w:rPr>
        <w:t>s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 pairs based on the expression of all available 214 proteins/phosphoproteins in the RPPA dataset. Red and blue color indicates negative or positive </w:t>
      </w:r>
      <w:r w:rsidRPr="009D63E7">
        <w:rPr>
          <w:rFonts w:ascii="Palatino Linotype" w:hAnsi="Palatino Linotype" w:cs="Times New Roman"/>
          <w:iCs/>
          <w:sz w:val="20"/>
          <w:szCs w:val="20"/>
        </w:rPr>
        <w:t xml:space="preserve">Pearson’s correlation, respectively. </w:t>
      </w:r>
    </w:p>
    <w:p w:rsidR="006B221F" w:rsidRPr="009D63E7" w:rsidRDefault="006B221F" w:rsidP="006B221F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  <w:r w:rsidRPr="009D63E7">
        <w:rPr>
          <w:rFonts w:ascii="Palatino Linotype" w:hAnsi="Palatino Linotype" w:cs="Times New Roman"/>
          <w:b/>
          <w:iCs/>
          <w:sz w:val="20"/>
          <w:szCs w:val="20"/>
        </w:rPr>
        <w:t xml:space="preserve">Figure S3. </w:t>
      </w:r>
      <w:r w:rsidRPr="009D63E7">
        <w:rPr>
          <w:rFonts w:ascii="Palatino Linotype" w:hAnsi="Palatino Linotype" w:cs="Times New Roman"/>
          <w:iCs/>
          <w:sz w:val="20"/>
          <w:szCs w:val="20"/>
        </w:rPr>
        <w:t xml:space="preserve">BIC results for optimal number of </w:t>
      </w:r>
      <w:r w:rsidRPr="00705933">
        <w:rPr>
          <w:rFonts w:ascii="Palatino Linotype" w:hAnsi="Palatino Linotype" w:cs="Times New Roman"/>
          <w:i/>
          <w:iCs/>
          <w:sz w:val="20"/>
          <w:szCs w:val="20"/>
        </w:rPr>
        <w:t>k</w:t>
      </w:r>
      <w:r w:rsidRPr="009D63E7">
        <w:rPr>
          <w:rFonts w:ascii="Palatino Linotype" w:hAnsi="Palatino Linotype" w:cs="Times New Roman"/>
          <w:iCs/>
          <w:sz w:val="20"/>
          <w:szCs w:val="20"/>
        </w:rPr>
        <w:t>-means clusters based on PC1 scores</w:t>
      </w:r>
      <w:r w:rsidR="008B16E2" w:rsidRPr="009D63E7">
        <w:rPr>
          <w:rFonts w:ascii="Palatino Linotype" w:hAnsi="Palatino Linotype" w:cs="Times New Roman"/>
          <w:iCs/>
          <w:sz w:val="20"/>
          <w:szCs w:val="20"/>
        </w:rPr>
        <w:t>.</w:t>
      </w:r>
      <w:r w:rsidRPr="009D63E7">
        <w:rPr>
          <w:rFonts w:ascii="Palatino Linotype" w:hAnsi="Palatino Linotype" w:cs="Times New Roman"/>
          <w:iCs/>
          <w:sz w:val="20"/>
          <w:szCs w:val="20"/>
        </w:rPr>
        <w:t xml:space="preserve"> </w:t>
      </w:r>
    </w:p>
    <w:p w:rsidR="00FB10B8" w:rsidRPr="009D63E7" w:rsidRDefault="00FB10B8" w:rsidP="006B221F">
      <w:pPr>
        <w:spacing w:after="200" w:line="276" w:lineRule="auto"/>
        <w:jc w:val="both"/>
        <w:rPr>
          <w:rFonts w:ascii="Palatino Linotype" w:hAnsi="Palatino Linotype" w:cs="Times New Roman"/>
          <w:b/>
          <w:iCs/>
          <w:sz w:val="20"/>
          <w:szCs w:val="20"/>
        </w:rPr>
      </w:pPr>
      <w:r w:rsidRPr="009D63E7">
        <w:rPr>
          <w:rFonts w:ascii="Palatino Linotype" w:hAnsi="Palatino Linotype" w:cs="Times New Roman"/>
          <w:b/>
          <w:iCs/>
          <w:sz w:val="20"/>
          <w:szCs w:val="20"/>
        </w:rPr>
        <w:t xml:space="preserve">Figure S4. </w:t>
      </w:r>
      <w:r w:rsidR="009D63E7" w:rsidRPr="009D63E7">
        <w:rPr>
          <w:rFonts w:ascii="Palatino Linotype" w:hAnsi="Palatino Linotype" w:cs="Times New Roman"/>
          <w:iCs/>
          <w:sz w:val="20"/>
          <w:szCs w:val="20"/>
        </w:rPr>
        <w:t xml:space="preserve">PCA of HCC </w:t>
      </w:r>
      <w:r w:rsidRPr="009D63E7">
        <w:rPr>
          <w:rFonts w:ascii="Palatino Linotype" w:hAnsi="Palatino Linotype" w:cs="Times New Roman"/>
          <w:iCs/>
          <w:sz w:val="20"/>
          <w:szCs w:val="20"/>
        </w:rPr>
        <w:t xml:space="preserve">lines based on CCLE RNAseq gene expression data </w:t>
      </w:r>
      <w:r w:rsidR="00B52579" w:rsidRPr="00705933">
        <w:rPr>
          <w:rFonts w:ascii="Palatino Linotype" w:hAnsi="Palatino Linotype" w:cs="Times New Roman"/>
          <w:b/>
          <w:iCs/>
          <w:sz w:val="20"/>
          <w:szCs w:val="20"/>
        </w:rPr>
        <w:t>(</w:t>
      </w:r>
      <w:r w:rsidRPr="00705933">
        <w:rPr>
          <w:rFonts w:ascii="Palatino Linotype" w:hAnsi="Palatino Linotype" w:cs="Times New Roman"/>
          <w:b/>
          <w:iCs/>
          <w:sz w:val="20"/>
          <w:szCs w:val="20"/>
        </w:rPr>
        <w:t>A)</w:t>
      </w:r>
      <w:r w:rsidRPr="009D63E7">
        <w:rPr>
          <w:rFonts w:ascii="Palatino Linotype" w:hAnsi="Palatino Linotype" w:cs="Times New Roman"/>
          <w:iCs/>
          <w:sz w:val="20"/>
          <w:szCs w:val="20"/>
        </w:rPr>
        <w:t xml:space="preserve"> for 488 common genes out of the 500 most variant genes in the microarray dataset </w:t>
      </w:r>
      <w:r w:rsidR="00B52579" w:rsidRPr="00705933">
        <w:rPr>
          <w:rFonts w:ascii="Palatino Linotype" w:hAnsi="Palatino Linotype" w:cs="Times New Roman"/>
          <w:b/>
          <w:iCs/>
          <w:sz w:val="20"/>
          <w:szCs w:val="20"/>
        </w:rPr>
        <w:t>(</w:t>
      </w:r>
      <w:r w:rsidRPr="00705933">
        <w:rPr>
          <w:rFonts w:ascii="Palatino Linotype" w:hAnsi="Palatino Linotype" w:cs="Times New Roman"/>
          <w:b/>
          <w:iCs/>
          <w:sz w:val="20"/>
          <w:szCs w:val="20"/>
        </w:rPr>
        <w:t>B)</w:t>
      </w:r>
      <w:r w:rsidRPr="009D63E7">
        <w:rPr>
          <w:rFonts w:ascii="Palatino Linotype" w:hAnsi="Palatino Linotype" w:cs="Times New Roman"/>
          <w:iCs/>
          <w:sz w:val="20"/>
          <w:szCs w:val="20"/>
        </w:rPr>
        <w:t xml:space="preserve"> for the 500 most variant gene</w:t>
      </w:r>
      <w:r w:rsidR="009D63E7">
        <w:rPr>
          <w:rFonts w:ascii="Palatino Linotype" w:hAnsi="Palatino Linotype" w:cs="Times New Roman"/>
          <w:iCs/>
          <w:sz w:val="20"/>
          <w:szCs w:val="20"/>
        </w:rPr>
        <w:t xml:space="preserve">s in the RNAseq dataset. 21 HCC </w:t>
      </w:r>
      <w:r w:rsidRPr="009D63E7">
        <w:rPr>
          <w:rFonts w:ascii="Palatino Linotype" w:hAnsi="Palatino Linotype" w:cs="Times New Roman"/>
          <w:iCs/>
          <w:sz w:val="20"/>
          <w:szCs w:val="20"/>
        </w:rPr>
        <w:t xml:space="preserve">lines </w:t>
      </w:r>
      <w:r w:rsidR="00DD5F12" w:rsidRPr="009D63E7">
        <w:rPr>
          <w:rFonts w:ascii="Palatino Linotype" w:hAnsi="Palatino Linotype" w:cs="Times New Roman"/>
          <w:iCs/>
          <w:sz w:val="20"/>
          <w:szCs w:val="20"/>
        </w:rPr>
        <w:t xml:space="preserve">are </w:t>
      </w:r>
      <w:r w:rsidRPr="009D63E7">
        <w:rPr>
          <w:rFonts w:ascii="Palatino Linotype" w:hAnsi="Palatino Linotype" w:cs="Times New Roman"/>
          <w:iCs/>
          <w:sz w:val="20"/>
          <w:szCs w:val="20"/>
        </w:rPr>
        <w:t xml:space="preserve">indicated by blue color. </w:t>
      </w:r>
      <w:r w:rsidR="00DA1469" w:rsidRPr="009D63E7">
        <w:rPr>
          <w:rFonts w:ascii="Palatino Linotype" w:hAnsi="Palatino Linotype" w:cs="Times New Roman"/>
          <w:iCs/>
          <w:sz w:val="20"/>
          <w:szCs w:val="20"/>
        </w:rPr>
        <w:t>A</w:t>
      </w:r>
      <w:r w:rsidR="00F522B6" w:rsidRPr="009D63E7">
        <w:rPr>
          <w:rFonts w:ascii="Palatino Linotype" w:hAnsi="Palatino Linotype" w:cs="Times New Roman"/>
          <w:iCs/>
          <w:sz w:val="20"/>
          <w:szCs w:val="20"/>
        </w:rPr>
        <w:t xml:space="preserve">lmost identical (A) or extremely similar (B) results with Figure 1A can be observed. </w:t>
      </w:r>
      <w:r w:rsidRPr="009D63E7">
        <w:rPr>
          <w:rFonts w:ascii="Palatino Linotype" w:hAnsi="Palatino Linotype" w:cs="Times New Roman"/>
          <w:iCs/>
          <w:sz w:val="20"/>
          <w:szCs w:val="20"/>
        </w:rPr>
        <w:t>RNAseq data were downloaded as raw gene-level counts (file name CCLE_RNAseq_genes_counts_20180929.gct.gz) from CCLE, consequently normalized by TMM method of normalization implemented in the edgeR package and finally transformed in log</w:t>
      </w:r>
      <w:r w:rsidRPr="009D63E7">
        <w:rPr>
          <w:rFonts w:ascii="Palatino Linotype" w:hAnsi="Palatino Linotype" w:cs="Times New Roman"/>
          <w:iCs/>
          <w:sz w:val="20"/>
          <w:szCs w:val="20"/>
          <w:vertAlign w:val="subscript"/>
        </w:rPr>
        <w:t xml:space="preserve">2 </w:t>
      </w:r>
      <w:r w:rsidRPr="009D63E7">
        <w:rPr>
          <w:rFonts w:ascii="Palatino Linotype" w:hAnsi="Palatino Linotype" w:cs="Times New Roman"/>
          <w:iCs/>
          <w:sz w:val="20"/>
          <w:szCs w:val="20"/>
        </w:rPr>
        <w:t>scale.</w:t>
      </w:r>
    </w:p>
    <w:p w:rsidR="006B221F" w:rsidRPr="0006209D" w:rsidRDefault="006B221F" w:rsidP="006B221F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  <w:r w:rsidRPr="009D63E7">
        <w:rPr>
          <w:rFonts w:ascii="Palatino Linotype" w:hAnsi="Palatino Linotype" w:cs="Times New Roman"/>
          <w:b/>
          <w:iCs/>
          <w:sz w:val="20"/>
          <w:szCs w:val="20"/>
        </w:rPr>
        <w:t>Figure S</w:t>
      </w:r>
      <w:r w:rsidR="00FB10B8" w:rsidRPr="009D63E7">
        <w:rPr>
          <w:rFonts w:ascii="Palatino Linotype" w:hAnsi="Palatino Linotype" w:cs="Times New Roman"/>
          <w:b/>
          <w:iCs/>
          <w:sz w:val="20"/>
          <w:szCs w:val="20"/>
        </w:rPr>
        <w:t>5</w:t>
      </w:r>
      <w:r w:rsidRPr="009D63E7">
        <w:rPr>
          <w:rFonts w:ascii="Palatino Linotype" w:hAnsi="Palatino Linotype" w:cs="Times New Roman"/>
          <w:b/>
          <w:iCs/>
          <w:sz w:val="20"/>
          <w:szCs w:val="20"/>
        </w:rPr>
        <w:t xml:space="preserve">. </w:t>
      </w:r>
      <w:r w:rsidRPr="009D63E7">
        <w:rPr>
          <w:rFonts w:ascii="Palatino Linotype" w:hAnsi="Palatino Linotype" w:cs="Times New Roman"/>
          <w:iCs/>
          <w:sz w:val="20"/>
          <w:szCs w:val="20"/>
        </w:rPr>
        <w:t>BIC results for optimal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 number of </w:t>
      </w:r>
      <w:r w:rsidRPr="00705933">
        <w:rPr>
          <w:rFonts w:ascii="Palatino Linotype" w:hAnsi="Palatino Linotype" w:cs="Times New Roman"/>
          <w:i/>
          <w:iCs/>
          <w:sz w:val="20"/>
          <w:szCs w:val="20"/>
        </w:rPr>
        <w:t>k</w:t>
      </w:r>
      <w:r w:rsidRPr="0006209D">
        <w:rPr>
          <w:rFonts w:ascii="Palatino Linotype" w:hAnsi="Palatino Linotype" w:cs="Times New Roman"/>
          <w:iCs/>
          <w:sz w:val="20"/>
          <w:szCs w:val="20"/>
        </w:rPr>
        <w:t>-means clusters based on computed cell line ssGSEA SU_LIVER enrichment scores</w:t>
      </w:r>
      <w:r w:rsidR="008B16E2" w:rsidRPr="0006209D">
        <w:rPr>
          <w:rFonts w:ascii="Palatino Linotype" w:hAnsi="Palatino Linotype" w:cs="Times New Roman"/>
          <w:iCs/>
          <w:sz w:val="20"/>
          <w:szCs w:val="20"/>
        </w:rPr>
        <w:t>.</w:t>
      </w:r>
    </w:p>
    <w:p w:rsidR="0006209D" w:rsidRPr="0006209D" w:rsidRDefault="006B221F" w:rsidP="001E004F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  <w:r w:rsidRPr="0006209D">
        <w:rPr>
          <w:rFonts w:ascii="Palatino Linotype" w:hAnsi="Palatino Linotype" w:cs="Times New Roman"/>
          <w:b/>
          <w:iCs/>
          <w:sz w:val="20"/>
          <w:szCs w:val="20"/>
        </w:rPr>
        <w:t>Figure S</w:t>
      </w:r>
      <w:r w:rsidR="00FB10B8">
        <w:rPr>
          <w:rFonts w:ascii="Palatino Linotype" w:hAnsi="Palatino Linotype" w:cs="Times New Roman"/>
          <w:b/>
          <w:iCs/>
          <w:sz w:val="20"/>
          <w:szCs w:val="20"/>
        </w:rPr>
        <w:t>6</w:t>
      </w:r>
      <w:r w:rsidRPr="0006209D">
        <w:rPr>
          <w:rFonts w:ascii="Palatino Linotype" w:hAnsi="Palatino Linotype" w:cs="Times New Roman"/>
          <w:b/>
          <w:iCs/>
          <w:sz w:val="20"/>
          <w:szCs w:val="20"/>
        </w:rPr>
        <w:t>.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 </w:t>
      </w:r>
      <w:r w:rsidR="0006209D" w:rsidRPr="0006209D">
        <w:rPr>
          <w:rFonts w:ascii="Palatino Linotype" w:hAnsi="Palatino Linotype" w:cs="Times New Roman"/>
          <w:iCs/>
          <w:sz w:val="20"/>
          <w:szCs w:val="20"/>
        </w:rPr>
        <w:t xml:space="preserve">Heatmap illustrating the </w:t>
      </w:r>
      <w:r w:rsidR="009D63E7">
        <w:rPr>
          <w:rFonts w:ascii="Palatino Linotype" w:hAnsi="Palatino Linotype" w:cs="Times New Roman"/>
          <w:iCs/>
          <w:sz w:val="20"/>
          <w:szCs w:val="20"/>
        </w:rPr>
        <w:t xml:space="preserve">gene expression patterns of HCC </w:t>
      </w:r>
      <w:r w:rsidR="0006209D" w:rsidRPr="0006209D">
        <w:rPr>
          <w:rFonts w:ascii="Palatino Linotype" w:hAnsi="Palatino Linotype" w:cs="Times New Roman"/>
          <w:iCs/>
          <w:sz w:val="20"/>
          <w:szCs w:val="20"/>
        </w:rPr>
        <w:t>lines (columns) based on the identified DEGs (rows). Scale</w:t>
      </w:r>
      <w:r w:rsidR="001A14CC">
        <w:rPr>
          <w:rFonts w:ascii="Palatino Linotype" w:hAnsi="Palatino Linotype" w:cs="Times New Roman"/>
          <w:iCs/>
          <w:sz w:val="20"/>
          <w:szCs w:val="20"/>
        </w:rPr>
        <w:t>d values indicate relative downregulation (green color) or up</w:t>
      </w:r>
      <w:r w:rsidR="0006209D" w:rsidRPr="0006209D">
        <w:rPr>
          <w:rFonts w:ascii="Palatino Linotype" w:hAnsi="Palatino Linotype" w:cs="Times New Roman"/>
          <w:iCs/>
          <w:sz w:val="20"/>
          <w:szCs w:val="20"/>
        </w:rPr>
        <w:t xml:space="preserve">regulation (red color) of gene expression. </w:t>
      </w:r>
    </w:p>
    <w:p w:rsidR="0006209D" w:rsidRPr="0006209D" w:rsidRDefault="0006209D" w:rsidP="0006209D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  <w:r w:rsidRPr="0006209D">
        <w:rPr>
          <w:rFonts w:ascii="Palatino Linotype" w:hAnsi="Palatino Linotype" w:cs="Times New Roman"/>
          <w:b/>
          <w:iCs/>
          <w:sz w:val="20"/>
          <w:szCs w:val="20"/>
        </w:rPr>
        <w:t>Figure S</w:t>
      </w:r>
      <w:r w:rsidR="00FB10B8">
        <w:rPr>
          <w:rFonts w:ascii="Times New Roman" w:hAnsi="Times New Roman" w:cs="Times New Roman"/>
          <w:b/>
          <w:iCs/>
          <w:sz w:val="20"/>
          <w:szCs w:val="20"/>
        </w:rPr>
        <w:t>7</w:t>
      </w:r>
      <w:r w:rsidRPr="0006209D">
        <w:rPr>
          <w:rFonts w:ascii="Palatino Linotype" w:hAnsi="Palatino Linotype" w:cs="Times New Roman"/>
          <w:b/>
          <w:iCs/>
          <w:sz w:val="20"/>
          <w:szCs w:val="20"/>
        </w:rPr>
        <w:t>.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 Heatmap illustrating the pro</w:t>
      </w:r>
      <w:r w:rsidR="009D63E7">
        <w:rPr>
          <w:rFonts w:ascii="Palatino Linotype" w:hAnsi="Palatino Linotype" w:cs="Times New Roman"/>
          <w:iCs/>
          <w:sz w:val="20"/>
          <w:szCs w:val="20"/>
        </w:rPr>
        <w:t xml:space="preserve">tein expression patterns of HCC </w:t>
      </w:r>
      <w:r w:rsidRPr="0006209D">
        <w:rPr>
          <w:rFonts w:ascii="Palatino Linotype" w:hAnsi="Palatino Linotype" w:cs="Times New Roman"/>
          <w:iCs/>
          <w:sz w:val="20"/>
          <w:szCs w:val="20"/>
        </w:rPr>
        <w:t>lines (columns) based on the identified DEPs (rows). Scale</w:t>
      </w:r>
      <w:r w:rsidR="001A14CC">
        <w:rPr>
          <w:rFonts w:ascii="Palatino Linotype" w:hAnsi="Palatino Linotype" w:cs="Times New Roman"/>
          <w:iCs/>
          <w:sz w:val="20"/>
          <w:szCs w:val="20"/>
        </w:rPr>
        <w:t>d values indicate relative</w:t>
      </w:r>
      <w:bookmarkStart w:id="0" w:name="_GoBack"/>
      <w:bookmarkEnd w:id="0"/>
      <w:r w:rsidR="001A14CC">
        <w:rPr>
          <w:rFonts w:ascii="Palatino Linotype" w:hAnsi="Palatino Linotype" w:cs="Times New Roman"/>
          <w:iCs/>
          <w:sz w:val="20"/>
          <w:szCs w:val="20"/>
        </w:rPr>
        <w:t xml:space="preserve"> downregulation (green color) or up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regulation (red color) of protein expression. </w:t>
      </w:r>
    </w:p>
    <w:p w:rsidR="0006209D" w:rsidRPr="0006209D" w:rsidRDefault="0006209D" w:rsidP="0006209D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  <w:r w:rsidRPr="0006209D">
        <w:rPr>
          <w:rFonts w:ascii="Palatino Linotype" w:hAnsi="Palatino Linotype" w:cs="Times New Roman"/>
          <w:b/>
          <w:iCs/>
          <w:sz w:val="20"/>
          <w:szCs w:val="20"/>
        </w:rPr>
        <w:t>Figure S</w:t>
      </w:r>
      <w:r w:rsidR="00FB10B8">
        <w:rPr>
          <w:rFonts w:ascii="Palatino Linotype" w:hAnsi="Palatino Linotype" w:cs="Times New Roman"/>
          <w:b/>
          <w:iCs/>
          <w:sz w:val="20"/>
          <w:szCs w:val="20"/>
        </w:rPr>
        <w:t>8</w:t>
      </w:r>
      <w:r w:rsidRPr="0006209D">
        <w:rPr>
          <w:rFonts w:ascii="Palatino Linotype" w:hAnsi="Palatino Linotype" w:cs="Times New Roman"/>
          <w:b/>
          <w:iCs/>
          <w:sz w:val="20"/>
          <w:szCs w:val="20"/>
        </w:rPr>
        <w:t>.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 GO systemic processes and involved hub genes. Red color indicates over</w:t>
      </w:r>
      <w:r w:rsidR="001A14CC">
        <w:rPr>
          <w:rFonts w:ascii="Palatino Linotype" w:hAnsi="Palatino Linotype" w:cs="Times New Roman"/>
          <w:iCs/>
          <w:sz w:val="20"/>
          <w:szCs w:val="20"/>
        </w:rPr>
        <w:t>expressed and blue color under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expressed genes. </w:t>
      </w:r>
    </w:p>
    <w:p w:rsidR="0006209D" w:rsidRPr="0006209D" w:rsidRDefault="0006209D" w:rsidP="0006209D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  <w:r w:rsidRPr="0006209D">
        <w:rPr>
          <w:rFonts w:ascii="Palatino Linotype" w:hAnsi="Palatino Linotype" w:cs="Times New Roman"/>
          <w:b/>
          <w:iCs/>
          <w:sz w:val="20"/>
          <w:szCs w:val="20"/>
        </w:rPr>
        <w:t>Figure S</w:t>
      </w:r>
      <w:r w:rsidR="00FB10B8">
        <w:rPr>
          <w:rFonts w:ascii="Palatino Linotype" w:hAnsi="Palatino Linotype" w:cs="Times New Roman"/>
          <w:b/>
          <w:iCs/>
          <w:sz w:val="20"/>
          <w:szCs w:val="20"/>
        </w:rPr>
        <w:t>9</w:t>
      </w:r>
      <w:r w:rsidRPr="0006209D">
        <w:rPr>
          <w:rFonts w:ascii="Palatino Linotype" w:hAnsi="Palatino Linotype" w:cs="Times New Roman"/>
          <w:b/>
          <w:iCs/>
          <w:sz w:val="20"/>
          <w:szCs w:val="20"/>
        </w:rPr>
        <w:t>.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 Reactome Pathway systemic processes and involved hub genes. Red color indicates over</w:t>
      </w:r>
      <w:r w:rsidR="001A14CC">
        <w:rPr>
          <w:rFonts w:ascii="Palatino Linotype" w:hAnsi="Palatino Linotype" w:cs="Times New Roman"/>
          <w:iCs/>
          <w:sz w:val="20"/>
          <w:szCs w:val="20"/>
        </w:rPr>
        <w:t>expressed and blue color under</w:t>
      </w:r>
      <w:r w:rsidRPr="0006209D">
        <w:rPr>
          <w:rFonts w:ascii="Palatino Linotype" w:hAnsi="Palatino Linotype" w:cs="Times New Roman"/>
          <w:iCs/>
          <w:sz w:val="20"/>
          <w:szCs w:val="20"/>
        </w:rPr>
        <w:t xml:space="preserve">expressed genes. </w:t>
      </w:r>
    </w:p>
    <w:p w:rsidR="006B221F" w:rsidRPr="006B221F" w:rsidRDefault="006B221F" w:rsidP="006B221F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</w:p>
    <w:p w:rsidR="006B221F" w:rsidRPr="006B221F" w:rsidRDefault="006B221F" w:rsidP="006B221F">
      <w:pPr>
        <w:spacing w:after="200" w:line="276" w:lineRule="auto"/>
        <w:jc w:val="both"/>
        <w:rPr>
          <w:rFonts w:ascii="Palatino Linotype" w:hAnsi="Palatino Linotype" w:cs="Times New Roman"/>
          <w:iCs/>
          <w:sz w:val="20"/>
          <w:szCs w:val="20"/>
        </w:rPr>
      </w:pPr>
    </w:p>
    <w:p w:rsidR="00EF12D2" w:rsidRDefault="00EF12D2"/>
    <w:sectPr w:rsidR="00EF12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B"/>
    <w:rsid w:val="0006209D"/>
    <w:rsid w:val="001A14CC"/>
    <w:rsid w:val="001E004F"/>
    <w:rsid w:val="00326E47"/>
    <w:rsid w:val="00334111"/>
    <w:rsid w:val="004C2FB6"/>
    <w:rsid w:val="005A0B45"/>
    <w:rsid w:val="006B221F"/>
    <w:rsid w:val="00705933"/>
    <w:rsid w:val="007E73E0"/>
    <w:rsid w:val="008927FB"/>
    <w:rsid w:val="008B16E2"/>
    <w:rsid w:val="009D63E7"/>
    <w:rsid w:val="00A475EB"/>
    <w:rsid w:val="00B52579"/>
    <w:rsid w:val="00C14DFF"/>
    <w:rsid w:val="00CB289F"/>
    <w:rsid w:val="00CC399E"/>
    <w:rsid w:val="00DA1469"/>
    <w:rsid w:val="00DD5F12"/>
    <w:rsid w:val="00E04341"/>
    <w:rsid w:val="00EF12D2"/>
    <w:rsid w:val="00F522B6"/>
    <w:rsid w:val="00FB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302239-F700-4336-A8D9-3415A58B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panagiout@gmail.com</dc:creator>
  <cp:keywords/>
  <dc:description/>
  <cp:lastModifiedBy>panagiout@gmail.com</cp:lastModifiedBy>
  <cp:revision>24</cp:revision>
  <dcterms:created xsi:type="dcterms:W3CDTF">2020-03-27T19:09:00Z</dcterms:created>
  <dcterms:modified xsi:type="dcterms:W3CDTF">2020-06-04T13:20:00Z</dcterms:modified>
</cp:coreProperties>
</file>