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82EF29" w14:textId="1599894F" w:rsidR="004115B3" w:rsidRDefault="004115B3" w:rsidP="005554A7">
      <w:pPr>
        <w:adjustRightInd w:val="0"/>
        <w:snapToGrid w:val="0"/>
        <w:jc w:val="both"/>
        <w:rPr>
          <w:rFonts w:ascii="Palatino Linotype" w:hAnsi="Palatino Linotype"/>
          <w:color w:val="222222"/>
          <w:shd w:val="clear" w:color="auto" w:fill="FFFFFF"/>
          <w:lang w:val="en-US"/>
        </w:rPr>
      </w:pPr>
      <w:r w:rsidRPr="005554A7">
        <w:rPr>
          <w:rFonts w:ascii="Palatino Linotype" w:hAnsi="Palatino Linotype"/>
          <w:color w:val="222222"/>
          <w:shd w:val="clear" w:color="auto" w:fill="FFFFFF"/>
          <w:lang w:val="en-US"/>
        </w:rPr>
        <w:t>Supplementary Figures</w:t>
      </w:r>
    </w:p>
    <w:p w14:paraId="1FA3DFBC" w14:textId="77777777" w:rsidR="002D4B3D" w:rsidRDefault="002D4B3D" w:rsidP="002D4B3D">
      <w:pPr>
        <w:pStyle w:val="MDPI52figure"/>
      </w:pPr>
      <w:r>
        <w:rPr>
          <w:noProof/>
        </w:rPr>
        <w:drawing>
          <wp:inline distT="0" distB="0" distL="0" distR="0" wp14:anchorId="42D724A6" wp14:editId="52A5C141">
            <wp:extent cx="5692140" cy="3216893"/>
            <wp:effectExtent l="0" t="0" r="3810" b="317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3938" cy="32179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CB004B" w14:textId="77777777" w:rsidR="002D4B3D" w:rsidRPr="005554A7" w:rsidRDefault="002D4B3D" w:rsidP="002D4B3D">
      <w:pPr>
        <w:pStyle w:val="MDPI51figurecaption"/>
        <w:ind w:left="425" w:right="425"/>
        <w:jc w:val="both"/>
      </w:pPr>
      <w:r w:rsidRPr="005554A7">
        <w:rPr>
          <w:b/>
          <w:bCs/>
        </w:rPr>
        <w:t xml:space="preserve">Figure </w:t>
      </w:r>
      <w:r>
        <w:rPr>
          <w:b/>
          <w:bCs/>
        </w:rPr>
        <w:t>S1</w:t>
      </w:r>
      <w:r w:rsidRPr="005554A7">
        <w:rPr>
          <w:b/>
          <w:bCs/>
        </w:rPr>
        <w:t xml:space="preserve">. </w:t>
      </w:r>
      <w:r w:rsidRPr="005554A7">
        <w:t xml:space="preserve">Negative controls for mRNA </w:t>
      </w:r>
      <w:r w:rsidRPr="005554A7">
        <w:rPr>
          <w:i/>
          <w:iCs/>
        </w:rPr>
        <w:t xml:space="preserve">in situ </w:t>
      </w:r>
      <w:proofErr w:type="spellStart"/>
      <w:r w:rsidRPr="005554A7">
        <w:t>hybridisation</w:t>
      </w:r>
      <w:proofErr w:type="spellEnd"/>
      <w:r w:rsidRPr="005554A7">
        <w:t xml:space="preserve"> (ISH), immunohistochemistry (IHC) and immunofluorescence (IF).</w:t>
      </w:r>
      <w:r w:rsidRPr="005554A7">
        <w:rPr>
          <w:b/>
          <w:bCs/>
        </w:rPr>
        <w:t xml:space="preserve"> </w:t>
      </w:r>
      <w:r w:rsidRPr="005554A7">
        <w:t xml:space="preserve">ISH performed using </w:t>
      </w:r>
      <w:r w:rsidRPr="005554A7">
        <w:rPr>
          <w:i/>
          <w:iCs/>
        </w:rPr>
        <w:t xml:space="preserve">Igf2 </w:t>
      </w:r>
      <w:r w:rsidRPr="005554A7">
        <w:t>(</w:t>
      </w:r>
      <w:r w:rsidRPr="002D4B3D">
        <w:rPr>
          <w:b/>
          <w:bCs/>
        </w:rPr>
        <w:t>A</w:t>
      </w:r>
      <w:r w:rsidRPr="005554A7">
        <w:t xml:space="preserve">), </w:t>
      </w:r>
      <w:r w:rsidRPr="005554A7">
        <w:rPr>
          <w:i/>
          <w:iCs/>
        </w:rPr>
        <w:t xml:space="preserve">Cdkn1c </w:t>
      </w:r>
      <w:r w:rsidRPr="005554A7">
        <w:t>(</w:t>
      </w:r>
      <w:r w:rsidRPr="002D4B3D">
        <w:rPr>
          <w:b/>
          <w:bCs/>
        </w:rPr>
        <w:t>B</w:t>
      </w:r>
      <w:r w:rsidRPr="005554A7">
        <w:t xml:space="preserve">) and </w:t>
      </w:r>
      <w:proofErr w:type="spellStart"/>
      <w:r w:rsidRPr="005554A7">
        <w:rPr>
          <w:i/>
          <w:iCs/>
        </w:rPr>
        <w:t>Nnat</w:t>
      </w:r>
      <w:proofErr w:type="spellEnd"/>
      <w:r w:rsidRPr="005554A7">
        <w:rPr>
          <w:i/>
          <w:iCs/>
        </w:rPr>
        <w:t xml:space="preserve"> </w:t>
      </w:r>
      <w:r w:rsidRPr="005554A7">
        <w:t>(</w:t>
      </w:r>
      <w:r w:rsidRPr="002D4B3D">
        <w:rPr>
          <w:b/>
          <w:bCs/>
        </w:rPr>
        <w:t>C</w:t>
      </w:r>
      <w:r w:rsidRPr="005554A7">
        <w:t>) sense probes and IHC performed using goat α-rabbit secondary antibody biotinylated in absence of primary antibody (</w:t>
      </w:r>
      <w:r w:rsidRPr="002D4B3D">
        <w:rPr>
          <w:b/>
          <w:bCs/>
        </w:rPr>
        <w:t>D</w:t>
      </w:r>
      <w:r w:rsidRPr="005554A7">
        <w:t>), which serves as negative control for both GRB10 and SOX2 in Figure 2. E and F show sections stained with goat α-mouse secondary antibody conjugated with a 488-fluorochrome (</w:t>
      </w:r>
      <w:r w:rsidRPr="002D4B3D">
        <w:rPr>
          <w:b/>
          <w:bCs/>
        </w:rPr>
        <w:t>E</w:t>
      </w:r>
      <w:r w:rsidRPr="005554A7">
        <w:t>) or goat α-rabbit secondary antibody conjugated with a 594-fluorochrome (</w:t>
      </w:r>
      <w:r w:rsidRPr="002D4B3D">
        <w:rPr>
          <w:b/>
          <w:bCs/>
        </w:rPr>
        <w:t>F</w:t>
      </w:r>
      <w:r w:rsidRPr="005554A7">
        <w:t xml:space="preserve">) in absence of primary antibody, which represent the negative control for DDC and GH, respectively, in the IF experiment shown in Figure 4. Scale bar in A represents 50 </w:t>
      </w:r>
      <w:proofErr w:type="spellStart"/>
      <w:r w:rsidRPr="005554A7">
        <w:t>μm</w:t>
      </w:r>
      <w:proofErr w:type="spellEnd"/>
      <w:r w:rsidRPr="005554A7">
        <w:t xml:space="preserve"> for A-D; scale bar in E represents 25 </w:t>
      </w:r>
      <w:proofErr w:type="spellStart"/>
      <w:r w:rsidRPr="005554A7">
        <w:t>μm</w:t>
      </w:r>
      <w:proofErr w:type="spellEnd"/>
      <w:r w:rsidRPr="005554A7">
        <w:t xml:space="preserve"> for E-F (</w:t>
      </w:r>
      <w:r w:rsidRPr="005554A7">
        <w:rPr>
          <w:i/>
        </w:rPr>
        <w:t>n</w:t>
      </w:r>
      <w:r>
        <w:rPr>
          <w:i/>
        </w:rPr>
        <w:t xml:space="preserve"> </w:t>
      </w:r>
      <w:r w:rsidRPr="005554A7">
        <w:t>=</w:t>
      </w:r>
      <w:r>
        <w:rPr>
          <w:i/>
        </w:rPr>
        <w:t xml:space="preserve"> </w:t>
      </w:r>
      <w:r w:rsidRPr="005554A7">
        <w:t>1).</w:t>
      </w:r>
    </w:p>
    <w:p w14:paraId="69A2474F" w14:textId="6B58083B" w:rsidR="005554A7" w:rsidRPr="005554A7" w:rsidRDefault="005554A7" w:rsidP="005554A7">
      <w:pPr>
        <w:pStyle w:val="MDPI52figure"/>
        <w:rPr>
          <w:shd w:val="clear" w:color="auto" w:fill="FFFFFF"/>
        </w:rPr>
      </w:pPr>
      <w:r w:rsidRPr="005554A7">
        <w:rPr>
          <w:noProof/>
          <w:shd w:val="clear" w:color="auto" w:fill="FFFFFF"/>
        </w:rPr>
        <w:lastRenderedPageBreak/>
        <w:drawing>
          <wp:inline distT="0" distB="0" distL="0" distR="0" wp14:anchorId="4C33B01B" wp14:editId="1961A78F">
            <wp:extent cx="6192982" cy="862073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7952" cy="86276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3B85C8" w14:textId="55AFCCCC" w:rsidR="004115B3" w:rsidRPr="005554A7" w:rsidRDefault="005554A7" w:rsidP="005554A7">
      <w:pPr>
        <w:pStyle w:val="MDPI51figurecaption"/>
        <w:ind w:left="425" w:right="425"/>
        <w:jc w:val="both"/>
      </w:pPr>
      <w:bookmarkStart w:id="0" w:name="_Hlk59439805"/>
      <w:r w:rsidRPr="005554A7">
        <w:rPr>
          <w:b/>
          <w:bCs/>
        </w:rPr>
        <w:t xml:space="preserve">Figure </w:t>
      </w:r>
      <w:r>
        <w:rPr>
          <w:b/>
          <w:bCs/>
        </w:rPr>
        <w:t>S</w:t>
      </w:r>
      <w:r w:rsidR="002D4B3D">
        <w:rPr>
          <w:b/>
          <w:bCs/>
        </w:rPr>
        <w:t>2</w:t>
      </w:r>
      <w:r w:rsidRPr="005554A7">
        <w:rPr>
          <w:b/>
          <w:bCs/>
        </w:rPr>
        <w:t xml:space="preserve">. </w:t>
      </w:r>
      <w:r w:rsidR="004115B3" w:rsidRPr="005554A7">
        <w:t xml:space="preserve">Heatmap showing expression of imprinted genes in anterior pituitary </w:t>
      </w:r>
      <w:r w:rsidR="4178967B" w:rsidRPr="005554A7">
        <w:t xml:space="preserve">(AP) </w:t>
      </w:r>
      <w:r w:rsidR="004115B3" w:rsidRPr="005554A7">
        <w:t>samples in embryo and adult</w:t>
      </w:r>
      <w:r w:rsidR="0071700F" w:rsidRPr="005554A7">
        <w:t>.</w:t>
      </w:r>
      <w:r w:rsidR="0071700F" w:rsidRPr="005554A7">
        <w:rPr>
          <w:b/>
          <w:bCs/>
        </w:rPr>
        <w:t xml:space="preserve"> </w:t>
      </w:r>
      <w:r w:rsidR="0071700F" w:rsidRPr="005554A7">
        <w:t>Data from individuals shown in Figure 1</w:t>
      </w:r>
      <w:r w:rsidR="004115B3" w:rsidRPr="005554A7">
        <w:t xml:space="preserve">. </w:t>
      </w:r>
      <w:bookmarkEnd w:id="0"/>
      <w:r w:rsidR="004115B3" w:rsidRPr="005554A7">
        <w:t xml:space="preserve">(A) Expressed imprinted genes (right-sided labels) are sorted by chromosomal </w:t>
      </w:r>
      <w:r w:rsidR="004115B3" w:rsidRPr="005554A7">
        <w:lastRenderedPageBreak/>
        <w:t xml:space="preserve">coordinate and each block corresponds to either a known imprinted gene cluster or a single imprinted gene (left-sided labels). Each imprinted gene is either paternally expressed, maternally expressed, or its expressed allele is isoform-dependent. Statistical significance for differential expression between embryo and adult was determined based on a P-value (corrected for multiple hypothesis testing based on the </w:t>
      </w:r>
      <w:proofErr w:type="spellStart"/>
      <w:r w:rsidR="004115B3" w:rsidRPr="005554A7">
        <w:t>Benjamini</w:t>
      </w:r>
      <w:proofErr w:type="spellEnd"/>
      <w:r w:rsidR="004115B3" w:rsidRPr="005554A7">
        <w:t>-Hochberg procedure) threshold of 0.05 and a fold change threshold of 4. A regularized log transformation was applied to normalized counts (see Materials and Methods), and the values were then z-transformed across samples. Mean expression values in adult and embryo samples are represented in the last two columns.</w:t>
      </w:r>
    </w:p>
    <w:p w14:paraId="6BFA63B9" w14:textId="081527EA" w:rsidR="005554A7" w:rsidRPr="005554A7" w:rsidRDefault="005554A7" w:rsidP="005554A7">
      <w:pPr>
        <w:pStyle w:val="MDPI52figure"/>
      </w:pPr>
      <w:r>
        <w:rPr>
          <w:noProof/>
        </w:rPr>
        <w:drawing>
          <wp:inline distT="0" distB="0" distL="0" distR="0" wp14:anchorId="79EA1E1F" wp14:editId="42091605">
            <wp:extent cx="5131262" cy="78105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0068" cy="78239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E8E70D" w14:textId="13015321" w:rsidR="004115B3" w:rsidRPr="005554A7" w:rsidRDefault="005554A7" w:rsidP="005554A7">
      <w:pPr>
        <w:pStyle w:val="MDPI51figurecaption"/>
        <w:ind w:left="425" w:right="425"/>
        <w:jc w:val="both"/>
        <w:rPr>
          <w:shd w:val="clear" w:color="auto" w:fill="FFFFFF"/>
        </w:rPr>
      </w:pPr>
      <w:r w:rsidRPr="005554A7">
        <w:rPr>
          <w:b/>
          <w:bCs/>
        </w:rPr>
        <w:lastRenderedPageBreak/>
        <w:t xml:space="preserve">Figure </w:t>
      </w:r>
      <w:r>
        <w:rPr>
          <w:b/>
          <w:bCs/>
        </w:rPr>
        <w:t>S</w:t>
      </w:r>
      <w:r w:rsidR="002D4B3D">
        <w:rPr>
          <w:b/>
          <w:bCs/>
        </w:rPr>
        <w:t>3</w:t>
      </w:r>
      <w:r w:rsidRPr="005554A7">
        <w:rPr>
          <w:b/>
          <w:bCs/>
        </w:rPr>
        <w:t xml:space="preserve">. </w:t>
      </w:r>
      <w:r w:rsidR="004115B3" w:rsidRPr="005554A7">
        <w:rPr>
          <w:shd w:val="clear" w:color="auto" w:fill="FFFFFF"/>
        </w:rPr>
        <w:t xml:space="preserve">Identification of pituitary cell types in postnatal </w:t>
      </w:r>
      <w:r w:rsidR="5B41CD3B" w:rsidRPr="005554A7">
        <w:rPr>
          <w:shd w:val="clear" w:color="auto" w:fill="FFFFFF"/>
        </w:rPr>
        <w:t>anterior pituitary (</w:t>
      </w:r>
      <w:r w:rsidR="004115B3" w:rsidRPr="005554A7">
        <w:rPr>
          <w:shd w:val="clear" w:color="auto" w:fill="FFFFFF"/>
        </w:rPr>
        <w:t>AP</w:t>
      </w:r>
      <w:r w:rsidR="52E8FC69" w:rsidRPr="005554A7">
        <w:rPr>
          <w:shd w:val="clear" w:color="auto" w:fill="FFFFFF"/>
        </w:rPr>
        <w:t>)</w:t>
      </w:r>
      <w:r w:rsidR="004115B3" w:rsidRPr="005554A7">
        <w:rPr>
          <w:shd w:val="clear" w:color="auto" w:fill="FFFFFF"/>
        </w:rPr>
        <w:t xml:space="preserve"> </w:t>
      </w:r>
      <w:proofErr w:type="spellStart"/>
      <w:r w:rsidR="004115B3" w:rsidRPr="005554A7">
        <w:rPr>
          <w:shd w:val="clear" w:color="auto" w:fill="FFFFFF"/>
        </w:rPr>
        <w:t>scRNAseq</w:t>
      </w:r>
      <w:proofErr w:type="spellEnd"/>
      <w:r w:rsidR="004115B3" w:rsidRPr="005554A7">
        <w:rPr>
          <w:shd w:val="clear" w:color="auto" w:fill="FFFFFF"/>
        </w:rPr>
        <w:t>.</w:t>
      </w:r>
      <w:r w:rsidR="004115B3" w:rsidRPr="005554A7">
        <w:rPr>
          <w:b/>
          <w:bCs/>
          <w:shd w:val="clear" w:color="auto" w:fill="FFFFFF"/>
        </w:rPr>
        <w:t xml:space="preserve"> </w:t>
      </w:r>
      <w:r w:rsidR="004115B3" w:rsidRPr="005554A7">
        <w:rPr>
          <w:shd w:val="clear" w:color="auto" w:fill="FFFFFF"/>
        </w:rPr>
        <w:t>Expression</w:t>
      </w:r>
      <w:r w:rsidR="004115B3" w:rsidRPr="005554A7">
        <w:rPr>
          <w:b/>
          <w:bCs/>
          <w:shd w:val="clear" w:color="auto" w:fill="FFFFFF"/>
        </w:rPr>
        <w:t xml:space="preserve"> </w:t>
      </w:r>
      <w:r w:rsidR="004115B3" w:rsidRPr="005554A7">
        <w:rPr>
          <w:shd w:val="clear" w:color="auto" w:fill="FFFFFF"/>
        </w:rPr>
        <w:t xml:space="preserve">of known endocrine cell markers are detected and enriched clusters are named accordingly. </w:t>
      </w:r>
      <w:proofErr w:type="spellStart"/>
      <w:r w:rsidR="004115B3" w:rsidRPr="005554A7">
        <w:rPr>
          <w:i/>
          <w:iCs/>
          <w:shd w:val="clear" w:color="auto" w:fill="FFFFFF"/>
        </w:rPr>
        <w:t>Gh</w:t>
      </w:r>
      <w:proofErr w:type="spellEnd"/>
      <w:r w:rsidR="004115B3" w:rsidRPr="005554A7">
        <w:rPr>
          <w:i/>
          <w:iCs/>
          <w:shd w:val="clear" w:color="auto" w:fill="FFFFFF"/>
        </w:rPr>
        <w:t xml:space="preserve"> </w:t>
      </w:r>
      <w:r w:rsidR="004115B3" w:rsidRPr="005554A7">
        <w:rPr>
          <w:shd w:val="clear" w:color="auto" w:fill="FFFFFF"/>
        </w:rPr>
        <w:t xml:space="preserve">(Somatotrophs), </w:t>
      </w:r>
      <w:proofErr w:type="spellStart"/>
      <w:r w:rsidR="004115B3" w:rsidRPr="005554A7">
        <w:rPr>
          <w:i/>
          <w:iCs/>
          <w:shd w:val="clear" w:color="auto" w:fill="FFFFFF"/>
        </w:rPr>
        <w:t>Prl</w:t>
      </w:r>
      <w:proofErr w:type="spellEnd"/>
      <w:r w:rsidR="004115B3" w:rsidRPr="005554A7">
        <w:rPr>
          <w:i/>
          <w:iCs/>
          <w:shd w:val="clear" w:color="auto" w:fill="FFFFFF"/>
        </w:rPr>
        <w:t xml:space="preserve"> </w:t>
      </w:r>
      <w:r w:rsidR="004115B3" w:rsidRPr="005554A7">
        <w:rPr>
          <w:shd w:val="clear" w:color="auto" w:fill="FFFFFF"/>
        </w:rPr>
        <w:t xml:space="preserve">(Lactotrophs) and </w:t>
      </w:r>
      <w:proofErr w:type="spellStart"/>
      <w:r w:rsidR="004115B3" w:rsidRPr="005554A7">
        <w:rPr>
          <w:i/>
          <w:iCs/>
          <w:shd w:val="clear" w:color="auto" w:fill="FFFFFF"/>
        </w:rPr>
        <w:t>Tshb</w:t>
      </w:r>
      <w:proofErr w:type="spellEnd"/>
      <w:r w:rsidR="004115B3" w:rsidRPr="005554A7">
        <w:rPr>
          <w:i/>
          <w:iCs/>
          <w:shd w:val="clear" w:color="auto" w:fill="FFFFFF"/>
        </w:rPr>
        <w:t xml:space="preserve"> </w:t>
      </w:r>
      <w:r w:rsidR="004115B3" w:rsidRPr="005554A7">
        <w:rPr>
          <w:shd w:val="clear" w:color="auto" w:fill="FFFFFF"/>
        </w:rPr>
        <w:t>(</w:t>
      </w:r>
      <w:proofErr w:type="spellStart"/>
      <w:r w:rsidR="004115B3" w:rsidRPr="005554A7">
        <w:rPr>
          <w:shd w:val="clear" w:color="auto" w:fill="FFFFFF"/>
        </w:rPr>
        <w:t>Thyrotrophs</w:t>
      </w:r>
      <w:proofErr w:type="spellEnd"/>
      <w:r w:rsidR="004115B3" w:rsidRPr="005554A7">
        <w:rPr>
          <w:shd w:val="clear" w:color="auto" w:fill="FFFFFF"/>
        </w:rPr>
        <w:t>) all demarcate the Pit1 (</w:t>
      </w:r>
      <w:r w:rsidR="004115B3" w:rsidRPr="005554A7">
        <w:rPr>
          <w:i/>
          <w:iCs/>
          <w:shd w:val="clear" w:color="auto" w:fill="FFFFFF"/>
        </w:rPr>
        <w:t>Pou1f1)</w:t>
      </w:r>
      <w:r w:rsidR="004115B3" w:rsidRPr="005554A7">
        <w:rPr>
          <w:shd w:val="clear" w:color="auto" w:fill="FFFFFF"/>
        </w:rPr>
        <w:t xml:space="preserve"> lineage. Cells expressing </w:t>
      </w:r>
      <w:proofErr w:type="spellStart"/>
      <w:r w:rsidR="004115B3" w:rsidRPr="005554A7">
        <w:rPr>
          <w:i/>
          <w:iCs/>
          <w:shd w:val="clear" w:color="auto" w:fill="FFFFFF"/>
        </w:rPr>
        <w:t>Pomc</w:t>
      </w:r>
      <w:proofErr w:type="spellEnd"/>
      <w:r w:rsidR="004115B3" w:rsidRPr="005554A7">
        <w:rPr>
          <w:i/>
          <w:iCs/>
          <w:shd w:val="clear" w:color="auto" w:fill="FFFFFF"/>
        </w:rPr>
        <w:t xml:space="preserve"> </w:t>
      </w:r>
      <w:r w:rsidR="004115B3" w:rsidRPr="005554A7">
        <w:rPr>
          <w:shd w:val="clear" w:color="auto" w:fill="FFFFFF"/>
        </w:rPr>
        <w:t>(</w:t>
      </w:r>
      <w:proofErr w:type="spellStart"/>
      <w:r w:rsidR="004115B3" w:rsidRPr="005554A7">
        <w:rPr>
          <w:shd w:val="clear" w:color="auto" w:fill="FFFFFF"/>
        </w:rPr>
        <w:t>Corticotrophs</w:t>
      </w:r>
      <w:proofErr w:type="spellEnd"/>
      <w:r w:rsidR="004115B3" w:rsidRPr="005554A7">
        <w:rPr>
          <w:shd w:val="clear" w:color="auto" w:fill="FFFFFF"/>
        </w:rPr>
        <w:t xml:space="preserve">), </w:t>
      </w:r>
      <w:r w:rsidR="004115B3" w:rsidRPr="005554A7">
        <w:rPr>
          <w:i/>
          <w:iCs/>
          <w:shd w:val="clear" w:color="auto" w:fill="FFFFFF"/>
        </w:rPr>
        <w:t xml:space="preserve">Pomc+Pax7+ </w:t>
      </w:r>
      <w:r w:rsidR="004115B3" w:rsidRPr="005554A7">
        <w:rPr>
          <w:shd w:val="clear" w:color="auto" w:fill="FFFFFF"/>
        </w:rPr>
        <w:t xml:space="preserve">(Melanotrophs) are housed within the </w:t>
      </w:r>
      <w:proofErr w:type="spellStart"/>
      <w:r w:rsidR="004115B3" w:rsidRPr="005554A7">
        <w:rPr>
          <w:shd w:val="clear" w:color="auto" w:fill="FFFFFF"/>
        </w:rPr>
        <w:t>Tpit</w:t>
      </w:r>
      <w:proofErr w:type="spellEnd"/>
      <w:r w:rsidR="004115B3" w:rsidRPr="005554A7">
        <w:rPr>
          <w:shd w:val="clear" w:color="auto" w:fill="FFFFFF"/>
        </w:rPr>
        <w:t xml:space="preserve"> (</w:t>
      </w:r>
      <w:r w:rsidR="004115B3" w:rsidRPr="005554A7">
        <w:rPr>
          <w:i/>
          <w:iCs/>
          <w:shd w:val="clear" w:color="auto" w:fill="FFFFFF"/>
        </w:rPr>
        <w:t xml:space="preserve">Tbx19) </w:t>
      </w:r>
      <w:r w:rsidR="004115B3" w:rsidRPr="005554A7">
        <w:rPr>
          <w:shd w:val="clear" w:color="auto" w:fill="FFFFFF"/>
        </w:rPr>
        <w:t xml:space="preserve">lineage. </w:t>
      </w:r>
      <w:r w:rsidR="004115B3" w:rsidRPr="005554A7">
        <w:rPr>
          <w:i/>
          <w:iCs/>
          <w:shd w:val="clear" w:color="auto" w:fill="FFFFFF"/>
        </w:rPr>
        <w:t>Gata</w:t>
      </w:r>
      <w:r w:rsidR="6F68C1F9" w:rsidRPr="005554A7">
        <w:rPr>
          <w:i/>
          <w:iCs/>
        </w:rPr>
        <w:t>2</w:t>
      </w:r>
      <w:r w:rsidR="004115B3" w:rsidRPr="005554A7">
        <w:rPr>
          <w:i/>
          <w:iCs/>
          <w:shd w:val="clear" w:color="auto" w:fill="FFFFFF"/>
        </w:rPr>
        <w:t xml:space="preserve">, </w:t>
      </w:r>
      <w:proofErr w:type="spellStart"/>
      <w:r w:rsidR="004115B3" w:rsidRPr="005554A7">
        <w:rPr>
          <w:i/>
          <w:iCs/>
          <w:shd w:val="clear" w:color="auto" w:fill="FFFFFF"/>
        </w:rPr>
        <w:t>Lhb</w:t>
      </w:r>
      <w:proofErr w:type="spellEnd"/>
      <w:r w:rsidR="004115B3" w:rsidRPr="005554A7">
        <w:rPr>
          <w:i/>
          <w:iCs/>
          <w:shd w:val="clear" w:color="auto" w:fill="FFFFFF"/>
        </w:rPr>
        <w:t xml:space="preserve"> </w:t>
      </w:r>
      <w:r w:rsidR="004115B3" w:rsidRPr="005554A7">
        <w:rPr>
          <w:shd w:val="clear" w:color="auto" w:fill="FFFFFF"/>
        </w:rPr>
        <w:t xml:space="preserve">and </w:t>
      </w:r>
      <w:proofErr w:type="spellStart"/>
      <w:r w:rsidR="004115B3" w:rsidRPr="005554A7">
        <w:rPr>
          <w:i/>
          <w:iCs/>
          <w:shd w:val="clear" w:color="auto" w:fill="FFFFFF"/>
        </w:rPr>
        <w:t>Fshb</w:t>
      </w:r>
      <w:proofErr w:type="spellEnd"/>
      <w:r w:rsidR="004115B3" w:rsidRPr="005554A7">
        <w:rPr>
          <w:i/>
          <w:iCs/>
          <w:shd w:val="clear" w:color="auto" w:fill="FFFFFF"/>
        </w:rPr>
        <w:t xml:space="preserve"> </w:t>
      </w:r>
      <w:r w:rsidR="004115B3" w:rsidRPr="005554A7">
        <w:rPr>
          <w:shd w:val="clear" w:color="auto" w:fill="FFFFFF"/>
        </w:rPr>
        <w:t>are all present in the Gonadotrophs while lower expression of these committed markers is seen Sf1 (</w:t>
      </w:r>
      <w:r w:rsidR="004115B3" w:rsidRPr="005554A7">
        <w:rPr>
          <w:i/>
          <w:iCs/>
          <w:shd w:val="clear" w:color="auto" w:fill="FFFFFF"/>
        </w:rPr>
        <w:t>Nr5a1</w:t>
      </w:r>
      <w:r w:rsidR="004115B3" w:rsidRPr="005554A7">
        <w:rPr>
          <w:shd w:val="clear" w:color="auto" w:fill="FFFFFF"/>
        </w:rPr>
        <w:t xml:space="preserve">) progenitors. Stem cells are enriched with </w:t>
      </w:r>
      <w:r w:rsidR="004115B3" w:rsidRPr="005554A7">
        <w:rPr>
          <w:i/>
          <w:iCs/>
          <w:shd w:val="clear" w:color="auto" w:fill="FFFFFF"/>
        </w:rPr>
        <w:t xml:space="preserve">Sox2 </w:t>
      </w:r>
      <w:r w:rsidR="004115B3" w:rsidRPr="005554A7">
        <w:rPr>
          <w:shd w:val="clear" w:color="auto" w:fill="FFFFFF"/>
        </w:rPr>
        <w:t xml:space="preserve">and </w:t>
      </w:r>
      <w:r w:rsidR="004115B3" w:rsidRPr="005554A7">
        <w:rPr>
          <w:i/>
          <w:iCs/>
          <w:shd w:val="clear" w:color="auto" w:fill="FFFFFF"/>
        </w:rPr>
        <w:t xml:space="preserve">Sox9, </w:t>
      </w:r>
      <w:r w:rsidR="004115B3" w:rsidRPr="005554A7">
        <w:rPr>
          <w:shd w:val="clear" w:color="auto" w:fill="FFFFFF"/>
        </w:rPr>
        <w:t xml:space="preserve">whilst </w:t>
      </w:r>
      <w:r w:rsidR="004115B3" w:rsidRPr="005554A7">
        <w:rPr>
          <w:i/>
          <w:iCs/>
          <w:shd w:val="clear" w:color="auto" w:fill="FFFFFF"/>
        </w:rPr>
        <w:t xml:space="preserve">Mki67 </w:t>
      </w:r>
      <w:r w:rsidR="004115B3" w:rsidRPr="005554A7">
        <w:rPr>
          <w:shd w:val="clear" w:color="auto" w:fill="FFFFFF"/>
        </w:rPr>
        <w:t xml:space="preserve">highlights the Proliferating Cells. Non-endocrine cells are also present in the datasets; </w:t>
      </w:r>
      <w:r w:rsidR="004115B3" w:rsidRPr="005554A7">
        <w:rPr>
          <w:i/>
          <w:iCs/>
          <w:shd w:val="clear" w:color="auto" w:fill="FFFFFF"/>
        </w:rPr>
        <w:t xml:space="preserve">C1qa </w:t>
      </w:r>
      <w:r w:rsidR="004115B3" w:rsidRPr="005554A7">
        <w:rPr>
          <w:shd w:val="clear" w:color="auto" w:fill="FFFFFF"/>
        </w:rPr>
        <w:t xml:space="preserve">(Immune Cells), </w:t>
      </w:r>
      <w:r w:rsidR="004115B3" w:rsidRPr="005554A7">
        <w:rPr>
          <w:i/>
          <w:iCs/>
          <w:shd w:val="clear" w:color="auto" w:fill="FFFFFF"/>
        </w:rPr>
        <w:t xml:space="preserve">Pecam1 </w:t>
      </w:r>
      <w:r w:rsidR="004115B3" w:rsidRPr="005554A7">
        <w:rPr>
          <w:shd w:val="clear" w:color="auto" w:fill="FFFFFF"/>
        </w:rPr>
        <w:t xml:space="preserve">(Endothelial Cells), </w:t>
      </w:r>
      <w:r w:rsidR="004115B3" w:rsidRPr="005554A7">
        <w:rPr>
          <w:i/>
          <w:iCs/>
          <w:shd w:val="clear" w:color="auto" w:fill="FFFFFF"/>
        </w:rPr>
        <w:t xml:space="preserve">Nkx2.1 </w:t>
      </w:r>
      <w:r w:rsidR="004115B3" w:rsidRPr="005554A7">
        <w:rPr>
          <w:shd w:val="clear" w:color="auto" w:fill="FFFFFF"/>
        </w:rPr>
        <w:t xml:space="preserve">(Posterior Pituitary) and </w:t>
      </w:r>
      <w:r w:rsidR="004115B3" w:rsidRPr="005554A7">
        <w:rPr>
          <w:i/>
          <w:iCs/>
          <w:shd w:val="clear" w:color="auto" w:fill="FFFFFF"/>
        </w:rPr>
        <w:t xml:space="preserve">Col1a1 </w:t>
      </w:r>
      <w:r w:rsidR="004115B3" w:rsidRPr="005554A7">
        <w:rPr>
          <w:shd w:val="clear" w:color="auto" w:fill="FFFFFF"/>
        </w:rPr>
        <w:t>(Connective Tissue). Grey to red indicates no expression to high expression.</w:t>
      </w:r>
    </w:p>
    <w:p w14:paraId="28BBEC52" w14:textId="4591E0CC" w:rsidR="005554A7" w:rsidRPr="005554A7" w:rsidRDefault="005554A7" w:rsidP="005554A7">
      <w:pPr>
        <w:pStyle w:val="MDPI52figure"/>
        <w:rPr>
          <w:shd w:val="clear" w:color="auto" w:fill="FFFFFF"/>
        </w:rPr>
      </w:pPr>
      <w:r>
        <w:rPr>
          <w:noProof/>
          <w:shd w:val="clear" w:color="auto" w:fill="FFFFFF"/>
        </w:rPr>
        <w:drawing>
          <wp:inline distT="0" distB="0" distL="0" distR="0" wp14:anchorId="6FDD5DBE" wp14:editId="6E0DF79F">
            <wp:extent cx="4869180" cy="6526575"/>
            <wp:effectExtent l="0" t="0" r="7620" b="762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9406" cy="65402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AF807C" w14:textId="64FA4482" w:rsidR="004115B3" w:rsidRDefault="005554A7" w:rsidP="005554A7">
      <w:pPr>
        <w:pStyle w:val="MDPI51figurecaption"/>
        <w:ind w:left="425" w:right="425"/>
        <w:jc w:val="both"/>
        <w:rPr>
          <w:shd w:val="clear" w:color="auto" w:fill="FFFFFF"/>
        </w:rPr>
      </w:pPr>
      <w:r w:rsidRPr="005554A7">
        <w:rPr>
          <w:b/>
          <w:bCs/>
          <w:shd w:val="clear" w:color="auto" w:fill="FFFFFF"/>
        </w:rPr>
        <w:t xml:space="preserve">Figure </w:t>
      </w:r>
      <w:r>
        <w:rPr>
          <w:b/>
          <w:bCs/>
          <w:shd w:val="clear" w:color="auto" w:fill="FFFFFF"/>
        </w:rPr>
        <w:t>S</w:t>
      </w:r>
      <w:r w:rsidR="002D4B3D">
        <w:rPr>
          <w:b/>
          <w:bCs/>
          <w:shd w:val="clear" w:color="auto" w:fill="FFFFFF"/>
        </w:rPr>
        <w:t>4</w:t>
      </w:r>
      <w:r w:rsidRPr="005554A7">
        <w:rPr>
          <w:b/>
          <w:bCs/>
          <w:shd w:val="clear" w:color="auto" w:fill="FFFFFF"/>
        </w:rPr>
        <w:t xml:space="preserve">. </w:t>
      </w:r>
      <w:r w:rsidR="004115B3" w:rsidRPr="005554A7">
        <w:rPr>
          <w:shd w:val="clear" w:color="auto" w:fill="FFFFFF"/>
        </w:rPr>
        <w:t>Single cell analysis of stem cell enriched imprinted gene expression in postnatal AP.</w:t>
      </w:r>
      <w:r w:rsidR="004115B3" w:rsidRPr="005554A7">
        <w:rPr>
          <w:b/>
          <w:bCs/>
          <w:shd w:val="clear" w:color="auto" w:fill="FFFFFF"/>
        </w:rPr>
        <w:t xml:space="preserve"> </w:t>
      </w:r>
      <w:r w:rsidR="2333D2FE" w:rsidRPr="005554A7">
        <w:t xml:space="preserve">UMAP projection of P4 and P49 cells with ‘Proliferating Cells’ and ‘Stem Cells’ clusters highlighted. </w:t>
      </w:r>
      <w:r w:rsidR="2333D2FE" w:rsidRPr="005554A7">
        <w:rPr>
          <w:b/>
          <w:bCs/>
        </w:rPr>
        <w:t>B</w:t>
      </w:r>
      <w:r w:rsidR="2333D2FE" w:rsidRPr="005554A7">
        <w:t>) IGs found enriched specifically in the Stem Cell population and Proliferating Cell population (Table 2) are plotted for each age as well as the IGs (</w:t>
      </w:r>
      <w:r w:rsidR="2333D2FE" w:rsidRPr="005554A7">
        <w:rPr>
          <w:i/>
          <w:iCs/>
        </w:rPr>
        <w:t xml:space="preserve">Plagl1 </w:t>
      </w:r>
      <w:r w:rsidR="2333D2FE" w:rsidRPr="005554A7">
        <w:t xml:space="preserve">and </w:t>
      </w:r>
      <w:r w:rsidR="2333D2FE" w:rsidRPr="005554A7">
        <w:rPr>
          <w:i/>
          <w:iCs/>
        </w:rPr>
        <w:t>Zdbf2</w:t>
      </w:r>
      <w:r w:rsidR="2333D2FE" w:rsidRPr="005554A7">
        <w:t xml:space="preserve">) that are found significantly upregulated in both these clusters. </w:t>
      </w:r>
      <w:r w:rsidR="6E21B2D5" w:rsidRPr="005554A7">
        <w:rPr>
          <w:shd w:val="clear" w:color="auto" w:fill="FFFFFF"/>
        </w:rPr>
        <w:t>G</w:t>
      </w:r>
      <w:r w:rsidR="004115B3" w:rsidRPr="005554A7">
        <w:rPr>
          <w:shd w:val="clear" w:color="auto" w:fill="FFFFFF"/>
        </w:rPr>
        <w:t xml:space="preserve">rey </w:t>
      </w:r>
      <w:r w:rsidR="5EF72B33" w:rsidRPr="005554A7">
        <w:rPr>
          <w:shd w:val="clear" w:color="auto" w:fill="FFFFFF"/>
        </w:rPr>
        <w:t xml:space="preserve">to red </w:t>
      </w:r>
      <w:r w:rsidR="004115B3" w:rsidRPr="005554A7">
        <w:rPr>
          <w:shd w:val="clear" w:color="auto" w:fill="FFFFFF"/>
        </w:rPr>
        <w:t>indicat</w:t>
      </w:r>
      <w:r w:rsidR="1B183AE3" w:rsidRPr="005554A7">
        <w:rPr>
          <w:shd w:val="clear" w:color="auto" w:fill="FFFFFF"/>
        </w:rPr>
        <w:t>es</w:t>
      </w:r>
      <w:r w:rsidR="004115B3" w:rsidRPr="005554A7">
        <w:rPr>
          <w:shd w:val="clear" w:color="auto" w:fill="FFFFFF"/>
        </w:rPr>
        <w:t xml:space="preserve"> no expression </w:t>
      </w:r>
      <w:r w:rsidR="59BD2014" w:rsidRPr="005554A7">
        <w:rPr>
          <w:shd w:val="clear" w:color="auto" w:fill="FFFFFF"/>
        </w:rPr>
        <w:t>to</w:t>
      </w:r>
      <w:r w:rsidR="004115B3" w:rsidRPr="005554A7">
        <w:rPr>
          <w:shd w:val="clear" w:color="auto" w:fill="FFFFFF"/>
        </w:rPr>
        <w:t xml:space="preserve"> high expression.</w:t>
      </w:r>
    </w:p>
    <w:p w14:paraId="1DA08D92" w14:textId="3828A1F4" w:rsidR="005554A7" w:rsidRPr="005554A7" w:rsidRDefault="005554A7" w:rsidP="005554A7">
      <w:pPr>
        <w:pStyle w:val="MDPI52figure"/>
        <w:rPr>
          <w:shd w:val="clear" w:color="auto" w:fill="FFFFFF"/>
        </w:rPr>
      </w:pPr>
      <w:r>
        <w:rPr>
          <w:noProof/>
          <w:shd w:val="clear" w:color="auto" w:fill="FFFFFF"/>
        </w:rPr>
        <w:lastRenderedPageBreak/>
        <w:drawing>
          <wp:inline distT="0" distB="0" distL="0" distR="0" wp14:anchorId="251B31E9" wp14:editId="62975AF7">
            <wp:extent cx="5010172" cy="62103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7371" cy="62192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23528B" w14:textId="0F66D194" w:rsidR="00EF4FCF" w:rsidRPr="005554A7" w:rsidRDefault="005554A7" w:rsidP="005554A7">
      <w:pPr>
        <w:pStyle w:val="MDPI51figurecaption"/>
        <w:ind w:left="425" w:right="425"/>
        <w:jc w:val="both"/>
        <w:rPr>
          <w:color w:val="222222"/>
          <w:shd w:val="clear" w:color="auto" w:fill="FFFFFF"/>
        </w:rPr>
      </w:pPr>
      <w:r w:rsidRPr="005554A7">
        <w:rPr>
          <w:b/>
          <w:bCs/>
          <w:color w:val="222222"/>
          <w:shd w:val="clear" w:color="auto" w:fill="FFFFFF"/>
        </w:rPr>
        <w:t xml:space="preserve">Figure </w:t>
      </w:r>
      <w:r>
        <w:rPr>
          <w:b/>
          <w:bCs/>
          <w:color w:val="222222"/>
          <w:shd w:val="clear" w:color="auto" w:fill="FFFFFF"/>
        </w:rPr>
        <w:t>S</w:t>
      </w:r>
      <w:r w:rsidR="002D4B3D">
        <w:rPr>
          <w:b/>
          <w:bCs/>
          <w:color w:val="222222"/>
          <w:shd w:val="clear" w:color="auto" w:fill="FFFFFF"/>
        </w:rPr>
        <w:t>5</w:t>
      </w:r>
      <w:r w:rsidRPr="005554A7">
        <w:rPr>
          <w:b/>
          <w:bCs/>
          <w:color w:val="222222"/>
          <w:shd w:val="clear" w:color="auto" w:fill="FFFFFF"/>
        </w:rPr>
        <w:t xml:space="preserve">. </w:t>
      </w:r>
      <w:r w:rsidR="00EF4FCF" w:rsidRPr="005554A7">
        <w:rPr>
          <w:color w:val="222222"/>
          <w:shd w:val="clear" w:color="auto" w:fill="FFFFFF"/>
        </w:rPr>
        <w:t>Differentially expressed (DE) genes comparing virgin and pregnant pituitary gland. (</w:t>
      </w:r>
      <w:r w:rsidR="00EF4FCF" w:rsidRPr="005554A7">
        <w:rPr>
          <w:b/>
          <w:bCs/>
          <w:color w:val="222222"/>
          <w:shd w:val="clear" w:color="auto" w:fill="FFFFFF"/>
        </w:rPr>
        <w:t>A</w:t>
      </w:r>
      <w:r w:rsidR="00EF4FCF" w:rsidRPr="005554A7">
        <w:rPr>
          <w:color w:val="222222"/>
          <w:shd w:val="clear" w:color="auto" w:fill="FFFFFF"/>
        </w:rPr>
        <w:t xml:space="preserve">) </w:t>
      </w:r>
      <w:r w:rsidR="00EF4FCF" w:rsidRPr="005554A7">
        <w:t xml:space="preserve">Enrichment in Gene Ontology (GO) biological process terms for differentially expressed genes. Significant GO terms were defined at FDR &lt;0.05. </w:t>
      </w:r>
      <w:r w:rsidR="00EF4FCF" w:rsidRPr="005554A7">
        <w:rPr>
          <w:color w:val="222222"/>
          <w:shd w:val="clear" w:color="auto" w:fill="FFFFFF"/>
        </w:rPr>
        <w:t xml:space="preserve">(B and C) </w:t>
      </w:r>
      <w:r w:rsidR="00EF4FCF" w:rsidRPr="005554A7">
        <w:t xml:space="preserve">DE genes in the </w:t>
      </w:r>
      <w:proofErr w:type="spellStart"/>
      <w:r w:rsidR="00EF4FCF" w:rsidRPr="005554A7">
        <w:t>lute</w:t>
      </w:r>
      <w:r w:rsidR="00393573" w:rsidRPr="005554A7">
        <w:t>i</w:t>
      </w:r>
      <w:r w:rsidR="00EF4FCF" w:rsidRPr="005554A7">
        <w:t>nising</w:t>
      </w:r>
      <w:proofErr w:type="spellEnd"/>
      <w:r w:rsidR="00EF4FCF" w:rsidRPr="005554A7">
        <w:t xml:space="preserve"> hormone (LH) pathway (</w:t>
      </w:r>
      <w:r w:rsidR="00EF4FCF" w:rsidRPr="005554A7">
        <w:rPr>
          <w:b/>
          <w:bCs/>
        </w:rPr>
        <w:t>B</w:t>
      </w:r>
      <w:r w:rsidR="00EF4FCF" w:rsidRPr="005554A7">
        <w:t xml:space="preserve">) and IGF1 bioavailability pathway from the transcriptomics data shown in Figure 4C. </w:t>
      </w:r>
      <w:bookmarkStart w:id="1" w:name="_Hlk63158230"/>
      <w:r w:rsidR="00EF4FCF" w:rsidRPr="005554A7">
        <w:t>Box and whiskers plots show mean and min-max range of the data.</w:t>
      </w:r>
    </w:p>
    <w:bookmarkEnd w:id="1"/>
    <w:p w14:paraId="4BE35B88" w14:textId="75259CB4" w:rsidR="005554A7" w:rsidRDefault="005554A7" w:rsidP="005554A7">
      <w:pPr>
        <w:pStyle w:val="MDPI52figure"/>
        <w:rPr>
          <w:shd w:val="clear" w:color="auto" w:fill="FFFFFF"/>
        </w:rPr>
      </w:pPr>
      <w:r>
        <w:rPr>
          <w:noProof/>
          <w:shd w:val="clear" w:color="auto" w:fill="FFFFFF"/>
        </w:rPr>
        <w:lastRenderedPageBreak/>
        <w:drawing>
          <wp:inline distT="0" distB="0" distL="0" distR="0" wp14:anchorId="617AAA1C" wp14:editId="0073CA54">
            <wp:extent cx="5692140" cy="4617720"/>
            <wp:effectExtent l="0" t="0" r="381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2140" cy="461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406914" w14:textId="138AEE0F" w:rsidR="00EF4FCF" w:rsidRDefault="005554A7" w:rsidP="005554A7">
      <w:pPr>
        <w:pStyle w:val="MDPI51figurecaption"/>
        <w:ind w:left="425" w:right="425"/>
        <w:jc w:val="both"/>
      </w:pPr>
      <w:r w:rsidRPr="005554A7">
        <w:rPr>
          <w:b/>
          <w:bCs/>
        </w:rPr>
        <w:t xml:space="preserve">Figure </w:t>
      </w:r>
      <w:r>
        <w:rPr>
          <w:b/>
          <w:bCs/>
        </w:rPr>
        <w:t>S</w:t>
      </w:r>
      <w:r w:rsidR="002D4B3D">
        <w:rPr>
          <w:b/>
          <w:bCs/>
        </w:rPr>
        <w:t>6</w:t>
      </w:r>
      <w:r w:rsidRPr="005554A7">
        <w:rPr>
          <w:b/>
          <w:bCs/>
        </w:rPr>
        <w:t xml:space="preserve">. </w:t>
      </w:r>
      <w:r w:rsidR="00EF4FCF" w:rsidRPr="005554A7">
        <w:t xml:space="preserve">Genome browser view of sequenced reads aligned to the </w:t>
      </w:r>
      <w:r w:rsidR="00EF4FCF" w:rsidRPr="005554A7">
        <w:rPr>
          <w:i/>
          <w:iCs/>
        </w:rPr>
        <w:t>Grb10</w:t>
      </w:r>
      <w:r w:rsidR="00EF4FCF" w:rsidRPr="005554A7">
        <w:t xml:space="preserve"> and </w:t>
      </w:r>
      <w:proofErr w:type="spellStart"/>
      <w:r w:rsidR="00EF4FCF" w:rsidRPr="005554A7">
        <w:rPr>
          <w:i/>
          <w:iCs/>
        </w:rPr>
        <w:t>Ddc</w:t>
      </w:r>
      <w:proofErr w:type="spellEnd"/>
      <w:r w:rsidR="00EF4FCF" w:rsidRPr="005554A7">
        <w:t xml:space="preserve"> genomic regions.</w:t>
      </w:r>
      <w:r w:rsidR="00D672A3" w:rsidRPr="005554A7">
        <w:rPr>
          <w:b/>
          <w:bCs/>
        </w:rPr>
        <w:t xml:space="preserve"> </w:t>
      </w:r>
      <w:r w:rsidR="00CE39FF" w:rsidRPr="005554A7">
        <w:t xml:space="preserve">University of California Santa Cruz (UCSC) Genomics Institute Genome Browser view of </w:t>
      </w:r>
      <w:proofErr w:type="spellStart"/>
      <w:r w:rsidR="00CE39FF" w:rsidRPr="005554A7">
        <w:t>RNAseq</w:t>
      </w:r>
      <w:proofErr w:type="spellEnd"/>
      <w:r w:rsidR="00CE39FF" w:rsidRPr="005554A7">
        <w:t xml:space="preserve"> data from embryonic and adult pituitaries described in Figure 1. The </w:t>
      </w:r>
      <w:r w:rsidR="00CE39FF" w:rsidRPr="005554A7">
        <w:rPr>
          <w:i/>
          <w:iCs/>
        </w:rPr>
        <w:t>Grb10</w:t>
      </w:r>
      <w:r w:rsidR="00CE39FF" w:rsidRPr="005554A7">
        <w:t xml:space="preserve"> and </w:t>
      </w:r>
      <w:proofErr w:type="spellStart"/>
      <w:r w:rsidR="00CE39FF" w:rsidRPr="005554A7">
        <w:rPr>
          <w:i/>
          <w:iCs/>
        </w:rPr>
        <w:t>Ddc</w:t>
      </w:r>
      <w:proofErr w:type="spellEnd"/>
      <w:r w:rsidR="00CE39FF" w:rsidRPr="005554A7">
        <w:t xml:space="preserve"> loci in mouse have annotated transcripts which </w:t>
      </w:r>
      <w:proofErr w:type="spellStart"/>
      <w:r w:rsidR="00CE39FF" w:rsidRPr="005554A7">
        <w:t>utilise</w:t>
      </w:r>
      <w:proofErr w:type="spellEnd"/>
      <w:r w:rsidR="00CE39FF" w:rsidRPr="005554A7">
        <w:t xml:space="preserve"> alternative transcriptional starts (red boxes). (</w:t>
      </w:r>
      <w:r w:rsidR="00CE39FF" w:rsidRPr="005554A7">
        <w:rPr>
          <w:b/>
          <w:bCs/>
        </w:rPr>
        <w:t>A</w:t>
      </w:r>
      <w:r w:rsidR="00CE39FF" w:rsidRPr="005554A7">
        <w:t xml:space="preserve">) At the </w:t>
      </w:r>
      <w:r w:rsidR="00CE39FF" w:rsidRPr="005554A7">
        <w:rPr>
          <w:i/>
          <w:iCs/>
        </w:rPr>
        <w:t>Grb10</w:t>
      </w:r>
      <w:r w:rsidR="00CE39FF" w:rsidRPr="005554A7">
        <w:t xml:space="preserve"> locus there are </w:t>
      </w:r>
      <w:proofErr w:type="spellStart"/>
      <w:r w:rsidR="00CE39FF" w:rsidRPr="005554A7">
        <w:t>RNAseq</w:t>
      </w:r>
      <w:proofErr w:type="spellEnd"/>
      <w:r w:rsidR="00CE39FF" w:rsidRPr="005554A7">
        <w:t xml:space="preserve"> reads that map to both the maternal and paternal transcripts in adult, and predominantly the maternal transcript in the embryo. (</w:t>
      </w:r>
      <w:r w:rsidR="00CE39FF" w:rsidRPr="005554A7">
        <w:rPr>
          <w:b/>
          <w:bCs/>
        </w:rPr>
        <w:t>B</w:t>
      </w:r>
      <w:r w:rsidR="00CE39FF" w:rsidRPr="005554A7">
        <w:t xml:space="preserve">) At the </w:t>
      </w:r>
      <w:proofErr w:type="spellStart"/>
      <w:r w:rsidR="00CE39FF" w:rsidRPr="005554A7">
        <w:rPr>
          <w:i/>
          <w:iCs/>
        </w:rPr>
        <w:t>Ddc</w:t>
      </w:r>
      <w:proofErr w:type="spellEnd"/>
      <w:r w:rsidR="00CE39FF" w:rsidRPr="005554A7">
        <w:t xml:space="preserve"> locus transcription in the adult appear to initiate from the paternal-specific promoter region. Embryonic transcripts appear to initiate at exon 4.</w:t>
      </w:r>
    </w:p>
    <w:p w14:paraId="32CAFDE1" w14:textId="000687EF" w:rsidR="005554A7" w:rsidRDefault="005554A7">
      <w:pPr>
        <w:spacing w:after="160" w:line="259" w:lineRule="auto"/>
        <w:rPr>
          <w:rFonts w:ascii="Palatino Linotype" w:eastAsia="Times New Roman" w:hAnsi="Palatino Linotype" w:cs="Times New Roman"/>
          <w:b/>
          <w:bCs/>
          <w:color w:val="000000"/>
          <w:sz w:val="18"/>
          <w:szCs w:val="20"/>
          <w:lang w:val="en-US" w:eastAsia="de-DE" w:bidi="en-US"/>
        </w:rPr>
      </w:pPr>
    </w:p>
    <w:sectPr w:rsidR="005554A7" w:rsidSect="005554A7">
      <w:type w:val="continuous"/>
      <w:pgSz w:w="11906" w:h="16838"/>
      <w:pgMar w:top="1417" w:right="720" w:bottom="1077" w:left="720" w:header="1020" w:footer="340" w:gutter="0"/>
      <w:cols w:space="708"/>
      <w:titlePg/>
      <w:bidi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3C9962" w14:textId="77777777" w:rsidR="00B058C9" w:rsidRDefault="00B058C9" w:rsidP="005554A7">
      <w:pPr>
        <w:spacing w:line="240" w:lineRule="auto"/>
      </w:pPr>
      <w:r>
        <w:separator/>
      </w:r>
    </w:p>
  </w:endnote>
  <w:endnote w:type="continuationSeparator" w:id="0">
    <w:p w14:paraId="4C1EA161" w14:textId="77777777" w:rsidR="00B058C9" w:rsidRDefault="00B058C9" w:rsidP="005554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1F52AB" w14:textId="77777777" w:rsidR="00B058C9" w:rsidRDefault="00B058C9" w:rsidP="005554A7">
      <w:pPr>
        <w:spacing w:line="240" w:lineRule="auto"/>
      </w:pPr>
      <w:r>
        <w:separator/>
      </w:r>
    </w:p>
  </w:footnote>
  <w:footnote w:type="continuationSeparator" w:id="0">
    <w:p w14:paraId="1B960B45" w14:textId="77777777" w:rsidR="00B058C9" w:rsidRDefault="00B058C9" w:rsidP="005554A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0C6F5D"/>
    <w:multiLevelType w:val="hybridMultilevel"/>
    <w:tmpl w:val="8BFE0D56"/>
    <w:lvl w:ilvl="0" w:tplc="CCCE9BD4">
      <w:start w:val="1"/>
      <w:numFmt w:val="bullet"/>
      <w:lvlRestart w:val="0"/>
      <w:pStyle w:val="MDPI38bullet"/>
      <w:lvlText w:val=""/>
      <w:lvlJc w:val="left"/>
      <w:pPr>
        <w:ind w:left="3033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1" w15:restartNumberingAfterBreak="0">
    <w:nsid w:val="54075B53"/>
    <w:multiLevelType w:val="hybridMultilevel"/>
    <w:tmpl w:val="A0DCA02E"/>
    <w:lvl w:ilvl="0" w:tplc="5CB0595C">
      <w:start w:val="1"/>
      <w:numFmt w:val="decimal"/>
      <w:lvlRestart w:val="0"/>
      <w:pStyle w:val="MDPI37itemize"/>
      <w:lvlText w:val="%1."/>
      <w:lvlJc w:val="left"/>
      <w:pPr>
        <w:ind w:left="3033" w:hanging="425"/>
      </w:pPr>
    </w:lvl>
    <w:lvl w:ilvl="1" w:tplc="04090019" w:tentative="1">
      <w:start w:val="1"/>
      <w:numFmt w:val="lowerLetter"/>
      <w:lvlText w:val="%2."/>
      <w:lvlJc w:val="left"/>
      <w:pPr>
        <w:ind w:left="3691" w:hanging="360"/>
      </w:pPr>
    </w:lvl>
    <w:lvl w:ilvl="2" w:tplc="0409001B" w:tentative="1">
      <w:start w:val="1"/>
      <w:numFmt w:val="lowerRoman"/>
      <w:lvlText w:val="%3."/>
      <w:lvlJc w:val="right"/>
      <w:pPr>
        <w:ind w:left="4411" w:hanging="180"/>
      </w:pPr>
    </w:lvl>
    <w:lvl w:ilvl="3" w:tplc="0409000F" w:tentative="1">
      <w:start w:val="1"/>
      <w:numFmt w:val="decimal"/>
      <w:lvlText w:val="%4."/>
      <w:lvlJc w:val="left"/>
      <w:pPr>
        <w:ind w:left="5131" w:hanging="360"/>
      </w:pPr>
    </w:lvl>
    <w:lvl w:ilvl="4" w:tplc="04090019" w:tentative="1">
      <w:start w:val="1"/>
      <w:numFmt w:val="lowerLetter"/>
      <w:lvlText w:val="%5."/>
      <w:lvlJc w:val="left"/>
      <w:pPr>
        <w:ind w:left="5851" w:hanging="360"/>
      </w:pPr>
    </w:lvl>
    <w:lvl w:ilvl="5" w:tplc="0409001B" w:tentative="1">
      <w:start w:val="1"/>
      <w:numFmt w:val="lowerRoman"/>
      <w:lvlText w:val="%6."/>
      <w:lvlJc w:val="right"/>
      <w:pPr>
        <w:ind w:left="6571" w:hanging="180"/>
      </w:pPr>
    </w:lvl>
    <w:lvl w:ilvl="6" w:tplc="0409000F" w:tentative="1">
      <w:start w:val="1"/>
      <w:numFmt w:val="decimal"/>
      <w:lvlText w:val="%7."/>
      <w:lvlJc w:val="left"/>
      <w:pPr>
        <w:ind w:left="7291" w:hanging="360"/>
      </w:pPr>
    </w:lvl>
    <w:lvl w:ilvl="7" w:tplc="04090019" w:tentative="1">
      <w:start w:val="1"/>
      <w:numFmt w:val="lowerLetter"/>
      <w:lvlText w:val="%8."/>
      <w:lvlJc w:val="left"/>
      <w:pPr>
        <w:ind w:left="8011" w:hanging="360"/>
      </w:pPr>
    </w:lvl>
    <w:lvl w:ilvl="8" w:tplc="0409001B" w:tentative="1">
      <w:start w:val="1"/>
      <w:numFmt w:val="lowerRoman"/>
      <w:lvlText w:val="%9."/>
      <w:lvlJc w:val="right"/>
      <w:pPr>
        <w:ind w:left="873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51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B2E"/>
    <w:rsid w:val="000F5AA6"/>
    <w:rsid w:val="00130B2E"/>
    <w:rsid w:val="00140385"/>
    <w:rsid w:val="001C5DE9"/>
    <w:rsid w:val="002D4B3D"/>
    <w:rsid w:val="003312E6"/>
    <w:rsid w:val="00354D53"/>
    <w:rsid w:val="00393573"/>
    <w:rsid w:val="004115B3"/>
    <w:rsid w:val="0047709D"/>
    <w:rsid w:val="004838AA"/>
    <w:rsid w:val="0049201F"/>
    <w:rsid w:val="004F4C77"/>
    <w:rsid w:val="00514EA5"/>
    <w:rsid w:val="005554A7"/>
    <w:rsid w:val="0055597B"/>
    <w:rsid w:val="0063157F"/>
    <w:rsid w:val="006E7C19"/>
    <w:rsid w:val="0071700F"/>
    <w:rsid w:val="00734F73"/>
    <w:rsid w:val="007F24CE"/>
    <w:rsid w:val="00870B09"/>
    <w:rsid w:val="00956B49"/>
    <w:rsid w:val="00A81B39"/>
    <w:rsid w:val="00A82ECD"/>
    <w:rsid w:val="00B058C9"/>
    <w:rsid w:val="00B93FFE"/>
    <w:rsid w:val="00C364DA"/>
    <w:rsid w:val="00CE39FF"/>
    <w:rsid w:val="00D52B28"/>
    <w:rsid w:val="00D672A3"/>
    <w:rsid w:val="00D7656E"/>
    <w:rsid w:val="00D91F62"/>
    <w:rsid w:val="00E26069"/>
    <w:rsid w:val="00ED3D12"/>
    <w:rsid w:val="00EF4FCF"/>
    <w:rsid w:val="1B183AE3"/>
    <w:rsid w:val="2333D2FE"/>
    <w:rsid w:val="3314E760"/>
    <w:rsid w:val="392B484B"/>
    <w:rsid w:val="4178967B"/>
    <w:rsid w:val="49D83EAC"/>
    <w:rsid w:val="4D1A29D9"/>
    <w:rsid w:val="4EC276A4"/>
    <w:rsid w:val="4F485867"/>
    <w:rsid w:val="52E8FC69"/>
    <w:rsid w:val="59BD2014"/>
    <w:rsid w:val="5B41CD3B"/>
    <w:rsid w:val="5EF72B33"/>
    <w:rsid w:val="5FD03AB9"/>
    <w:rsid w:val="66A8584B"/>
    <w:rsid w:val="69DFF90D"/>
    <w:rsid w:val="6E21B2D5"/>
    <w:rsid w:val="6F68C1F9"/>
    <w:rsid w:val="7209E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78CCD8"/>
  <w15:chartTrackingRefBased/>
  <w15:docId w15:val="{E4695B08-07C1-48B0-9D77-935AC1020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64DA"/>
    <w:pPr>
      <w:spacing w:after="0" w:line="360" w:lineRule="auto"/>
    </w:pPr>
    <w:rPr>
      <w:rFonts w:ascii="Arial Narrow" w:hAnsi="Arial Narrow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354D53"/>
    <w:pPr>
      <w:spacing w:before="100" w:beforeAutospacing="1" w:after="100" w:afterAutospacing="1" w:line="240" w:lineRule="auto"/>
      <w:outlineLvl w:val="0"/>
    </w:pPr>
    <w:rPr>
      <w:rFonts w:eastAsiaTheme="minorEastAsia"/>
      <w:b/>
      <w:bCs/>
      <w:kern w:val="36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54D5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767171" w:themeColor="background2" w:themeShade="8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54D5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767171" w:themeColor="background2" w:themeShade="80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54D5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767171" w:themeColor="background2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54D53"/>
    <w:rPr>
      <w:rFonts w:ascii="Arial Narrow" w:eastAsiaTheme="minorEastAsia" w:hAnsi="Arial Narrow"/>
      <w:b/>
      <w:bCs/>
      <w:kern w:val="36"/>
      <w:sz w:val="24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354D53"/>
    <w:rPr>
      <w:rFonts w:asciiTheme="majorHAnsi" w:eastAsiaTheme="majorEastAsia" w:hAnsiTheme="majorHAnsi" w:cstheme="majorBidi"/>
      <w:b/>
      <w:bCs/>
      <w:color w:val="767171" w:themeColor="background2" w:themeShade="80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54D53"/>
    <w:rPr>
      <w:rFonts w:asciiTheme="majorHAnsi" w:eastAsiaTheme="majorEastAsia" w:hAnsiTheme="majorHAnsi" w:cstheme="majorBidi"/>
      <w:b/>
      <w:bCs/>
      <w:color w:val="767171" w:themeColor="background2" w:themeShade="80"/>
    </w:rPr>
  </w:style>
  <w:style w:type="character" w:customStyle="1" w:styleId="Heading4Char">
    <w:name w:val="Heading 4 Char"/>
    <w:basedOn w:val="DefaultParagraphFont"/>
    <w:link w:val="Heading4"/>
    <w:uiPriority w:val="9"/>
    <w:rsid w:val="00354D53"/>
    <w:rPr>
      <w:rFonts w:asciiTheme="majorHAnsi" w:eastAsiaTheme="majorEastAsia" w:hAnsiTheme="majorHAnsi" w:cstheme="majorBidi"/>
      <w:b/>
      <w:bCs/>
      <w:i/>
      <w:iCs/>
      <w:color w:val="767171" w:themeColor="background2" w:themeShade="80"/>
    </w:rPr>
  </w:style>
  <w:style w:type="paragraph" w:styleId="ListParagraph">
    <w:name w:val="List Paragraph"/>
    <w:basedOn w:val="Normal"/>
    <w:uiPriority w:val="34"/>
    <w:qFormat/>
    <w:rsid w:val="0049201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672A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672A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672A3"/>
    <w:rPr>
      <w:rFonts w:ascii="Arial Narrow" w:hAnsi="Arial Narrow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672A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672A3"/>
    <w:rPr>
      <w:rFonts w:ascii="Arial Narrow" w:hAnsi="Arial Narrow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72A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72A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554A7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54A7"/>
    <w:rPr>
      <w:rFonts w:ascii="Arial Narrow" w:hAnsi="Arial Narrow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554A7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54A7"/>
    <w:rPr>
      <w:rFonts w:ascii="Arial Narrow" w:hAnsi="Arial Narrow"/>
      <w:sz w:val="24"/>
      <w:szCs w:val="24"/>
    </w:rPr>
  </w:style>
  <w:style w:type="paragraph" w:customStyle="1" w:styleId="MDPI11articletype">
    <w:name w:val="MDPI_1.1_article_type"/>
    <w:next w:val="Normal"/>
    <w:qFormat/>
    <w:rsid w:val="005554A7"/>
    <w:pPr>
      <w:adjustRightInd w:val="0"/>
      <w:snapToGrid w:val="0"/>
      <w:spacing w:before="240" w:after="0" w:line="240" w:lineRule="auto"/>
    </w:pPr>
    <w:rPr>
      <w:rFonts w:ascii="Palatino Linotype" w:eastAsia="Times New Roman" w:hAnsi="Palatino Linotype" w:cs="Times New Roman"/>
      <w:i/>
      <w:snapToGrid w:val="0"/>
      <w:color w:val="000000"/>
      <w:sz w:val="20"/>
      <w:lang w:val="en-US" w:eastAsia="de-DE" w:bidi="en-US"/>
    </w:rPr>
  </w:style>
  <w:style w:type="paragraph" w:customStyle="1" w:styleId="MDPI12title">
    <w:name w:val="MDPI_1.2_title"/>
    <w:next w:val="Normal"/>
    <w:qFormat/>
    <w:rsid w:val="005554A7"/>
    <w:pPr>
      <w:adjustRightInd w:val="0"/>
      <w:snapToGrid w:val="0"/>
      <w:spacing w:after="240" w:line="240" w:lineRule="atLeas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val="en-US" w:eastAsia="de-DE" w:bidi="en-US"/>
    </w:rPr>
  </w:style>
  <w:style w:type="paragraph" w:customStyle="1" w:styleId="MDPI13authornames">
    <w:name w:val="MDPI_1.3_authornames"/>
    <w:next w:val="Normal"/>
    <w:qFormat/>
    <w:rsid w:val="005554A7"/>
    <w:pPr>
      <w:adjustRightInd w:val="0"/>
      <w:snapToGrid w:val="0"/>
      <w:spacing w:after="360" w:line="260" w:lineRule="atLeast"/>
    </w:pPr>
    <w:rPr>
      <w:rFonts w:ascii="Palatino Linotype" w:eastAsia="Times New Roman" w:hAnsi="Palatino Linotype" w:cs="Times New Roman"/>
      <w:b/>
      <w:color w:val="000000"/>
      <w:sz w:val="20"/>
      <w:lang w:val="en-US" w:eastAsia="de-DE" w:bidi="en-US"/>
    </w:rPr>
  </w:style>
  <w:style w:type="paragraph" w:customStyle="1" w:styleId="MDPI14history">
    <w:name w:val="MDPI_1.4_history"/>
    <w:basedOn w:val="Normal"/>
    <w:next w:val="Normal"/>
    <w:qFormat/>
    <w:rsid w:val="005554A7"/>
    <w:pPr>
      <w:adjustRightInd w:val="0"/>
      <w:snapToGrid w:val="0"/>
      <w:spacing w:line="240" w:lineRule="atLeast"/>
      <w:ind w:right="113"/>
    </w:pPr>
    <w:rPr>
      <w:rFonts w:ascii="Palatino Linotype" w:eastAsia="Times New Roman" w:hAnsi="Palatino Linotype" w:cs="Times New Roman"/>
      <w:color w:val="000000"/>
      <w:sz w:val="14"/>
      <w:szCs w:val="20"/>
      <w:lang w:val="en-US" w:eastAsia="de-DE" w:bidi="en-US"/>
    </w:rPr>
  </w:style>
  <w:style w:type="paragraph" w:customStyle="1" w:styleId="MDPI15academiceditor">
    <w:name w:val="MDPI_1.5_academic_editor"/>
    <w:qFormat/>
    <w:rsid w:val="005554A7"/>
    <w:pPr>
      <w:adjustRightInd w:val="0"/>
      <w:snapToGrid w:val="0"/>
      <w:spacing w:before="240" w:after="0" w:line="240" w:lineRule="atLeast"/>
      <w:ind w:right="113"/>
    </w:pPr>
    <w:rPr>
      <w:rFonts w:ascii="Palatino Linotype" w:eastAsia="Times New Roman" w:hAnsi="Palatino Linotype" w:cs="Times New Roman"/>
      <w:color w:val="000000"/>
      <w:sz w:val="14"/>
      <w:lang w:val="en-US" w:eastAsia="de-DE" w:bidi="en-US"/>
    </w:rPr>
  </w:style>
  <w:style w:type="paragraph" w:customStyle="1" w:styleId="MDPI16affiliation">
    <w:name w:val="MDPI_1.6_affiliation"/>
    <w:qFormat/>
    <w:rsid w:val="005554A7"/>
    <w:pPr>
      <w:adjustRightInd w:val="0"/>
      <w:snapToGrid w:val="0"/>
      <w:spacing w:after="0" w:line="200" w:lineRule="atLeast"/>
      <w:ind w:left="2806" w:hanging="198"/>
    </w:pPr>
    <w:rPr>
      <w:rFonts w:ascii="Palatino Linotype" w:eastAsia="Times New Roman" w:hAnsi="Palatino Linotype" w:cs="Times New Roman"/>
      <w:color w:val="000000"/>
      <w:sz w:val="16"/>
      <w:szCs w:val="18"/>
      <w:lang w:val="en-US" w:eastAsia="de-DE" w:bidi="en-US"/>
    </w:rPr>
  </w:style>
  <w:style w:type="paragraph" w:customStyle="1" w:styleId="MDPI17abstract">
    <w:name w:val="MDPI_1.7_abstract"/>
    <w:next w:val="Normal"/>
    <w:qFormat/>
    <w:rsid w:val="005554A7"/>
    <w:pPr>
      <w:adjustRightInd w:val="0"/>
      <w:snapToGrid w:val="0"/>
      <w:spacing w:before="240" w:after="0" w:line="260" w:lineRule="atLeast"/>
      <w:ind w:left="2608"/>
      <w:jc w:val="both"/>
    </w:pPr>
    <w:rPr>
      <w:rFonts w:ascii="Palatino Linotype" w:eastAsia="Times New Roman" w:hAnsi="Palatino Linotype" w:cs="Times New Roman"/>
      <w:color w:val="000000"/>
      <w:sz w:val="18"/>
      <w:lang w:val="en-US" w:eastAsia="de-DE" w:bidi="en-US"/>
    </w:rPr>
  </w:style>
  <w:style w:type="paragraph" w:customStyle="1" w:styleId="MDPI18keywords">
    <w:name w:val="MDPI_1.8_keywords"/>
    <w:next w:val="Normal"/>
    <w:qFormat/>
    <w:rsid w:val="005554A7"/>
    <w:pPr>
      <w:adjustRightInd w:val="0"/>
      <w:snapToGrid w:val="0"/>
      <w:spacing w:before="240" w:after="0" w:line="260" w:lineRule="atLeast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lang w:val="en-US" w:eastAsia="de-DE" w:bidi="en-US"/>
    </w:rPr>
  </w:style>
  <w:style w:type="paragraph" w:customStyle="1" w:styleId="MDPI19classification">
    <w:name w:val="MDPI_1.9_classification"/>
    <w:qFormat/>
    <w:rsid w:val="005554A7"/>
    <w:pPr>
      <w:spacing w:before="240" w:after="0" w:line="260" w:lineRule="atLeast"/>
      <w:ind w:left="113"/>
      <w:jc w:val="both"/>
    </w:pPr>
    <w:rPr>
      <w:rFonts w:ascii="Palatino Linotype" w:eastAsia="Times New Roman" w:hAnsi="Palatino Linotype" w:cs="Times New Roman"/>
      <w:b/>
      <w:color w:val="000000"/>
      <w:sz w:val="20"/>
      <w:lang w:val="en-US" w:eastAsia="de-DE" w:bidi="en-US"/>
    </w:rPr>
  </w:style>
  <w:style w:type="paragraph" w:customStyle="1" w:styleId="MDPI19line">
    <w:name w:val="MDPI_1.9_line"/>
    <w:qFormat/>
    <w:rsid w:val="005554A7"/>
    <w:pPr>
      <w:pBdr>
        <w:bottom w:val="single" w:sz="6" w:space="1" w:color="auto"/>
      </w:pBdr>
      <w:adjustRightInd w:val="0"/>
      <w:snapToGrid w:val="0"/>
      <w:spacing w:after="480" w:line="260" w:lineRule="atLeast"/>
      <w:ind w:left="2608"/>
      <w:jc w:val="both"/>
    </w:pPr>
    <w:rPr>
      <w:rFonts w:ascii="Palatino Linotype" w:eastAsia="Times New Roman" w:hAnsi="Palatino Linotype" w:cs="Cordia New"/>
      <w:color w:val="000000"/>
      <w:sz w:val="20"/>
      <w:szCs w:val="24"/>
      <w:lang w:val="en-US" w:eastAsia="de-DE" w:bidi="en-US"/>
    </w:rPr>
  </w:style>
  <w:style w:type="paragraph" w:customStyle="1" w:styleId="MDPI21heading1">
    <w:name w:val="MDPI_2.1_heading1"/>
    <w:qFormat/>
    <w:rsid w:val="005554A7"/>
    <w:pPr>
      <w:adjustRightInd w:val="0"/>
      <w:snapToGrid w:val="0"/>
      <w:spacing w:before="240" w:after="60" w:line="228" w:lineRule="auto"/>
      <w:ind w:left="2608"/>
      <w:outlineLvl w:val="0"/>
    </w:pPr>
    <w:rPr>
      <w:rFonts w:ascii="Palatino Linotype" w:eastAsia="Times New Roman" w:hAnsi="Palatino Linotype" w:cs="Times New Roman"/>
      <w:b/>
      <w:snapToGrid w:val="0"/>
      <w:color w:val="000000"/>
      <w:sz w:val="20"/>
      <w:lang w:val="en-US" w:eastAsia="de-DE" w:bidi="en-US"/>
    </w:rPr>
  </w:style>
  <w:style w:type="paragraph" w:customStyle="1" w:styleId="MDPI22heading2">
    <w:name w:val="MDPI_2.2_heading2"/>
    <w:qFormat/>
    <w:rsid w:val="005554A7"/>
    <w:pPr>
      <w:adjustRightInd w:val="0"/>
      <w:snapToGrid w:val="0"/>
      <w:spacing w:before="60" w:after="60" w:line="228" w:lineRule="auto"/>
      <w:ind w:left="2608"/>
      <w:outlineLvl w:val="1"/>
    </w:pPr>
    <w:rPr>
      <w:rFonts w:ascii="Palatino Linotype" w:eastAsia="Times New Roman" w:hAnsi="Palatino Linotype" w:cs="Times New Roman"/>
      <w:i/>
      <w:noProof/>
      <w:snapToGrid w:val="0"/>
      <w:color w:val="000000"/>
      <w:sz w:val="20"/>
      <w:lang w:val="en-US" w:eastAsia="de-DE" w:bidi="en-US"/>
    </w:rPr>
  </w:style>
  <w:style w:type="paragraph" w:customStyle="1" w:styleId="MDPI23heading3">
    <w:name w:val="MDPI_2.3_heading3"/>
    <w:qFormat/>
    <w:rsid w:val="005554A7"/>
    <w:pPr>
      <w:adjustRightInd w:val="0"/>
      <w:snapToGrid w:val="0"/>
      <w:spacing w:before="60" w:after="60" w:line="228" w:lineRule="auto"/>
      <w:ind w:left="2608"/>
      <w:outlineLvl w:val="2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1text">
    <w:name w:val="MDPI_3.1_text"/>
    <w:qFormat/>
    <w:rsid w:val="005554A7"/>
    <w:pPr>
      <w:adjustRightInd w:val="0"/>
      <w:snapToGrid w:val="0"/>
      <w:spacing w:after="0" w:line="228" w:lineRule="auto"/>
      <w:ind w:left="2608"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2textnoindent">
    <w:name w:val="MDPI_3.2_text_no_indent"/>
    <w:basedOn w:val="MDPI31text"/>
    <w:qFormat/>
    <w:rsid w:val="005554A7"/>
    <w:pPr>
      <w:ind w:firstLine="0"/>
    </w:pPr>
  </w:style>
  <w:style w:type="paragraph" w:customStyle="1" w:styleId="MDPI33textspaceafter">
    <w:name w:val="MDPI_3.3_text_space_after"/>
    <w:qFormat/>
    <w:rsid w:val="005554A7"/>
    <w:pPr>
      <w:adjustRightInd w:val="0"/>
      <w:snapToGrid w:val="0"/>
      <w:spacing w:after="24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4textspacebefore">
    <w:name w:val="MDPI_3.4_text_space_before"/>
    <w:qFormat/>
    <w:rsid w:val="005554A7"/>
    <w:pPr>
      <w:adjustRightInd w:val="0"/>
      <w:snapToGrid w:val="0"/>
      <w:spacing w:before="240" w:after="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5textbeforelist">
    <w:name w:val="MDPI_3.5_text_before_list"/>
    <w:qFormat/>
    <w:rsid w:val="005554A7"/>
    <w:pPr>
      <w:adjustRightInd w:val="0"/>
      <w:snapToGrid w:val="0"/>
      <w:spacing w:after="0" w:line="228" w:lineRule="auto"/>
      <w:ind w:left="2608"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6textafterlist">
    <w:name w:val="MDPI_3.6_text_after_list"/>
    <w:qFormat/>
    <w:rsid w:val="005554A7"/>
    <w:pPr>
      <w:adjustRightInd w:val="0"/>
      <w:snapToGrid w:val="0"/>
      <w:spacing w:before="120" w:after="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7itemize">
    <w:name w:val="MDPI_3.7_itemize"/>
    <w:qFormat/>
    <w:rsid w:val="005554A7"/>
    <w:pPr>
      <w:numPr>
        <w:numId w:val="1"/>
      </w:numPr>
      <w:adjustRightInd w:val="0"/>
      <w:snapToGrid w:val="0"/>
      <w:spacing w:after="0" w:line="228" w:lineRule="auto"/>
      <w:jc w:val="both"/>
    </w:pPr>
    <w:rPr>
      <w:rFonts w:ascii="Palatino Linotype" w:eastAsia="Times New Roman" w:hAnsi="Palatino Linotype" w:cs="Times New Roman"/>
      <w:color w:val="000000"/>
      <w:sz w:val="20"/>
      <w:lang w:val="en-US" w:eastAsia="de-DE" w:bidi="en-US"/>
    </w:rPr>
  </w:style>
  <w:style w:type="paragraph" w:customStyle="1" w:styleId="MDPI38bullet">
    <w:name w:val="MDPI_3.8_bullet"/>
    <w:qFormat/>
    <w:rsid w:val="005554A7"/>
    <w:pPr>
      <w:numPr>
        <w:numId w:val="2"/>
      </w:numPr>
      <w:adjustRightInd w:val="0"/>
      <w:snapToGrid w:val="0"/>
      <w:spacing w:after="0" w:line="228" w:lineRule="auto"/>
      <w:jc w:val="both"/>
    </w:pPr>
    <w:rPr>
      <w:rFonts w:ascii="Palatino Linotype" w:eastAsia="Times New Roman" w:hAnsi="Palatino Linotype" w:cs="Times New Roman"/>
      <w:color w:val="000000"/>
      <w:sz w:val="20"/>
      <w:lang w:val="en-US" w:eastAsia="de-DE" w:bidi="en-US"/>
    </w:rPr>
  </w:style>
  <w:style w:type="paragraph" w:customStyle="1" w:styleId="MDPI39equation">
    <w:name w:val="MDPI_3.9_equation"/>
    <w:qFormat/>
    <w:rsid w:val="005554A7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aequationnumber">
    <w:name w:val="MDPI_3.a_equation_number"/>
    <w:qFormat/>
    <w:rsid w:val="005554A7"/>
    <w:pPr>
      <w:spacing w:before="120" w:after="120" w:line="240" w:lineRule="auto"/>
      <w:jc w:val="right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411onetablecaption">
    <w:name w:val="MDPI_4.1.1_one_table_caption"/>
    <w:qFormat/>
    <w:rsid w:val="005554A7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/>
      <w:noProof/>
      <w:color w:val="000000"/>
      <w:sz w:val="18"/>
      <w:lang w:val="en-US" w:bidi="en-US"/>
    </w:rPr>
  </w:style>
  <w:style w:type="paragraph" w:customStyle="1" w:styleId="MDPI41tablecaption">
    <w:name w:val="MDPI_4.1_table_caption"/>
    <w:qFormat/>
    <w:rsid w:val="005554A7"/>
    <w:pPr>
      <w:adjustRightInd w:val="0"/>
      <w:snapToGrid w:val="0"/>
      <w:spacing w:before="240" w:after="120" w:line="228" w:lineRule="auto"/>
      <w:ind w:left="2608"/>
    </w:pPr>
    <w:rPr>
      <w:rFonts w:ascii="Palatino Linotype" w:eastAsia="Times New Roman" w:hAnsi="Palatino Linotype"/>
      <w:color w:val="000000"/>
      <w:sz w:val="18"/>
      <w:lang w:val="en-US" w:eastAsia="de-DE" w:bidi="en-US"/>
    </w:rPr>
  </w:style>
  <w:style w:type="table" w:customStyle="1" w:styleId="MDPI41threelinetable">
    <w:name w:val="MDPI_4.1_three_line_table"/>
    <w:basedOn w:val="TableNormal"/>
    <w:uiPriority w:val="99"/>
    <w:rsid w:val="005554A7"/>
    <w:pPr>
      <w:adjustRightInd w:val="0"/>
      <w:snapToGrid w:val="0"/>
      <w:spacing w:after="0" w:line="240" w:lineRule="auto"/>
      <w:jc w:val="center"/>
    </w:pPr>
    <w:rPr>
      <w:rFonts w:ascii="Palatino Linotype" w:hAnsi="Palatino Linotype" w:cs="Times New Roman"/>
      <w:color w:val="000000"/>
      <w:sz w:val="20"/>
      <w:szCs w:val="20"/>
      <w:lang w:val="en-US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42tablebody">
    <w:name w:val="MDPI_4.2_table_body"/>
    <w:qFormat/>
    <w:rsid w:val="005554A7"/>
    <w:pPr>
      <w:adjustRightInd w:val="0"/>
      <w:snapToGrid w:val="0"/>
      <w:spacing w:after="0" w:line="240" w:lineRule="auto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paragraph" w:customStyle="1" w:styleId="MDPI43tablefooter">
    <w:name w:val="MDPI_4.3_table_footer"/>
    <w:next w:val="MDPI31text"/>
    <w:qFormat/>
    <w:rsid w:val="005554A7"/>
    <w:pPr>
      <w:adjustRightInd w:val="0"/>
      <w:snapToGrid w:val="0"/>
      <w:spacing w:after="240" w:line="228" w:lineRule="auto"/>
      <w:ind w:left="2608"/>
    </w:pPr>
    <w:rPr>
      <w:rFonts w:ascii="Palatino Linotype" w:eastAsia="Times New Roman" w:hAnsi="Palatino Linotype" w:cs="Cordia New"/>
      <w:color w:val="000000"/>
      <w:sz w:val="18"/>
      <w:lang w:val="en-US" w:eastAsia="de-DE" w:bidi="en-US"/>
    </w:rPr>
  </w:style>
  <w:style w:type="paragraph" w:customStyle="1" w:styleId="MDPI511onefigurecaption">
    <w:name w:val="MDPI_5.1.1_one_figure_caption"/>
    <w:qFormat/>
    <w:rsid w:val="005554A7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 w:cs="Times New Roman"/>
      <w:noProof/>
      <w:color w:val="000000"/>
      <w:sz w:val="18"/>
      <w:szCs w:val="20"/>
      <w:lang w:val="en-US" w:bidi="en-US"/>
    </w:rPr>
  </w:style>
  <w:style w:type="paragraph" w:customStyle="1" w:styleId="MDPI51figurecaption">
    <w:name w:val="MDPI_5.1_figure_caption"/>
    <w:qFormat/>
    <w:rsid w:val="005554A7"/>
    <w:pPr>
      <w:adjustRightInd w:val="0"/>
      <w:snapToGrid w:val="0"/>
      <w:spacing w:before="120" w:after="240" w:line="228" w:lineRule="auto"/>
      <w:ind w:left="2608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paragraph" w:customStyle="1" w:styleId="MDPI52figure">
    <w:name w:val="MDPI_5.2_figure"/>
    <w:qFormat/>
    <w:rsid w:val="005554A7"/>
    <w:pPr>
      <w:adjustRightInd w:val="0"/>
      <w:snapToGrid w:val="0"/>
      <w:spacing w:before="240" w:after="120" w:line="240" w:lineRule="auto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paragraph" w:customStyle="1" w:styleId="MDPI61Citation">
    <w:name w:val="MDPI_6.1_Citation"/>
    <w:qFormat/>
    <w:rsid w:val="005554A7"/>
    <w:pPr>
      <w:adjustRightInd w:val="0"/>
      <w:snapToGrid w:val="0"/>
      <w:spacing w:after="0" w:line="240" w:lineRule="atLeast"/>
      <w:ind w:right="113"/>
    </w:pPr>
    <w:rPr>
      <w:rFonts w:ascii="Palatino Linotype" w:hAnsi="Palatino Linotype"/>
      <w:sz w:val="14"/>
      <w:lang w:val="en-US"/>
    </w:rPr>
  </w:style>
  <w:style w:type="paragraph" w:customStyle="1" w:styleId="MDPI61Supplementary">
    <w:name w:val="MDPI_6.1_Supplementary"/>
    <w:basedOn w:val="Normal"/>
    <w:qFormat/>
    <w:rsid w:val="005554A7"/>
    <w:pPr>
      <w:adjustRightInd w:val="0"/>
      <w:snapToGrid w:val="0"/>
      <w:spacing w:before="24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bidi="en-US"/>
    </w:rPr>
  </w:style>
  <w:style w:type="paragraph" w:customStyle="1" w:styleId="MDPI62Acknowledgments">
    <w:name w:val="MDPI_6.2_Acknowledgments"/>
    <w:qFormat/>
    <w:rsid w:val="005554A7"/>
    <w:pPr>
      <w:adjustRightInd w:val="0"/>
      <w:snapToGrid w:val="0"/>
      <w:spacing w:before="120" w:after="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eastAsia="de-DE" w:bidi="en-US"/>
    </w:rPr>
  </w:style>
  <w:style w:type="paragraph" w:customStyle="1" w:styleId="MDPI62BackMatter">
    <w:name w:val="MDPI_6.2_BackMatter"/>
    <w:qFormat/>
    <w:rsid w:val="005554A7"/>
    <w:pPr>
      <w:adjustRightInd w:val="0"/>
      <w:snapToGrid w:val="0"/>
      <w:spacing w:after="12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bidi="en-US"/>
    </w:rPr>
  </w:style>
  <w:style w:type="paragraph" w:customStyle="1" w:styleId="MDPI63AuthorContributions">
    <w:name w:val="MDPI_6.3_AuthorContributions"/>
    <w:basedOn w:val="MDPI62Acknowledgments"/>
    <w:qFormat/>
    <w:rsid w:val="005554A7"/>
    <w:rPr>
      <w:rFonts w:eastAsia="SimSun"/>
      <w:color w:val="auto"/>
      <w:lang w:eastAsia="en-US"/>
    </w:rPr>
  </w:style>
  <w:style w:type="paragraph" w:customStyle="1" w:styleId="MDPI63Notes">
    <w:name w:val="MDPI_6.3_Notes"/>
    <w:qFormat/>
    <w:rsid w:val="005554A7"/>
    <w:pPr>
      <w:adjustRightInd w:val="0"/>
      <w:snapToGrid w:val="0"/>
      <w:spacing w:after="120" w:line="240" w:lineRule="atLeast"/>
      <w:ind w:right="113"/>
    </w:pPr>
    <w:rPr>
      <w:rFonts w:ascii="Palatino Linotype" w:eastAsia="SimSun" w:hAnsi="Palatino Linotype" w:cs="Times New Roman"/>
      <w:snapToGrid w:val="0"/>
      <w:color w:val="000000" w:themeColor="text1"/>
      <w:sz w:val="14"/>
      <w:szCs w:val="20"/>
      <w:lang w:val="en-US" w:bidi="en-US"/>
    </w:rPr>
  </w:style>
  <w:style w:type="paragraph" w:customStyle="1" w:styleId="MDPI64CoI">
    <w:name w:val="MDPI_6.4_CoI"/>
    <w:basedOn w:val="MDPI62Acknowledgments"/>
    <w:qFormat/>
    <w:rsid w:val="005554A7"/>
  </w:style>
  <w:style w:type="paragraph" w:customStyle="1" w:styleId="MDPI71References">
    <w:name w:val="MDPI_7.1_References"/>
    <w:qFormat/>
    <w:rsid w:val="005554A7"/>
    <w:pPr>
      <w:adjustRightInd w:val="0"/>
      <w:snapToGrid w:val="0"/>
      <w:spacing w:after="0" w:line="228" w:lineRule="auto"/>
      <w:ind w:left="425" w:hanging="425"/>
      <w:jc w:val="both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paragraph" w:customStyle="1" w:styleId="MDPI72Copyright">
    <w:name w:val="MDPI_7.2_Copyright"/>
    <w:qFormat/>
    <w:rsid w:val="005554A7"/>
    <w:pPr>
      <w:adjustRightInd w:val="0"/>
      <w:snapToGrid w:val="0"/>
      <w:spacing w:before="240" w:after="0" w:line="240" w:lineRule="atLeast"/>
      <w:ind w:right="113"/>
    </w:pPr>
    <w:rPr>
      <w:rFonts w:ascii="Palatino Linotype" w:eastAsia="Times New Roman" w:hAnsi="Palatino Linotype" w:cs="Times New Roman"/>
      <w:noProof/>
      <w:snapToGrid w:val="0"/>
      <w:color w:val="000000"/>
      <w:spacing w:val="-2"/>
      <w:sz w:val="14"/>
      <w:szCs w:val="20"/>
      <w:lang w:eastAsia="en-GB"/>
    </w:rPr>
  </w:style>
  <w:style w:type="paragraph" w:customStyle="1" w:styleId="MDPI73CopyrightImage">
    <w:name w:val="MDPI_7.3_CopyrightImage"/>
    <w:rsid w:val="005554A7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 w:cs="Times New Roman"/>
      <w:color w:val="000000"/>
      <w:sz w:val="20"/>
      <w:szCs w:val="20"/>
      <w:lang w:val="en-US" w:eastAsia="de-CH"/>
    </w:rPr>
  </w:style>
  <w:style w:type="paragraph" w:customStyle="1" w:styleId="MDPI74PublishersNote">
    <w:name w:val="MDPI_7.4_Publisher'sNote"/>
    <w:qFormat/>
    <w:rsid w:val="005554A7"/>
    <w:pPr>
      <w:adjustRightInd w:val="0"/>
      <w:snapToGrid w:val="0"/>
      <w:spacing w:before="240" w:after="240" w:line="200" w:lineRule="atLeast"/>
    </w:pPr>
    <w:rPr>
      <w:rFonts w:ascii="Palatino Linotype" w:eastAsia="SimSun" w:hAnsi="Palatino Linotype" w:cs="Times New Roman"/>
      <w:sz w:val="18"/>
      <w:lang w:val="en-US"/>
    </w:rPr>
  </w:style>
  <w:style w:type="paragraph" w:customStyle="1" w:styleId="MDPI81theorem">
    <w:name w:val="MDPI_8.1_theorem"/>
    <w:qFormat/>
    <w:rsid w:val="005554A7"/>
    <w:pPr>
      <w:adjustRightInd w:val="0"/>
      <w:snapToGrid w:val="0"/>
      <w:spacing w:after="0" w:line="228" w:lineRule="auto"/>
      <w:ind w:left="2608"/>
      <w:jc w:val="both"/>
    </w:pPr>
    <w:rPr>
      <w:rFonts w:ascii="Palatino Linotype" w:eastAsia="Times New Roman" w:hAnsi="Palatino Linotype" w:cs="Times New Roman"/>
      <w:i/>
      <w:snapToGrid w:val="0"/>
      <w:color w:val="000000"/>
      <w:sz w:val="20"/>
      <w:lang w:val="en-US" w:eastAsia="de-DE" w:bidi="en-US"/>
    </w:rPr>
  </w:style>
  <w:style w:type="paragraph" w:customStyle="1" w:styleId="MDPI82proof">
    <w:name w:val="MDPI_8.2_proof"/>
    <w:qFormat/>
    <w:rsid w:val="005554A7"/>
    <w:pPr>
      <w:adjustRightInd w:val="0"/>
      <w:snapToGrid w:val="0"/>
      <w:spacing w:after="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equationFram">
    <w:name w:val="MDPI_equationFram"/>
    <w:qFormat/>
    <w:rsid w:val="005554A7"/>
    <w:pPr>
      <w:adjustRightInd w:val="0"/>
      <w:snapToGrid w:val="0"/>
      <w:spacing w:before="120" w:after="120" w:line="240" w:lineRule="auto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footer">
    <w:name w:val="MDPI_footer"/>
    <w:qFormat/>
    <w:rsid w:val="005554A7"/>
    <w:pPr>
      <w:adjustRightInd w:val="0"/>
      <w:snapToGrid w:val="0"/>
      <w:spacing w:before="120" w:after="0" w:line="260" w:lineRule="atLeast"/>
      <w:jc w:val="center"/>
    </w:pPr>
    <w:rPr>
      <w:rFonts w:ascii="Palatino Linotype" w:eastAsia="Times New Roman" w:hAnsi="Palatino Linotype" w:cs="Times New Roman"/>
      <w:color w:val="000000"/>
      <w:sz w:val="20"/>
      <w:szCs w:val="20"/>
      <w:lang w:val="en-US" w:eastAsia="de-DE"/>
    </w:rPr>
  </w:style>
  <w:style w:type="paragraph" w:customStyle="1" w:styleId="MDPIfooterfirstpage">
    <w:name w:val="MDPI_footer_firstpage"/>
    <w:qFormat/>
    <w:rsid w:val="005554A7"/>
    <w:pPr>
      <w:tabs>
        <w:tab w:val="right" w:pos="8845"/>
      </w:tabs>
      <w:spacing w:after="0" w:line="160" w:lineRule="exact"/>
    </w:pPr>
    <w:rPr>
      <w:rFonts w:ascii="Palatino Linotype" w:eastAsia="Times New Roman" w:hAnsi="Palatino Linotype" w:cs="Times New Roman"/>
      <w:color w:val="000000"/>
      <w:sz w:val="16"/>
      <w:szCs w:val="20"/>
      <w:lang w:val="en-US" w:eastAsia="de-DE"/>
    </w:rPr>
  </w:style>
  <w:style w:type="paragraph" w:customStyle="1" w:styleId="MDPIheader">
    <w:name w:val="MDPI_header"/>
    <w:qFormat/>
    <w:rsid w:val="005554A7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iCs/>
      <w:color w:val="000000"/>
      <w:sz w:val="16"/>
      <w:szCs w:val="20"/>
      <w:lang w:val="en-US" w:eastAsia="de-DE"/>
    </w:rPr>
  </w:style>
  <w:style w:type="paragraph" w:customStyle="1" w:styleId="MDPIheadercitation">
    <w:name w:val="MDPI_header_citation"/>
    <w:rsid w:val="005554A7"/>
    <w:pPr>
      <w:spacing w:after="240" w:line="240" w:lineRule="auto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eastAsia="de-DE" w:bidi="en-US"/>
    </w:rPr>
  </w:style>
  <w:style w:type="paragraph" w:customStyle="1" w:styleId="MDPIheaderjournallogo">
    <w:name w:val="MDPI_header_journal_logo"/>
    <w:qFormat/>
    <w:rsid w:val="005554A7"/>
    <w:pPr>
      <w:adjustRightInd w:val="0"/>
      <w:snapToGrid w:val="0"/>
      <w:spacing w:after="0" w:line="260" w:lineRule="atLeast"/>
      <w:jc w:val="both"/>
    </w:pPr>
    <w:rPr>
      <w:rFonts w:ascii="Palatino Linotype" w:eastAsia="Times New Roman" w:hAnsi="Palatino Linotype" w:cs="Times New Roman"/>
      <w:i/>
      <w:color w:val="000000"/>
      <w:sz w:val="24"/>
      <w:lang w:val="en-US" w:eastAsia="de-CH"/>
    </w:rPr>
  </w:style>
  <w:style w:type="paragraph" w:customStyle="1" w:styleId="MDPIheadermdpilogo">
    <w:name w:val="MDPI_header_mdpi_logo"/>
    <w:qFormat/>
    <w:rsid w:val="005554A7"/>
    <w:pPr>
      <w:adjustRightInd w:val="0"/>
      <w:snapToGrid w:val="0"/>
      <w:spacing w:after="0" w:line="260" w:lineRule="atLeast"/>
      <w:jc w:val="right"/>
    </w:pPr>
    <w:rPr>
      <w:rFonts w:ascii="Palatino Linotype" w:eastAsia="Times New Roman" w:hAnsi="Palatino Linotype" w:cs="Times New Roman"/>
      <w:color w:val="000000"/>
      <w:sz w:val="24"/>
      <w:lang w:val="en-US" w:eastAsia="de-CH"/>
    </w:rPr>
  </w:style>
  <w:style w:type="table" w:customStyle="1" w:styleId="MDPITable">
    <w:name w:val="MDPI_Table"/>
    <w:basedOn w:val="TableNormal"/>
    <w:uiPriority w:val="99"/>
    <w:rsid w:val="005554A7"/>
    <w:pPr>
      <w:spacing w:after="0" w:line="240" w:lineRule="auto"/>
    </w:pPr>
    <w:rPr>
      <w:rFonts w:ascii="Palatino Linotype" w:eastAsia="SimSun" w:hAnsi="Palatino Linotype" w:cs="Times New Roman"/>
      <w:color w:val="000000" w:themeColor="text1"/>
      <w:sz w:val="20"/>
      <w:szCs w:val="20"/>
      <w:lang w:val="en-CA"/>
    </w:rPr>
    <w:tblPr>
      <w:tblCellMar>
        <w:left w:w="0" w:type="dxa"/>
        <w:right w:w="0" w:type="dxa"/>
      </w:tblCellMar>
    </w:tblPr>
  </w:style>
  <w:style w:type="paragraph" w:customStyle="1" w:styleId="MDPItext">
    <w:name w:val="MDPI_text"/>
    <w:qFormat/>
    <w:rsid w:val="005554A7"/>
    <w:pPr>
      <w:spacing w:after="0" w:line="260" w:lineRule="atLeast"/>
      <w:ind w:left="425" w:right="425" w:firstLine="284"/>
      <w:jc w:val="both"/>
    </w:pPr>
    <w:rPr>
      <w:rFonts w:ascii="Times New Roman" w:eastAsia="Times New Roman" w:hAnsi="Times New Roman" w:cs="Times New Roman"/>
      <w:noProof/>
      <w:snapToGrid w:val="0"/>
      <w:color w:val="000000"/>
      <w:lang w:val="en-US" w:eastAsia="de-DE" w:bidi="en-US"/>
    </w:rPr>
  </w:style>
  <w:style w:type="paragraph" w:customStyle="1" w:styleId="MDPItitle">
    <w:name w:val="MDPI_title"/>
    <w:qFormat/>
    <w:rsid w:val="005554A7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640</Words>
  <Characters>3633</Characters>
  <Application>Microsoft Office Word</Application>
  <DocSecurity>0</DocSecurity>
  <Lines>45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</dc:title>
  <dc:subject/>
  <dc:creator>MDPI</dc:creator>
  <cp:keywords/>
  <dc:description/>
  <cp:lastModifiedBy>mdpi gamma</cp:lastModifiedBy>
  <cp:revision>8</cp:revision>
  <dcterms:created xsi:type="dcterms:W3CDTF">2021-02-28T14:19:00Z</dcterms:created>
  <dcterms:modified xsi:type="dcterms:W3CDTF">2021-03-29T18:48:00Z</dcterms:modified>
</cp:coreProperties>
</file>