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B5" w:rsidRDefault="008F4EC6" w:rsidP="0045766A">
      <w:pPr>
        <w:pStyle w:val="MDPI41tablecaption"/>
        <w:ind w:left="0" w:right="191"/>
        <w:jc w:val="left"/>
      </w:pPr>
      <w:r>
        <w:rPr>
          <w:b/>
        </w:rPr>
        <w:t>Table S</w:t>
      </w:r>
      <w:r w:rsidR="0004163A">
        <w:rPr>
          <w:b/>
        </w:rPr>
        <w:t>3</w:t>
      </w:r>
      <w:r w:rsidRPr="006A33C1">
        <w:rPr>
          <w:b/>
        </w:rPr>
        <w:t>.</w:t>
      </w:r>
      <w:r>
        <w:rPr>
          <w:b/>
        </w:rPr>
        <w:t xml:space="preserve"> </w:t>
      </w:r>
      <w:r w:rsidR="00F66338">
        <w:t>RNA-</w:t>
      </w:r>
      <w:proofErr w:type="spellStart"/>
      <w:r w:rsidR="00F66338">
        <w:t>seq</w:t>
      </w:r>
      <w:proofErr w:type="spellEnd"/>
      <w:r w:rsidR="00F66338">
        <w:t xml:space="preserve"> </w:t>
      </w:r>
      <w:r>
        <w:t xml:space="preserve">AEI SNP list. </w:t>
      </w:r>
      <w:proofErr w:type="spellStart"/>
      <w:r w:rsidR="00500E3D">
        <w:t>Heterozy</w:t>
      </w:r>
      <w:r>
        <w:t>gosity</w:t>
      </w:r>
      <w:proofErr w:type="spellEnd"/>
      <w:r>
        <w:t xml:space="preserve"> was checked by Sanger sequencing</w:t>
      </w:r>
      <w:r w:rsidR="00556667">
        <w:t xml:space="preserve"> of PCR amplified genomic DNA</w:t>
      </w:r>
      <w:r w:rsidR="00A04D1A">
        <w:t xml:space="preserve"> from 17 independent sclera donors</w:t>
      </w:r>
      <w:r>
        <w:t xml:space="preserve">. </w:t>
      </w:r>
      <w:proofErr w:type="spellStart"/>
      <w:r>
        <w:t>Pyrosequencing</w:t>
      </w:r>
      <w:proofErr w:type="spellEnd"/>
      <w:r>
        <w:t xml:space="preserve"> assay score was </w:t>
      </w:r>
      <w:r w:rsidR="00556667">
        <w:t>considered for assay selection</w:t>
      </w:r>
      <w:r w:rsidR="00500E3D">
        <w:t xml:space="preserve"> (</w:t>
      </w:r>
      <w:r w:rsidR="00556667">
        <w:t>assays with s</w:t>
      </w:r>
      <w:r w:rsidR="00500E3D">
        <w:t xml:space="preserve">cores lower than 90 </w:t>
      </w:r>
      <w:r w:rsidR="00556667">
        <w:t>were rejected</w:t>
      </w:r>
      <w:r w:rsidR="00500E3D">
        <w:t>)</w:t>
      </w:r>
      <w:r>
        <w:t>.</w:t>
      </w:r>
      <w:r w:rsidR="00A04D1A">
        <w:t xml:space="preserve"> In column five we show the number of samples that were found to be imbalanced at RNA level with</w:t>
      </w:r>
      <w:r w:rsidR="00551EF7">
        <w:t xml:space="preserve"> balanced alleles at DNA level.</w:t>
      </w:r>
      <w:r w:rsidR="00551EF7" w:rsidRPr="00551EF7">
        <w:rPr>
          <w:szCs w:val="18"/>
        </w:rPr>
        <w:t xml:space="preserve"> </w:t>
      </w:r>
      <w:r w:rsidR="00551EF7">
        <w:rPr>
          <w:szCs w:val="18"/>
        </w:rPr>
        <w:t>Integrative Genomics Viewer (IGV)</w:t>
      </w:r>
      <w:r w:rsidR="00500E3D">
        <w:t xml:space="preserve"> SNP visual assessment was carried out by </w:t>
      </w:r>
      <w:r w:rsidR="0004163A">
        <w:t>using two</w:t>
      </w:r>
      <w:r w:rsidR="00500E3D">
        <w:t xml:space="preserve"> sorts of .BAM files per sample (</w:t>
      </w:r>
      <w:r w:rsidR="00556667">
        <w:t xml:space="preserve">data cleanup </w:t>
      </w:r>
      <w:r w:rsidR="00500E3D">
        <w:t>and no cleanup).</w:t>
      </w:r>
      <w:r w:rsidR="00A04D1A">
        <w:t xml:space="preserve"> </w:t>
      </w:r>
    </w:p>
    <w:tbl>
      <w:tblPr>
        <w:tblW w:w="5000" w:type="pct"/>
        <w:tblLook w:val="04A0"/>
      </w:tblPr>
      <w:tblGrid>
        <w:gridCol w:w="1143"/>
        <w:gridCol w:w="1031"/>
        <w:gridCol w:w="2045"/>
        <w:gridCol w:w="1157"/>
        <w:gridCol w:w="1822"/>
        <w:gridCol w:w="1558"/>
        <w:gridCol w:w="2260"/>
      </w:tblGrid>
      <w:tr w:rsidR="004B6260" w:rsidRPr="008F4EC6" w:rsidTr="004B6260">
        <w:trPr>
          <w:trHeight w:val="510"/>
        </w:trPr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ID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Symbol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 xml:space="preserve">Sanger </w:t>
            </w:r>
            <w:proofErr w:type="spellStart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heterozygosity</w:t>
            </w:r>
            <w:proofErr w:type="spellEnd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 xml:space="preserve"> screening</w:t>
            </w:r>
            <w:r w:rsidR="00A04D1A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 xml:space="preserve"> in 17 samples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proofErr w:type="spellStart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Pyro</w:t>
            </w:r>
            <w:proofErr w:type="spellEnd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-sequencing assay score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4B6260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Pyro</w:t>
            </w:r>
            <w:r w:rsidR="00196124"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sequencing</w:t>
            </w:r>
            <w:proofErr w:type="spellEnd"/>
            <w:r w:rsidR="00196124"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 xml:space="preserve"> RNA/DNA positive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RNA-</w:t>
            </w:r>
            <w:proofErr w:type="spellStart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seq</w:t>
            </w:r>
            <w:proofErr w:type="spellEnd"/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 xml:space="preserve"> visual inspection (positive AEI)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20"/>
              </w:rPr>
              <w:t>Comments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rs1762114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ABCA4</w:t>
            </w:r>
          </w:p>
        </w:tc>
        <w:tc>
          <w:tcPr>
            <w:tcW w:w="92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98</w:t>
            </w:r>
          </w:p>
        </w:tc>
        <w:tc>
          <w:tcPr>
            <w:tcW w:w="8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74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rs6107027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ABHD12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96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Unstable assay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rs7589199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BBS5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rs149698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BEST1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6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2 (HAS6,13)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HAS13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rs1800009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BEST1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5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2 (HAS6,13)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HAS13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rs17030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C3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rs4698387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CC2D2A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rs4244947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CDHR1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BD005D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rs4933980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CDHR1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91</w:t>
            </w:r>
          </w:p>
        </w:tc>
        <w:tc>
          <w:tcPr>
            <w:tcW w:w="15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 (HAS2,3,</w:t>
            </w:r>
          </w:p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4,6,9,10,11,13)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rs10509491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CDHR1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rs7895270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CDHR1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rs2279229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CDHR1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rs17821448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CNGB1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13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rs2229783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COL11A1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rs10864027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FLVCR1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rs9796035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GRK1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69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HAS4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rs11746675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GRM6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Unstable assay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rs2067011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GRM6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rs2071246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GRM6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100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rs5026920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IDH3B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rs33982662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INPP5E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HAS13</w:t>
            </w:r>
          </w:p>
        </w:tc>
        <w:tc>
          <w:tcPr>
            <w:tcW w:w="1026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bookmarkStart w:id="0" w:name="_GoBack"/>
            <w:bookmarkEnd w:id="0"/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 xml:space="preserve">No </w:t>
            </w:r>
            <w:proofErr w:type="spellStart"/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pyrosequencing</w:t>
            </w:r>
            <w:proofErr w:type="spellEnd"/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 xml:space="preserve"> assay was possible either due to poor performance or close to </w:t>
            </w:r>
            <w:proofErr w:type="spellStart"/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exon</w:t>
            </w:r>
            <w:proofErr w:type="spellEnd"/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 xml:space="preserve"> edge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rs1128874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INPP5E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rs10870194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INPP5E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HAS13</w:t>
            </w:r>
          </w:p>
        </w:tc>
        <w:tc>
          <w:tcPr>
            <w:tcW w:w="102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rs2276288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MYO7A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93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Unstable assay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rs895157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PRCD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rs5742903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PRCD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78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rs3130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PROM1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80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rs2240688 was analyzed instead: HAS6 positive</w:t>
            </w: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Pr="00196124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rs22406088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Pr="00196124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PROM1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Pr="00196124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Pr="00196124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Pr="00196124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04D1A" w:rsidRDefault="00A04D1A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rs425876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PRPH2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89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rs61739567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  <w:u w:val="single"/>
              </w:rPr>
              <w:t>RP1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7</w:t>
            </w: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91</w:t>
            </w: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0</w:t>
            </w: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</w:tr>
      <w:tr w:rsidR="004B6260" w:rsidRPr="008F4EC6" w:rsidTr="004B6260">
        <w:trPr>
          <w:trHeight w:val="300"/>
        </w:trPr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rs1046319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i/>
                <w:iCs/>
                <w:color w:val="000000"/>
                <w:sz w:val="18"/>
                <w:szCs w:val="20"/>
              </w:rPr>
              <w:t>WFS1</w:t>
            </w:r>
          </w:p>
        </w:tc>
        <w:tc>
          <w:tcPr>
            <w:tcW w:w="9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7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9113B5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113B5" w:rsidRDefault="00196124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</w:pPr>
            <w:r w:rsidRPr="00196124">
              <w:rPr>
                <w:rFonts w:ascii="Palatino Linotype" w:eastAsia="Times New Roman" w:hAnsi="Palatino Linotype" w:cs="Calibri"/>
                <w:color w:val="000000"/>
                <w:sz w:val="18"/>
                <w:szCs w:val="20"/>
              </w:rPr>
              <w:t>Double SNP</w:t>
            </w:r>
          </w:p>
        </w:tc>
      </w:tr>
    </w:tbl>
    <w:p w:rsidR="00385CDE" w:rsidRDefault="00385CDE"/>
    <w:sectPr w:rsidR="00385CDE" w:rsidSect="004B626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8F4EC6"/>
    <w:rsid w:val="000257DE"/>
    <w:rsid w:val="0004163A"/>
    <w:rsid w:val="001411AF"/>
    <w:rsid w:val="00196124"/>
    <w:rsid w:val="0023477A"/>
    <w:rsid w:val="0026508C"/>
    <w:rsid w:val="00385CDE"/>
    <w:rsid w:val="00431727"/>
    <w:rsid w:val="0045766A"/>
    <w:rsid w:val="004836F3"/>
    <w:rsid w:val="004B6260"/>
    <w:rsid w:val="004F4A57"/>
    <w:rsid w:val="00500E3D"/>
    <w:rsid w:val="00551EF7"/>
    <w:rsid w:val="00556667"/>
    <w:rsid w:val="005F43BB"/>
    <w:rsid w:val="00614E96"/>
    <w:rsid w:val="00755C74"/>
    <w:rsid w:val="00792D20"/>
    <w:rsid w:val="007A3D0D"/>
    <w:rsid w:val="00801C05"/>
    <w:rsid w:val="008D3C1B"/>
    <w:rsid w:val="008F4EC6"/>
    <w:rsid w:val="009113B5"/>
    <w:rsid w:val="00A04D1A"/>
    <w:rsid w:val="00A959FC"/>
    <w:rsid w:val="00B37C55"/>
    <w:rsid w:val="00B409F5"/>
    <w:rsid w:val="00BD005D"/>
    <w:rsid w:val="00BF63F4"/>
    <w:rsid w:val="00C67F0D"/>
    <w:rsid w:val="00CC3BEC"/>
    <w:rsid w:val="00F66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6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F4EC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6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66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5566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5666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5666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566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56667"/>
    <w:rPr>
      <w:b/>
      <w:bCs/>
    </w:rPr>
  </w:style>
  <w:style w:type="paragraph" w:styleId="Revisin">
    <w:name w:val="Revision"/>
    <w:hidden/>
    <w:uiPriority w:val="99"/>
    <w:semiHidden/>
    <w:rsid w:val="005566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F4EC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4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BDD1-2C9A-4801-8A34-F68D9F02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lavone</dc:creator>
  <cp:lastModifiedBy>paul lavone</cp:lastModifiedBy>
  <cp:revision>3</cp:revision>
  <dcterms:created xsi:type="dcterms:W3CDTF">2017-10-20T07:54:00Z</dcterms:created>
  <dcterms:modified xsi:type="dcterms:W3CDTF">2017-10-20T08:41:00Z</dcterms:modified>
</cp:coreProperties>
</file>